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3B625" w14:textId="05A6A489" w:rsidR="004B0729" w:rsidRPr="008D092F" w:rsidRDefault="00B07DF8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На основу члана 11</w:t>
      </w:r>
      <w:r w:rsidR="00E56D25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д став 4. Закона о енергетици </w:t>
      </w:r>
      <w:r w:rsidR="00E56D25" w:rsidRPr="008D092F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>(„Службени гласник РС”, бр. 145/14</w:t>
      </w:r>
      <w:r w:rsidR="004B0729" w:rsidRPr="008D092F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>,</w:t>
      </w:r>
      <w:r w:rsidR="00E56D25" w:rsidRPr="008D092F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 xml:space="preserve"> 95/18 – </w:t>
      </w:r>
      <w:r w:rsidR="004B0729" w:rsidRPr="008D092F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>др. закон</w:t>
      </w:r>
      <w:r w:rsidR="00E56D25" w:rsidRPr="008D092F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>, 40/21, 35/23 – др. закон, 62/23 и 94/24)</w:t>
      </w:r>
      <w:r w:rsidR="00B21811" w:rsidRPr="008D092F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 xml:space="preserve"> </w:t>
      </w:r>
      <w:r w:rsidR="002F591F" w:rsidRPr="008D092F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>и</w:t>
      </w:r>
      <w:r w:rsidR="00E56D25" w:rsidRPr="008D092F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 xml:space="preserve">  члана</w:t>
      </w:r>
      <w:r w:rsidR="00E56D25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42. став 1. Закона о Влади </w:t>
      </w:r>
      <w:r w:rsidR="004B072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(„Службени  гласник РС”, бр. 55/05, 71/05 - исправка,101/07, 65/08, 16/11, 68/12 - УС, 72/12, 7/14 – УС, 44/14 и 30/18 – др. закон),</w:t>
      </w:r>
    </w:p>
    <w:p w14:paraId="64116E29" w14:textId="77777777" w:rsidR="004B0729" w:rsidRPr="008D092F" w:rsidRDefault="004B0729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</w:p>
    <w:p w14:paraId="41963E5A" w14:textId="6D2B009F" w:rsidR="00E56D25" w:rsidRPr="008D092F" w:rsidRDefault="00E56D25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Влада доноси</w:t>
      </w:r>
    </w:p>
    <w:p w14:paraId="66C623AF" w14:textId="77777777" w:rsidR="00E56D25" w:rsidRPr="008D092F" w:rsidRDefault="00E56D25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</w:p>
    <w:p w14:paraId="449726A9" w14:textId="77777777" w:rsidR="00E56D25" w:rsidRPr="008D092F" w:rsidRDefault="00E56D25" w:rsidP="004B0729">
      <w:pPr>
        <w:spacing w:after="0"/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 xml:space="preserve">УРЕДБУ </w:t>
      </w:r>
    </w:p>
    <w:p w14:paraId="75B2F23D" w14:textId="7101DF11" w:rsidR="00E56D25" w:rsidRPr="008D092F" w:rsidRDefault="00D25B86" w:rsidP="004B0729">
      <w:pPr>
        <w:spacing w:after="0"/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>О СПРЕМНОСТИ НА РИЗИКЕ У ЕЛЕКТРОЕНЕРГЕТСКОМ СЕКТОРУ</w:t>
      </w:r>
    </w:p>
    <w:p w14:paraId="682CEFA4" w14:textId="77777777" w:rsidR="007E0882" w:rsidRPr="008D092F" w:rsidRDefault="007E0882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7A3C6DB0" w14:textId="34FA5AC5" w:rsidR="00E56D25" w:rsidRPr="008D092F" w:rsidRDefault="00E56D25" w:rsidP="004B072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>Уводне одредбе</w:t>
      </w:r>
    </w:p>
    <w:p w14:paraId="19BB9129" w14:textId="77777777" w:rsidR="00B800CF" w:rsidRPr="008D092F" w:rsidRDefault="00B800CF" w:rsidP="004B072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28091E" w:rsidRPr="008D092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8BE7A5E" w14:textId="7319527D" w:rsidR="00521067" w:rsidRPr="008D092F" w:rsidRDefault="002B3A1D" w:rsidP="004B07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Овом уредбом ближе се 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уређује процедура усвајања Плана спремности на ризике,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садржина Плана спремности на ризике, садржин</w:t>
      </w:r>
      <w:r w:rsidR="00D24915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a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обрасца Плана спремности на ризике, начин одређивања правичне накнаде за испоручену електричну енергију у међународној сарадњи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,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начин израде и садржај извештаја о накнадној евалуацији кризе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, као и правила за сарадњу </w:t>
      </w:r>
      <w:r w:rsidR="00521067" w:rsidRPr="008D092F">
        <w:rPr>
          <w:rFonts w:ascii="Times New Roman" w:hAnsi="Times New Roman" w:cs="Times New Roman"/>
          <w:sz w:val="24"/>
          <w:szCs w:val="24"/>
          <w:lang w:val="sr-Cyrl-CS"/>
        </w:rPr>
        <w:t>између уговорних страна Енергетске заједнице (у даљем тексту: Уговорне стране) и суседни</w:t>
      </w:r>
      <w:r w:rsidR="00D24915" w:rsidRPr="008D092F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521067"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 држава ради спречавања, спремности да се одупру и управљања електроенергетским кризама у духу солидарности и транспарентности и уз потпуно уважавање конкурентности унутрашњег тржишта електричне енергије.</w:t>
      </w:r>
    </w:p>
    <w:p w14:paraId="1EE6FD78" w14:textId="1E694570" w:rsidR="002B3A1D" w:rsidRPr="008D092F" w:rsidRDefault="002B3A1D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</w:p>
    <w:p w14:paraId="2FCED197" w14:textId="77777777" w:rsidR="00521067" w:rsidRPr="008D092F" w:rsidRDefault="00521067" w:rsidP="004B0729">
      <w:pPr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bCs/>
          <w:sz w:val="24"/>
          <w:szCs w:val="24"/>
          <w:lang w:val="sr-Cyrl-CS"/>
        </w:rPr>
        <w:t>Значење појединих израза</w:t>
      </w:r>
    </w:p>
    <w:p w14:paraId="2C4B65BF" w14:textId="77777777" w:rsidR="00521067" w:rsidRPr="008D092F" w:rsidRDefault="00521067" w:rsidP="004B0729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638B2CB2" w14:textId="77C65627" w:rsidR="00521067" w:rsidRPr="008D092F" w:rsidRDefault="00521067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Изрази који се користе у овој уредби прописани су у закону којим се уређује област енергетике. </w:t>
      </w:r>
    </w:p>
    <w:p w14:paraId="1CB10C50" w14:textId="77777777" w:rsidR="006A783A" w:rsidRPr="008D092F" w:rsidRDefault="006A783A" w:rsidP="004B0729">
      <w:pPr>
        <w:spacing w:after="0"/>
        <w:jc w:val="both"/>
        <w:rPr>
          <w:rFonts w:ascii="Times New Roman" w:eastAsia="Calibri" w:hAnsi="Times New Roman" w:cs="Times New Roman"/>
          <w:i/>
          <w:iCs/>
          <w:kern w:val="2"/>
          <w:sz w:val="24"/>
          <w:szCs w:val="24"/>
          <w:lang w:val="sr-Cyrl-CS"/>
        </w:rPr>
      </w:pPr>
    </w:p>
    <w:p w14:paraId="3BEF2F21" w14:textId="6C3C0C59" w:rsidR="006A783A" w:rsidRPr="008D092F" w:rsidRDefault="006A783A" w:rsidP="004B0729">
      <w:pPr>
        <w:spacing w:after="0"/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>Процена</w:t>
      </w:r>
      <w:r w:rsidR="004E1A78"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 xml:space="preserve"> краткороч</w:t>
      </w:r>
      <w:r w:rsidR="00C02CE1"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>не и</w:t>
      </w:r>
      <w:r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 xml:space="preserve"> </w:t>
      </w:r>
      <w:r w:rsidR="0058031C"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 xml:space="preserve">сезонске </w:t>
      </w:r>
      <w:r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 xml:space="preserve">адекватности  </w:t>
      </w:r>
    </w:p>
    <w:p w14:paraId="7779798C" w14:textId="296EFD79" w:rsidR="006A783A" w:rsidRPr="008D092F" w:rsidRDefault="006A783A" w:rsidP="004B0729">
      <w:pPr>
        <w:spacing w:after="0"/>
        <w:ind w:firstLine="720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Члан 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3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</w:p>
    <w:p w14:paraId="1B355FED" w14:textId="7E1EA0E1" w:rsidR="006A783A" w:rsidRPr="008D092F" w:rsidRDefault="006A783A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Процена сезонске и краткорочне адекватности,</w:t>
      </w:r>
      <w:r w:rsidR="00B95D8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3D2B8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тј</w:t>
      </w:r>
      <w:r w:rsidR="00283935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адекватности за седам дана унапред до адекватности за дан унапред, спроводе се у складу сa методологијом 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за </w:t>
      </w:r>
      <w:r w:rsidR="00AC62AB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процену </w:t>
      </w:r>
      <w:r w:rsidR="00FD252E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краткоро</w:t>
      </w:r>
      <w:r w:rsidR="00C24B0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ч</w:t>
      </w:r>
      <w:r w:rsidR="00FD252E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не и сезонске адекватности</w:t>
      </w:r>
      <w:r w:rsidR="00AC62AB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F5142E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коју израђује ЕНТСО за електричну енергију</w:t>
      </w:r>
      <w:r w:rsidR="0086773D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(у даљем тексту: ЕНТСО-Е). </w:t>
      </w:r>
      <w:r w:rsidR="00FD6EAE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</w:p>
    <w:p w14:paraId="69ADC549" w14:textId="6C682300" w:rsidR="006A783A" w:rsidRPr="008D092F" w:rsidRDefault="006A783A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Процена адекватности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из става 1.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4B072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овог члана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укључује најмање следеће:</w:t>
      </w:r>
    </w:p>
    <w:p w14:paraId="4A767895" w14:textId="70C317BC" w:rsidR="006A783A" w:rsidRPr="008D092F" w:rsidRDefault="006A783A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(а) неизвесност повезан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са факторима као што су вероватноћа испада елемента преносног система, вероватноћ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непланираних испада електрана, </w:t>
      </w:r>
      <w:r w:rsidR="0086773D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утицај/настанак временских непогода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, променљив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потрошњ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, посебно </w:t>
      </w:r>
      <w:r w:rsidR="00A752F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максимум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="00A752F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потрошње зависн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од временских услова и варијабилности производње енергије из обновљивих извора;</w:t>
      </w:r>
    </w:p>
    <w:p w14:paraId="3DFCB7A8" w14:textId="77777777" w:rsidR="006A783A" w:rsidRPr="008D092F" w:rsidRDefault="006A783A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(б) вероватноћу настанка електроенергетске кризе;</w:t>
      </w:r>
    </w:p>
    <w:p w14:paraId="231E8578" w14:textId="77777777" w:rsidR="006A783A" w:rsidRPr="008D092F" w:rsidRDefault="006A783A" w:rsidP="004B0729">
      <w:pPr>
        <w:spacing w:after="0"/>
        <w:ind w:firstLine="720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(в) вероватноћу настанка истовремене електроенергетске кризе.</w:t>
      </w:r>
    </w:p>
    <w:p w14:paraId="6325443C" w14:textId="4B52BE76" w:rsidR="00521067" w:rsidRPr="008D092F" w:rsidRDefault="006A783A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Процен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а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адекватности на националном или регионалном нивоу се спровод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и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у складу са методологијом </w:t>
      </w:r>
      <w:r w:rsidR="00825CBD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из става 1</w:t>
      </w:r>
      <w:r w:rsidR="0072447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 овог члана.</w:t>
      </w:r>
    </w:p>
    <w:p w14:paraId="7631F135" w14:textId="77777777" w:rsidR="00521067" w:rsidRPr="008D092F" w:rsidRDefault="00724477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6A783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Процене зимске адекватности се објављују најкасније до 1. децембра, а летње адекватности до 1. јуна</w:t>
      </w:r>
      <w:r w:rsidR="009827D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021F94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текуће године</w:t>
      </w:r>
      <w:r w:rsidR="006A783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. </w:t>
      </w:r>
    </w:p>
    <w:p w14:paraId="64F31379" w14:textId="0BBBF75C" w:rsidR="006A783A" w:rsidRPr="008D092F" w:rsidRDefault="00EC50C8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Регионалне п</w:t>
      </w:r>
      <w:r w:rsidR="006A783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роцене адекватности за седам дана унапред до дана унапред спроводи Регионални координациони центар.</w:t>
      </w:r>
    </w:p>
    <w:p w14:paraId="450D3D71" w14:textId="77777777" w:rsidR="004B0729" w:rsidRPr="008D092F" w:rsidRDefault="004B0729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</w:p>
    <w:p w14:paraId="02F59A16" w14:textId="00602A9D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</w:p>
    <w:p w14:paraId="13330D78" w14:textId="77777777" w:rsidR="00FE2A9E" w:rsidRPr="008D092F" w:rsidRDefault="00FE2A9E" w:rsidP="004B0729">
      <w:pPr>
        <w:spacing w:after="0"/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lastRenderedPageBreak/>
        <w:t>Процедура усвајања Плана спремности на ризике</w:t>
      </w:r>
    </w:p>
    <w:p w14:paraId="28986C31" w14:textId="4061838B" w:rsidR="00FE2A9E" w:rsidRPr="008D092F" w:rsidRDefault="00FE2A9E" w:rsidP="004B0729">
      <w:pPr>
        <w:spacing w:after="0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Члан 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4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</w:p>
    <w:p w14:paraId="7A7B6518" w14:textId="3A99D73F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На основу регионалних и националних електроенергетских кризних сценарија, Министарство </w:t>
      </w:r>
      <w:r w:rsidR="00227CB5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надлежно за послове енергетике (у даљем тексту:Министарство) 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израђује Нацрт плана спремности на ризике (у даљем тексту: Нацрт плана) након </w:t>
      </w:r>
      <w:r w:rsidR="00912A4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спроведених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консултација са оператором преносног система, оператором дистрибутивног система, </w:t>
      </w:r>
      <w:r w:rsidR="00C76AC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релевантним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произвођачима електричне енергије, </w:t>
      </w:r>
      <w:r w:rsidR="008B05F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или њиховим телима за трговину, енергетским субјектима у области електричне енергије и природног гаса, и релевантним организацијама које заступају интересе индустријских и неиндустријских купаца електричне енергије</w:t>
      </w:r>
      <w:r w:rsidR="002D785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,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снабдевачима</w:t>
      </w:r>
      <w:r w:rsidR="009D1E1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, надлежним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државним органима, Агенцијом</w:t>
      </w:r>
      <w:r w:rsidR="00227CB5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за енергетику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 крајњим купцимa.</w:t>
      </w:r>
    </w:p>
    <w:p w14:paraId="3236F7D6" w14:textId="3DE7497D" w:rsidR="003B4A9B" w:rsidRPr="008D092F" w:rsidRDefault="00523D64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="003B4A9B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лектроенергетски кризни сценариј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и из става 1. овог члана</w:t>
      </w:r>
      <w:r w:rsidR="0054008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7C329D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утврђују</w:t>
      </w:r>
      <w:r w:rsidR="0054008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се у складу са </w:t>
      </w:r>
      <w:r w:rsidR="00B065E4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м</w:t>
      </w:r>
      <w:r w:rsidR="0054008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ето</w:t>
      </w:r>
      <w:r w:rsidR="009A589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до</w:t>
      </w:r>
      <w:r w:rsidR="0054008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логијом</w:t>
      </w:r>
      <w:r w:rsidR="00367472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2B2330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ЕНТСО-Е</w:t>
      </w:r>
      <w:r w:rsidR="0035664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за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AC62AB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утврђивање регионалних електроенергетских кризних сценарија</w:t>
      </w:r>
      <w:r w:rsidR="00F87F81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, кој</w:t>
      </w:r>
      <w:r w:rsidR="00065BA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ом</w:t>
      </w:r>
      <w:r w:rsidR="001F2C5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су обухваћени и</w:t>
      </w:r>
      <w:r w:rsidR="00F0700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сценарији на</w:t>
      </w:r>
      <w:r w:rsidR="001F2C5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националн</w:t>
      </w:r>
      <w:r w:rsidR="00F0700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ом нивоу.</w:t>
      </w:r>
      <w:r w:rsidR="001F2C5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</w:p>
    <w:p w14:paraId="6AE24CFE" w14:textId="1D88D775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Нацрт плана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,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пре усвајања, Министарство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доставља на консултације </w:t>
      </w:r>
      <w:r w:rsidRPr="008D092F">
        <w:rPr>
          <w:rFonts w:ascii="Times New Roman" w:eastAsia="Times New Roman" w:hAnsi="Times New Roman" w:cs="Times New Roman"/>
          <w:kern w:val="2"/>
          <w:sz w:val="24"/>
          <w:szCs w:val="24"/>
          <w:lang w:val="sr-Cyrl-CS" w:eastAsia="sr-Latn-RS"/>
        </w:rPr>
        <w:t>другим</w:t>
      </w:r>
      <w:r w:rsidRPr="008D092F" w:rsidDel="007F53B4">
        <w:rPr>
          <w:rFonts w:ascii="Times New Roman" w:eastAsia="Times New Roman" w:hAnsi="Times New Roman" w:cs="Times New Roman"/>
          <w:kern w:val="2"/>
          <w:sz w:val="24"/>
          <w:szCs w:val="24"/>
          <w:lang w:val="sr-Cyrl-CS" w:eastAsia="sr-Latn-RS"/>
        </w:rPr>
        <w:t xml:space="preserve"> </w:t>
      </w:r>
      <w:r w:rsidRPr="008D092F">
        <w:rPr>
          <w:rFonts w:ascii="Times New Roman" w:eastAsia="Times New Roman" w:hAnsi="Times New Roman" w:cs="Times New Roman"/>
          <w:kern w:val="2"/>
          <w:sz w:val="24"/>
          <w:szCs w:val="24"/>
          <w:lang w:val="sr-Cyrl-CS" w:eastAsia="sr-Latn-RS"/>
        </w:rPr>
        <w:t>надлежним органима држава у</w:t>
      </w:r>
      <w:r w:rsidR="007D6F01" w:rsidRPr="008D092F">
        <w:rPr>
          <w:rFonts w:ascii="Times New Roman" w:eastAsia="Times New Roman" w:hAnsi="Times New Roman" w:cs="Times New Roman"/>
          <w:kern w:val="2"/>
          <w:sz w:val="24"/>
          <w:szCs w:val="24"/>
          <w:lang w:val="sr-Cyrl-CS" w:eastAsia="sr-Latn-RS"/>
        </w:rPr>
        <w:t xml:space="preserve"> </w:t>
      </w:r>
      <w:r w:rsidRPr="008D092F">
        <w:rPr>
          <w:rFonts w:ascii="Times New Roman" w:eastAsia="Times New Roman" w:hAnsi="Times New Roman" w:cs="Times New Roman"/>
          <w:kern w:val="2"/>
          <w:sz w:val="24"/>
          <w:szCs w:val="24"/>
          <w:lang w:val="sr-Cyrl-CS" w:eastAsia="sr-Latn-RS"/>
        </w:rPr>
        <w:t>региону</w:t>
      </w:r>
      <w:r w:rsidR="000F6F2F" w:rsidRPr="008D092F">
        <w:rPr>
          <w:rFonts w:ascii="Times New Roman" w:eastAsia="Times New Roman" w:hAnsi="Times New Roman" w:cs="Times New Roman"/>
          <w:kern w:val="2"/>
          <w:sz w:val="24"/>
          <w:szCs w:val="24"/>
          <w:lang w:val="sr-Cyrl-CS" w:eastAsia="sr-Latn-RS"/>
        </w:rPr>
        <w:t>,</w:t>
      </w:r>
      <w:r w:rsidR="00521067" w:rsidRPr="008D092F">
        <w:rPr>
          <w:rFonts w:ascii="Times New Roman" w:eastAsia="Times New Roman" w:hAnsi="Times New Roman" w:cs="Times New Roman"/>
          <w:kern w:val="2"/>
          <w:sz w:val="24"/>
          <w:szCs w:val="24"/>
          <w:lang w:val="sr-Cyrl-CS" w:eastAsia="sr-Latn-RS"/>
        </w:rPr>
        <w:t xml:space="preserve"> и тамо где нису у истом региону, надлежним органима држава</w:t>
      </w:r>
      <w:r w:rsidR="000F6F2F" w:rsidRPr="008D092F">
        <w:rPr>
          <w:rFonts w:ascii="Times New Roman" w:eastAsia="Times New Roman" w:hAnsi="Times New Roman" w:cs="Times New Roman"/>
          <w:kern w:val="2"/>
          <w:sz w:val="24"/>
          <w:szCs w:val="24"/>
          <w:lang w:val="sr-Cyrl-CS" w:eastAsia="sr-Latn-RS"/>
        </w:rPr>
        <w:t xml:space="preserve"> </w:t>
      </w:r>
      <w:r w:rsidRPr="008D092F">
        <w:rPr>
          <w:rFonts w:ascii="Times New Roman" w:eastAsia="Times New Roman" w:hAnsi="Times New Roman" w:cs="Times New Roman"/>
          <w:kern w:val="2"/>
          <w:sz w:val="24"/>
          <w:szCs w:val="24"/>
          <w:lang w:val="sr-Cyrl-CS" w:eastAsia="sr-Latn-RS"/>
        </w:rPr>
        <w:t>с којима су преносни системи директно повезани,</w:t>
      </w:r>
      <w:r w:rsidR="00FD3D95" w:rsidRPr="008D092F">
        <w:rPr>
          <w:lang w:val="sr-Cyrl-CS"/>
        </w:rPr>
        <w:t xml:space="preserve"> </w:t>
      </w:r>
      <w:r w:rsidRPr="008D092F">
        <w:rPr>
          <w:rFonts w:ascii="Times New Roman" w:eastAsia="Times New Roman" w:hAnsi="Times New Roman" w:cs="Times New Roman"/>
          <w:kern w:val="2"/>
          <w:sz w:val="24"/>
          <w:szCs w:val="24"/>
          <w:lang w:val="sr-Cyrl-CS" w:eastAsia="sr-Latn-RS"/>
        </w:rPr>
        <w:t xml:space="preserve">као и Координационој групи за сигурност снабдевања,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који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након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разматра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ња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достављен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ог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Нацрт плана  могу у року од шест месеци од дана пријема Нацрта плана доставити своје препоруке. </w:t>
      </w:r>
    </w:p>
    <w:p w14:paraId="06B08F1C" w14:textId="46A12A84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Министарство након завршених активности из става </w:t>
      </w:r>
      <w:r w:rsidR="00A7265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3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. овог члана припрема предлог Плана </w:t>
      </w:r>
      <w:r w:rsidR="0062776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узимајући у обзир добијене препоруке и рез</w:t>
      </w:r>
      <w:r w:rsidR="008E772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ултате консултација са органима из ст</w:t>
      </w:r>
      <w:r w:rsidR="00A004B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  <w:r w:rsidR="008E772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1. и 3. овог члана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и предлаже Влади његово усвајање.</w:t>
      </w:r>
    </w:p>
    <w:p w14:paraId="3E6EC8C3" w14:textId="42DD31A7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Након усвајања Плана спремности на ризике, Министарство </w:t>
      </w:r>
      <w:r w:rsidR="00B07DF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тај план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без одлагања доставља</w:t>
      </w:r>
      <w:r w:rsidR="00FE713D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Секретаријату Ене</w:t>
      </w:r>
      <w:r w:rsid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р</w:t>
      </w:r>
      <w:r w:rsidR="00FE713D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гетске заједнице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</w:p>
    <w:p w14:paraId="3B18C565" w14:textId="601B5153" w:rsidR="00FE2A9E" w:rsidRPr="008D092F" w:rsidRDefault="00D73847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Секретаријат Енергетске заједнице, након консултације са </w:t>
      </w:r>
      <w:r w:rsidRPr="008D092F">
        <w:rPr>
          <w:rFonts w:ascii="Times New Roman" w:eastAsia="Times New Roman" w:hAnsi="Times New Roman" w:cs="Times New Roman"/>
          <w:kern w:val="2"/>
          <w:sz w:val="24"/>
          <w:szCs w:val="24"/>
          <w:lang w:val="sr-Cyrl-CS" w:eastAsia="sr-Latn-RS"/>
        </w:rPr>
        <w:t xml:space="preserve">Координационом групом за сигурност снабдевања, доноси необавезујуће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мишљење са детаљним образложењем и препоруком да</w:t>
      </w:r>
      <w:r w:rsidR="00E37F71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4100E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Министарство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преиспита  План спремности на ризике у случају да  </w:t>
      </w:r>
      <w:r w:rsidR="009B5A61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</w:t>
      </w:r>
      <w:r w:rsidR="00FE2A9E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лан: </w:t>
      </w:r>
    </w:p>
    <w:p w14:paraId="40598464" w14:textId="604AC507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(а)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  <w:t>није ефикасан за ублажавање ризика идентификованих у</w:t>
      </w:r>
      <w:r w:rsidR="0034240D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9D1E1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електроенергетским кризним сценаријима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;</w:t>
      </w:r>
    </w:p>
    <w:p w14:paraId="4538BBDB" w14:textId="1DE07A81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(б)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  <w:t xml:space="preserve">није у складу са идентификованим </w:t>
      </w:r>
      <w:r w:rsidR="007724E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електроенергетским кризним сценаријима</w:t>
      </w:r>
      <w:r w:rsidR="007724E8" w:rsidRPr="008D092F" w:rsidDel="009D1E1A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или са </w:t>
      </w:r>
      <w:r w:rsidR="009B5A61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ланом спремности на ризик</w:t>
      </w:r>
      <w:r w:rsidR="00A31AF7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друге Уговорне стране;</w:t>
      </w:r>
    </w:p>
    <w:p w14:paraId="2C8B9DFF" w14:textId="390CA49A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(в)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  <w:t>не обухвата националне мере, регионалне мере и где је то применљиво, билатералне мере у складу са чланом 5. ове уредбе и</w:t>
      </w:r>
      <w:r w:rsidR="0052106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није усклађен са тржишним правилима из члана 11ј Закона о енергетици (у даљем тексту Закона); </w:t>
      </w:r>
    </w:p>
    <w:p w14:paraId="03390686" w14:textId="77777777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(г)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  <w:t>поставља мере које би могле да угрозе сигурност снабдевања електричном енергијом других Уговорних страна;</w:t>
      </w:r>
    </w:p>
    <w:p w14:paraId="3DBBEFB6" w14:textId="77777777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(д)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  <w:t>неоправдано нарушава конкуренцију или ефикасно функционисање унутрашњег тржишта; или</w:t>
      </w:r>
    </w:p>
    <w:p w14:paraId="6DE7F953" w14:textId="2723BDFD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(ђ)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  <w:t xml:space="preserve">није у складу са одредбама ове уредбе или другим одредбама </w:t>
      </w:r>
      <w:r w:rsidR="00E3249E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Уговора о оснивању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Енергетске заједнице</w:t>
      </w:r>
      <w:r w:rsidR="00B07DF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</w:p>
    <w:p w14:paraId="0DEFD165" w14:textId="79144762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У року од три месеца од пријема мишљења из става </w:t>
      </w:r>
      <w:r w:rsidR="00B07DF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6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. овог члана, Министарство је дужно да размотри достављено мишљење и обавести </w:t>
      </w:r>
      <w:r w:rsidR="002B49C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Секретаријат Ене</w:t>
      </w:r>
      <w:r w:rsidR="00E72265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р</w:t>
      </w:r>
      <w:r w:rsidR="002B49C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гетске заједнице о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измењеном </w:t>
      </w:r>
      <w:r w:rsidR="009B5A61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лану спремности на ризик</w:t>
      </w:r>
      <w:r w:rsidR="00D0418D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или о разлозима због којих не прихвата препоруке.</w:t>
      </w:r>
    </w:p>
    <w:p w14:paraId="4440BFDF" w14:textId="4A8860EF" w:rsidR="00FE2A9E" w:rsidRPr="008D092F" w:rsidRDefault="00FE2A9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lastRenderedPageBreak/>
        <w:t xml:space="preserve">У случају да Министарство уложи приговор на препоруку </w:t>
      </w:r>
      <w:r w:rsidR="002B49C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Секретаријата Ене</w:t>
      </w:r>
      <w:r w:rsidR="00270C2D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р</w:t>
      </w:r>
      <w:r w:rsidR="002B49C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гетске заједнице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 да се коначни став Министарства разликује од детаљних разлога </w:t>
      </w:r>
      <w:r w:rsidR="002B49C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Секретаријат</w:t>
      </w:r>
      <w:r w:rsidR="00652394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а </w:t>
      </w:r>
      <w:r w:rsidR="002B49C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Ене</w:t>
      </w:r>
      <w:r w:rsidR="00953E27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р</w:t>
      </w:r>
      <w:r w:rsidR="002B49C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гетске заједнице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, Министарство је дужно да </w:t>
      </w:r>
      <w:r w:rsidR="00652394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Секретаријату Ене</w:t>
      </w:r>
      <w:r w:rsidR="00953E27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р</w:t>
      </w:r>
      <w:r w:rsidR="00652394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гетске заједнице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достави разлоге за свој став у року од два месеца од пријема детаљних разлога надлежног тела сагласно обавезама које произлазе из потврђених међународних уговора.</w:t>
      </w:r>
    </w:p>
    <w:p w14:paraId="592D334D" w14:textId="77777777" w:rsidR="00AF3CBC" w:rsidRPr="008D092F" w:rsidRDefault="00AF3CBC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</w:p>
    <w:p w14:paraId="7A285D23" w14:textId="06FD2812" w:rsidR="00AF3CBC" w:rsidRPr="008D092F" w:rsidRDefault="00AF3CBC" w:rsidP="004B0729">
      <w:pPr>
        <w:spacing w:after="0"/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>Садржина Плана спремности на ризик</w:t>
      </w:r>
      <w:r w:rsidR="00EF561E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>е</w:t>
      </w:r>
      <w:r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 xml:space="preserve"> и Образац </w:t>
      </w:r>
      <w:r w:rsidR="005341AA"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>за План</w:t>
      </w:r>
      <w:r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 xml:space="preserve"> спремности</w:t>
      </w:r>
      <w:r w:rsidR="005341AA"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 xml:space="preserve"> на ризик</w:t>
      </w:r>
      <w:r w:rsidR="00EF561E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>е</w:t>
      </w:r>
    </w:p>
    <w:p w14:paraId="798A07EA" w14:textId="72A81F1C" w:rsidR="00AF3CBC" w:rsidRPr="008D092F" w:rsidRDefault="00AF3CBC" w:rsidP="004B0729">
      <w:pPr>
        <w:spacing w:after="0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Члан </w:t>
      </w:r>
      <w:r w:rsidR="001009BB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5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</w:p>
    <w:p w14:paraId="73A41672" w14:textId="558AAFA0" w:rsidR="00E51929" w:rsidRPr="008D092F" w:rsidRDefault="00AF3CBC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План спремности на ризике утврђује све националне мере које се планирају или предузимају у циљу спречавања</w:t>
      </w:r>
      <w:r w:rsidR="000E128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настанка ризика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, припреме за електроенергетску кризу и њено ублажавање, идентификованих у складу са чланом 11в Закона</w:t>
      </w:r>
      <w:r w:rsidR="00E5192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</w:p>
    <w:p w14:paraId="3F5E941E" w14:textId="010D6C26" w:rsidR="00AF3CBC" w:rsidRPr="008D092F" w:rsidRDefault="00AF3CBC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План </w:t>
      </w:r>
      <w:r w:rsidR="005341AA"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>спремности на ризик</w:t>
      </w:r>
      <w:r w:rsidR="001A1544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>е</w:t>
      </w:r>
      <w:r w:rsidR="005341A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садржи најмање:</w:t>
      </w:r>
    </w:p>
    <w:p w14:paraId="2A652355" w14:textId="6C4660D5" w:rsidR="00AF3CBC" w:rsidRPr="008D092F" w:rsidRDefault="00BC365A" w:rsidP="00B07DF8">
      <w:pPr>
        <w:spacing w:after="0"/>
        <w:ind w:firstLine="36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     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(а) </w:t>
      </w:r>
      <w:r w:rsidR="00D7384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кратак преглед </w:t>
      </w:r>
      <w:r w:rsidR="003C065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електроенергетских кризних сценарија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;</w:t>
      </w:r>
    </w:p>
    <w:p w14:paraId="050944F5" w14:textId="149FE4A3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(б) 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  <w:t xml:space="preserve"> улог</w:t>
      </w:r>
      <w:r w:rsidR="00D7384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 одговорности надлежног органа и опис који су послови, ако их има, делегирани другим органима;</w:t>
      </w:r>
    </w:p>
    <w:p w14:paraId="4FA70CA5" w14:textId="6B8B32E6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(в)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  <w:t>опис национал</w:t>
      </w:r>
      <w:r w:rsidR="000A6A18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н</w:t>
      </w:r>
      <w:r w:rsidR="00D7384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их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мер</w:t>
      </w:r>
      <w:r w:rsidR="00D7384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а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за спречавање</w:t>
      </w:r>
      <w:r w:rsidR="000E128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настанка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или припрему за идентификоване ризике;</w:t>
      </w:r>
    </w:p>
    <w:p w14:paraId="569D0522" w14:textId="549AEC74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(г) одређ</w:t>
      </w:r>
      <w:r w:rsidR="00FC5BC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ивање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националног кризног координатора и утврђ</w:t>
      </w:r>
      <w:r w:rsidR="00FC5BC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ивање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његов</w:t>
      </w:r>
      <w:r w:rsidR="00FC5BC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их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зада</w:t>
      </w:r>
      <w:r w:rsidR="00FC5BC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така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;</w:t>
      </w:r>
    </w:p>
    <w:p w14:paraId="60DAD878" w14:textId="566DFBBA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(д) детаљне процедуре које треба следити у електроенергетским кризама, укључујући одговарајуће шеме о токовима информација;</w:t>
      </w:r>
    </w:p>
    <w:p w14:paraId="46AF5BBE" w14:textId="545EE363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(ђ) допринос тржишних мера у суочавању са електроенергетском кризом, посебно мере на страни потражње и понуде;</w:t>
      </w:r>
    </w:p>
    <w:p w14:paraId="505F744B" w14:textId="57463E7B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(е) могуће нетржишне мере које се примењују у електроенергетским кризама, наводећи </w:t>
      </w:r>
      <w:r w:rsidR="00AF5B27" w:rsidRPr="008D092F">
        <w:rPr>
          <w:rFonts w:ascii="Times New Roman" w:hAnsi="Times New Roman" w:cs="Times New Roman"/>
          <w:sz w:val="24"/>
          <w:szCs w:val="24"/>
          <w:lang w:val="sr-Cyrl-CS"/>
        </w:rPr>
        <w:t>посебно околности у којима се мере активирају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, услове и процедуре за њихову примену и</w:t>
      </w:r>
      <w:r w:rsidR="00E37591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0E128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усклађеност са законским захтевима, водећи рачуна о 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регионалним и билатералним мерама;</w:t>
      </w:r>
    </w:p>
    <w:p w14:paraId="78FD4D24" w14:textId="3CD7D5A4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(ж) оквир за </w:t>
      </w:r>
      <w:r w:rsidR="00B40655" w:rsidRPr="008D092F">
        <w:rPr>
          <w:rFonts w:ascii="Times New Roman" w:hAnsi="Times New Roman" w:cs="Times New Roman"/>
          <w:sz w:val="24"/>
          <w:szCs w:val="24"/>
          <w:lang w:val="sr-Cyrl-CS"/>
        </w:rPr>
        <w:t>ограничење испоруке електричне енергије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, одређујући околности у којима се</w:t>
      </w:r>
      <w:r w:rsidR="00F0533D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обуставља испорука водећи рачуна о јавној и личној безбедности, 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прецизира</w:t>
      </w:r>
      <w:r w:rsidR="00FC5BC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ње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које категорије корисника електричне енергије, у складу са националним законом, имају право на посебну заштиту од обуставе испоруке, оправдавајући потребу за таквом заштитом и прецизира</w:t>
      </w:r>
      <w:r w:rsidR="00FC5BC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ње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како оператори преносног система и оператори дистрибутивних система укључених држава треба да смање потрошњу;</w:t>
      </w:r>
    </w:p>
    <w:p w14:paraId="28854D80" w14:textId="47AB66CC" w:rsidR="00AF3CBC" w:rsidRPr="008D092F" w:rsidRDefault="00BC365A" w:rsidP="004B0729">
      <w:pPr>
        <w:spacing w:after="0"/>
        <w:ind w:firstLine="36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(з) механизм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који се користе за информисање јавности о енергетским кризама;</w:t>
      </w:r>
    </w:p>
    <w:p w14:paraId="1CFADEE0" w14:textId="0ED9EDB3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(и)  националне мере неопходне за спровођење регионалних и где је то применљиво, билатералних мера;</w:t>
      </w:r>
    </w:p>
    <w:p w14:paraId="5F44F3C4" w14:textId="5980B77B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(ј) информације о повезаним и неопходним плановима за развој мреже који</w:t>
      </w:r>
      <w:r w:rsidR="0058779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м </w:t>
      </w:r>
      <w:r w:rsidR="00587793" w:rsidRPr="008D092F">
        <w:rPr>
          <w:rFonts w:ascii="Times New Roman" w:hAnsi="Times New Roman" w:cs="Times New Roman"/>
          <w:sz w:val="24"/>
          <w:szCs w:val="24"/>
          <w:lang w:val="sr-Cyrl-CS"/>
        </w:rPr>
        <w:t>се доприноси превазилажењу</w:t>
      </w:r>
      <w:r w:rsidR="00587793" w:rsidRPr="008D092F">
        <w:rPr>
          <w:rFonts w:ascii="Arial" w:hAnsi="Arial" w:cs="Arial"/>
          <w:lang w:val="sr-Cyrl-CS"/>
        </w:rPr>
        <w:t xml:space="preserve"> 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последица</w:t>
      </w:r>
      <w:r w:rsidR="0058779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идентификованих </w:t>
      </w:r>
      <w:r w:rsidR="001460E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електроенергетских кризних сценарија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</w:p>
    <w:p w14:paraId="73488F79" w14:textId="6357F1B6" w:rsidR="00AF3CBC" w:rsidRPr="008D092F" w:rsidRDefault="00AF3CBC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Националне мере</w:t>
      </w:r>
      <w:r w:rsidR="00F91BB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из става 1. овог члана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у потпуности узимају у обзир регионалне и где је то применљиво, билатералне мере и </w:t>
      </w:r>
      <w:r w:rsidR="00D4432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њима </w:t>
      </w:r>
      <w:r w:rsidR="001B31C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се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не угрожава</w:t>
      </w:r>
      <w:r w:rsidR="0065670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оперативн</w:t>
      </w:r>
      <w:r w:rsidR="001B31C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а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A30AD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сигурност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преносног система, као и сигурност снабдевања електричном енергијом других држава.</w:t>
      </w:r>
    </w:p>
    <w:p w14:paraId="3A9CFCA3" w14:textId="00742C40" w:rsidR="00F91BBF" w:rsidRPr="008D092F" w:rsidRDefault="00AF3CBC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Поред националних мера</w:t>
      </w:r>
      <w:r w:rsidR="00F91BB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из става 3.</w:t>
      </w:r>
      <w:r w:rsidR="00BC365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овог члана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, План спремности на ризике укључује регионалне и где је то применљиво, билатералне мере како би се обезбедило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lastRenderedPageBreak/>
        <w:t xml:space="preserve">да се енергетске кризе са прекограничним утицајем на </w:t>
      </w:r>
      <w:r w:rsidR="00B978A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правилан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начин спрече или да се њима на најбољи начин управља. </w:t>
      </w:r>
    </w:p>
    <w:p w14:paraId="45FF005C" w14:textId="77777777" w:rsidR="00F91BBF" w:rsidRPr="008D092F" w:rsidRDefault="00AF3CBC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Унутар одређеног региона, договарају се регионалне мере између суседних држава које имају техничку могућност да једна другој пружају помоћ. </w:t>
      </w:r>
    </w:p>
    <w:p w14:paraId="1E3FEC6A" w14:textId="315FC15C" w:rsidR="00F91BBF" w:rsidRPr="008D092F" w:rsidRDefault="00AF3CBC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Билатералне мере се договарају између држава које су директно повезане, али се не налазе у истом региону. </w:t>
      </w:r>
      <w:r w:rsidR="00F91BB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Уговорне стране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обезбе</w:t>
      </w:r>
      <w:r w:rsidR="00F91BB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ђују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доследност између регионалних и билатералних мера.</w:t>
      </w:r>
    </w:p>
    <w:p w14:paraId="41B51D07" w14:textId="7D82CEAE" w:rsidR="00AF3CBC" w:rsidRPr="008D092F" w:rsidRDefault="00AF3CBC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Регионалне и билатералне мере обухватају најмање:</w:t>
      </w:r>
    </w:p>
    <w:p w14:paraId="5C2769FC" w14:textId="2C12DFEC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(а) одређивање кризног координатора;</w:t>
      </w:r>
    </w:p>
    <w:p w14:paraId="6F19DD95" w14:textId="4C61F485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(б) механизме за размену информација и сарадњу;</w:t>
      </w:r>
    </w:p>
    <w:p w14:paraId="4E5692B1" w14:textId="455CF3CE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(в) координисане мере за ублажавање утицаја електроенергетске кризе, укључујући</w:t>
      </w:r>
      <w:r w:rsidR="00DB32D4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 случајеве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истовремен</w:t>
      </w:r>
      <w:r w:rsidR="00AE256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их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електроенергетск</w:t>
      </w:r>
      <w:r w:rsidR="00AE256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их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криз</w:t>
      </w:r>
      <w:r w:rsidR="00AE256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а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;</w:t>
      </w:r>
    </w:p>
    <w:p w14:paraId="6A4669FD" w14:textId="0FA6A7D4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(г) процедуре за спровођење годишњих или двогодишњих </w:t>
      </w:r>
      <w:r w:rsidR="00C1644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тестирања </w:t>
      </w:r>
      <w:r w:rsidR="009B5A61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ланова спремности на ризик</w:t>
      </w:r>
      <w:r w:rsidR="000C28F9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;</w:t>
      </w:r>
    </w:p>
    <w:p w14:paraId="2A5CF903" w14:textId="235BE676" w:rsidR="00AF3CBC" w:rsidRPr="008D092F" w:rsidRDefault="00BC365A" w:rsidP="004B0729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ab/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(д) покретачке механизме нетржишних мера</w:t>
      </w:r>
      <w:r w:rsidR="003963BF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, </w:t>
      </w:r>
      <w:r w:rsidR="003963BF"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када </w:t>
      </w:r>
      <w:r w:rsidR="007B7684"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су исцрпљене све могућности које произилазе из тржишних мера или </w:t>
      </w:r>
      <w:r w:rsidR="00153460" w:rsidRPr="008D092F">
        <w:rPr>
          <w:rFonts w:ascii="Times New Roman" w:hAnsi="Times New Roman" w:cs="Times New Roman"/>
          <w:sz w:val="24"/>
          <w:szCs w:val="24"/>
          <w:lang w:val="sr-Cyrl-CS"/>
        </w:rPr>
        <w:t>када</w:t>
      </w:r>
      <w:r w:rsidR="007B7684"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 тржишне мере нису довољне </w:t>
      </w:r>
      <w:r w:rsidR="00FD1BEE"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7B7684"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 спрече даље погоршањ</w:t>
      </w:r>
      <w:r w:rsidR="00FD1BEE" w:rsidRPr="008D092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B7684"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 ситуације снабдевања електричном енергијом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</w:p>
    <w:p w14:paraId="4BC9A35C" w14:textId="1A532137" w:rsidR="00AF3CBC" w:rsidRPr="008D092F" w:rsidRDefault="00ED4A6E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Министарство 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договара регионалне и билатералне мере које се укључују у План спремности на ризик</w:t>
      </w:r>
      <w:r w:rsidR="002D51DD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након консултација са релевантним регионалним координационим центрима. Најмање осам месеци пре истека рока за усвајање или ажурирање </w:t>
      </w:r>
      <w:r w:rsidR="009B5A61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лана спремности на ризик</w:t>
      </w:r>
      <w:r w:rsidR="00873825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,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Министарство 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извештава Координациону групу за сигурност снабдевања о постигнутим споразумима, сагласно обавезама које произлазе из потврђених међународних уговора. </w:t>
      </w:r>
    </w:p>
    <w:p w14:paraId="118CCDE7" w14:textId="6AC5BCF3" w:rsidR="00AF3CBC" w:rsidRPr="008D092F" w:rsidRDefault="00AF3CBC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 случају да Уговорне стране не постигну споразум, Министарство и</w:t>
      </w:r>
      <w:r w:rsidR="009043E4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други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надлежни органи</w:t>
      </w:r>
      <w:r w:rsidR="009043E4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Уговорних страна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обавештавају  </w:t>
      </w:r>
      <w:r w:rsidR="0050357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Секретаријат Ене</w:t>
      </w:r>
      <w:r w:rsidR="00B07DF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р</w:t>
      </w:r>
      <w:r w:rsidR="0050357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гетске заједнице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о разлозима таквог неслагања, које у том случају предлаже мере, укључујући механизам сарадње између Уговорних страна за закључивање споразума о регионалним и билатералним мерама.</w:t>
      </w:r>
    </w:p>
    <w:p w14:paraId="61C3C359" w14:textId="0499618F" w:rsidR="00AF3CBC" w:rsidRPr="008D092F" w:rsidRDefault="00AF3CBC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Уз укључивање </w:t>
      </w:r>
      <w:r w:rsidR="009D131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заинтересованих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страна, </w:t>
      </w:r>
      <w:r w:rsidR="0083067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Министарство 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периодично испитује ефикасност процедура развијених у </w:t>
      </w:r>
      <w:r w:rsidR="009B5A61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лановима спремности на ризик</w:t>
      </w:r>
      <w:r w:rsidR="007C2C55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ради спречавања електроенергетских криза и спроводи </w:t>
      </w:r>
      <w:r w:rsidR="009A0FFE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једном у две године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симулације</w:t>
      </w:r>
      <w:r w:rsidR="00DC0BA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електроенергетских криза, конкретно </w:t>
      </w:r>
      <w:r w:rsidR="009A0FFE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преиспитујући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те механизме.</w:t>
      </w:r>
    </w:p>
    <w:p w14:paraId="2E2A2285" w14:textId="41938F63" w:rsidR="00AF3CBC" w:rsidRPr="008D092F" w:rsidRDefault="00AF3CBC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Образац </w:t>
      </w:r>
      <w:r w:rsidR="008B0A57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за План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спремности на ризик</w:t>
      </w:r>
      <w:r w:rsidR="004A6137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="005341A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,</w:t>
      </w:r>
      <w:r w:rsidR="00856BE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5341A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је одштанпан уз ову уредбу </w:t>
      </w:r>
      <w:r w:rsidR="00856BE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 чини њен саставни део.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</w:p>
    <w:p w14:paraId="50D6AA6D" w14:textId="77777777" w:rsidR="00E239C7" w:rsidRPr="008D092F" w:rsidRDefault="00E239C7" w:rsidP="004B0729">
      <w:pPr>
        <w:spacing w:after="0"/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</w:pPr>
    </w:p>
    <w:p w14:paraId="0012E9CE" w14:textId="3E80FA97" w:rsidR="00AF3CBC" w:rsidRPr="008D092F" w:rsidRDefault="00AF3CBC" w:rsidP="004B0729">
      <w:pPr>
        <w:spacing w:after="0"/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>Начин одређивања правичне накнаде</w:t>
      </w:r>
      <w:r w:rsidR="0091052F" w:rsidRPr="008D092F">
        <w:rPr>
          <w:rFonts w:ascii="Times New Roman" w:eastAsia="Calibri" w:hAnsi="Times New Roman" w:cs="Times New Roman"/>
          <w:bCs/>
          <w:kern w:val="2"/>
          <w:sz w:val="24"/>
          <w:szCs w:val="24"/>
          <w:lang w:val="sr-Cyrl-CS"/>
        </w:rPr>
        <w:t xml:space="preserve"> за испоручену електричну енергију у међународној сарадњи</w:t>
      </w:r>
    </w:p>
    <w:p w14:paraId="70A030B7" w14:textId="4189A596" w:rsidR="00AF3CBC" w:rsidRPr="008D092F" w:rsidRDefault="00AF3CBC" w:rsidP="004B0729">
      <w:pPr>
        <w:spacing w:after="0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Члан </w:t>
      </w:r>
      <w:r w:rsidR="001009BB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6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</w:p>
    <w:p w14:paraId="4C79D51E" w14:textId="4AF4305C" w:rsidR="00AF3CBC" w:rsidRPr="008D092F" w:rsidRDefault="002766D5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Уговорн</w:t>
      </w:r>
      <w:r w:rsidR="00FA3D05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стран</w:t>
      </w:r>
      <w:r w:rsidR="00FA3D05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е</w:t>
      </w:r>
      <w:r w:rsidR="00F714D3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када  располаж</w:t>
      </w:r>
      <w:r w:rsidR="003B3DED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у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техничким могућностима понудиће једна другој помоћ у духу солидарности и у циљу спречавања електроенергетских криза или управљања њима, сагласно члану 11е став 1</w:t>
      </w:r>
      <w:r w:rsidR="00465854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Закона</w:t>
      </w:r>
      <w:r w:rsidR="00E5192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</w:p>
    <w:p w14:paraId="78F1B217" w14:textId="351459FE" w:rsidR="00AF3CBC" w:rsidRPr="008D092F" w:rsidRDefault="000025CD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Уговорна страна  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која даје и </w:t>
      </w:r>
      <w:r w:rsidR="00877188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уговорна страна 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која прима помоћ се договарају пре пружања те помоћи, са циљем заштите јавне и личне безбедности,  о регионалним или билатералним мерама по сопственом избору како би електричну енергију испоручиле на координи</w:t>
      </w:r>
      <w:r w:rsidR="001F087A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ан начин, односно</w:t>
      </w:r>
      <w:r w:rsidR="00CC3E0B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договарају</w:t>
      </w:r>
      <w:r w:rsidR="00AF3CB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се о неопходним техничким, правним и финансијским аранжманима за спровођење тих мера. </w:t>
      </w:r>
    </w:p>
    <w:p w14:paraId="3DAD1258" w14:textId="77777777" w:rsidR="00B35374" w:rsidRPr="008D092F" w:rsidRDefault="00AF3CBC" w:rsidP="005C35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lastRenderedPageBreak/>
        <w:t xml:space="preserve">Аранжмани из става 2. овог члана, између осталог, одређују максималну количину електричне енергије која </w:t>
      </w:r>
      <w:r w:rsidR="00DE2E26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би 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се</w:t>
      </w:r>
      <w:r w:rsidR="00B500FD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могла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испоруч</w:t>
      </w:r>
      <w:r w:rsidR="00AA40A9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и</w:t>
      </w:r>
      <w:r w:rsidR="00B500FD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ти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на регионалном или билатералном </w:t>
      </w:r>
      <w:r w:rsidR="00B35374"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нивоу, околности које треба да наступе, а које представљају окидач за било какву помоћ, обуставу помоћи, начин на који се електрична енергија испоручује и одредбе о правичној накнади. </w:t>
      </w:r>
    </w:p>
    <w:p w14:paraId="33A57C0E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Помоћ подлеже претходном споразуму између Уговорних страна у погледу  правичне  накнаде, што обухвата  најмање: </w:t>
      </w:r>
    </w:p>
    <w:p w14:paraId="6E9506DD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(а) трошкове електричне енергије испоручене на подручје државе која тражи помоћ и повезане трошкове преноса и</w:t>
      </w:r>
    </w:p>
    <w:p w14:paraId="66354E0F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(б) све друге разумне трошкове који су настали у држави која пружа помоћ, укључујући накнаду за помоћ која је припремљена, али није активирана, као и све трошкове који проистичу из судских поступака, арбитражних поступака или сличних поступака и поравнања. </w:t>
      </w:r>
    </w:p>
    <w:p w14:paraId="2600865E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Правична накнада обухвата поред осталог, све разумне трошкове које Уговорна страна мора да плати због обавезе плаћања накнаде на основу основних права загарантованих законом Енергетске заједнице и сагласно обавезама које произлазе из потврђених међународних уговора и остале оправдане трошкове настале плаћањем накнаде у складу са националним правима о накнади трошкова. </w:t>
      </w:r>
    </w:p>
    <w:p w14:paraId="7D2F93B8" w14:textId="3A69FFBF" w:rsidR="00B35374" w:rsidRPr="008D092F" w:rsidRDefault="00B07DF8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35374" w:rsidRPr="008D092F">
        <w:rPr>
          <w:rFonts w:ascii="Times New Roman" w:hAnsi="Times New Roman" w:cs="Times New Roman"/>
          <w:sz w:val="24"/>
          <w:szCs w:val="24"/>
          <w:lang w:val="sr-Cyrl-CS"/>
        </w:rPr>
        <w:t>Уговорна страна која тражи помоћ одмах плаћа, или обезбеђује благовремену исплату правичне накнаде Уговорној страни која пружа помоћ.</w:t>
      </w:r>
    </w:p>
    <w:p w14:paraId="2542F64D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EFB693" w14:textId="77777777" w:rsidR="00B35374" w:rsidRPr="008D092F" w:rsidRDefault="00B35374" w:rsidP="00B353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>Начин израде и садржај Извештаја о накнадној евалуацији кризе</w:t>
      </w:r>
    </w:p>
    <w:p w14:paraId="4B3BEDA2" w14:textId="77777777" w:rsidR="00B35374" w:rsidRPr="008D092F" w:rsidRDefault="00B35374" w:rsidP="00B353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14:paraId="55183D96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Најкасније три  месеца након завршетка електроенергетске кризе, а након консултација са Агенцијом за енергетику и крајњим купцимa, Министарство израђује Извештај о накнадној евалуацији кризе који садржи следеће:</w:t>
      </w:r>
    </w:p>
    <w:p w14:paraId="1DFF8640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(а)</w:t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опис догађаја који је покренуо електроенергетску кризу;</w:t>
      </w:r>
    </w:p>
    <w:p w14:paraId="6ECE0829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(б)</w:t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опис свих предузетих превентивних, припремних и ублажавајућих мера и процена њихове пропорционалности и ефикасности;</w:t>
      </w:r>
    </w:p>
    <w:p w14:paraId="711BEE99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(в)</w:t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процену прекограничног утицаја предузетих мера;</w:t>
      </w:r>
    </w:p>
    <w:p w14:paraId="579D5E63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(г)</w:t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извештај о помоћи која се припремала или пружила суседним државама, односно помоћ која је примљена од суседних држава, а независно да ли је помоћ пружена или примљена од суседних и трећих држава;</w:t>
      </w:r>
    </w:p>
    <w:p w14:paraId="4B3AF114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(д)</w:t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економски утицај електроенергетске кризе и утицај предузетих мера на електроенергетски сектор у мери у којој то дозвољавају подаци доступни у време процене, посебно количина енергије која није испоручена и ниво ограничење испоруке електричне енергије по захтеву (укључујући поређење између степена добровољне  и принудне обуставе испоруке електричне енергије);</w:t>
      </w:r>
    </w:p>
    <w:p w14:paraId="2F3F626F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(ђ)</w:t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разлоге који оправдавају примену било каквих нетржишних мера;</w:t>
      </w:r>
    </w:p>
    <w:p w14:paraId="2DB011D2" w14:textId="198EE2B9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(е)</w:t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сва могућа побољшања или предложена побољшања Плана спремности на ризик</w:t>
      </w:r>
      <w:r w:rsidR="009529A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6A8626E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(ж)</w:t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преглед могућих побољшања у развоју мреже у случајевима када је недовољан развој мреже проузроковао или допринео енергетској кризи.</w:t>
      </w:r>
    </w:p>
    <w:p w14:paraId="14D4F832" w14:textId="77777777" w:rsidR="00B35374" w:rsidRPr="008D092F" w:rsidRDefault="00B35374" w:rsidP="00B3537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>Резултате евалуације треба  узети у обзир приликом ажурирања планова спремности  на ризике.</w:t>
      </w:r>
    </w:p>
    <w:p w14:paraId="3BA10864" w14:textId="5E6AAE49" w:rsidR="00232141" w:rsidRPr="008D092F" w:rsidRDefault="00232141" w:rsidP="00B35374">
      <w:pPr>
        <w:spacing w:after="0"/>
        <w:ind w:firstLine="720"/>
        <w:jc w:val="both"/>
        <w:rPr>
          <w:rFonts w:ascii="Times New Roman" w:eastAsia="Calibri" w:hAnsi="Times New Roman" w:cs="Times New Roman"/>
          <w:bCs/>
          <w:iCs/>
          <w:kern w:val="2"/>
          <w:sz w:val="24"/>
          <w:szCs w:val="24"/>
          <w:lang w:val="sr-Cyrl-CS"/>
        </w:rPr>
      </w:pPr>
    </w:p>
    <w:p w14:paraId="1D2C5456" w14:textId="77777777" w:rsidR="00232141" w:rsidRPr="008D092F" w:rsidRDefault="00232141" w:rsidP="004B0729">
      <w:pPr>
        <w:spacing w:after="0"/>
        <w:jc w:val="center"/>
        <w:rPr>
          <w:rFonts w:ascii="Times New Roman" w:eastAsia="Calibri" w:hAnsi="Times New Roman" w:cs="Times New Roman"/>
          <w:bCs/>
          <w:iCs/>
          <w:kern w:val="2"/>
          <w:sz w:val="24"/>
          <w:szCs w:val="24"/>
          <w:lang w:val="sr-Cyrl-CS"/>
        </w:rPr>
      </w:pPr>
    </w:p>
    <w:p w14:paraId="138AA72E" w14:textId="77777777" w:rsidR="00232141" w:rsidRPr="008D092F" w:rsidRDefault="00232141" w:rsidP="004B0729">
      <w:pPr>
        <w:spacing w:after="0"/>
        <w:jc w:val="center"/>
        <w:rPr>
          <w:rFonts w:ascii="Times New Roman" w:eastAsia="Calibri" w:hAnsi="Times New Roman" w:cs="Times New Roman"/>
          <w:bCs/>
          <w:iCs/>
          <w:kern w:val="2"/>
          <w:sz w:val="24"/>
          <w:szCs w:val="24"/>
          <w:lang w:val="sr-Cyrl-CS"/>
        </w:rPr>
      </w:pPr>
    </w:p>
    <w:p w14:paraId="19206C31" w14:textId="680B4609" w:rsidR="001E0DE7" w:rsidRPr="008D092F" w:rsidRDefault="002A599E" w:rsidP="004B0729">
      <w:pPr>
        <w:spacing w:after="0"/>
        <w:jc w:val="center"/>
        <w:rPr>
          <w:rFonts w:ascii="Times New Roman" w:eastAsia="Calibri" w:hAnsi="Times New Roman" w:cs="Times New Roman"/>
          <w:bCs/>
          <w:iCs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bCs/>
          <w:iCs/>
          <w:kern w:val="2"/>
          <w:sz w:val="24"/>
          <w:szCs w:val="24"/>
          <w:lang w:val="sr-Cyrl-CS"/>
        </w:rPr>
        <w:t>Заврш</w:t>
      </w:r>
      <w:r w:rsidR="001E0DE7" w:rsidRPr="008D092F">
        <w:rPr>
          <w:rFonts w:ascii="Times New Roman" w:eastAsia="Calibri" w:hAnsi="Times New Roman" w:cs="Times New Roman"/>
          <w:bCs/>
          <w:iCs/>
          <w:kern w:val="2"/>
          <w:sz w:val="24"/>
          <w:szCs w:val="24"/>
          <w:lang w:val="sr-Cyrl-CS"/>
        </w:rPr>
        <w:t>н</w:t>
      </w:r>
      <w:r w:rsidRPr="008D092F">
        <w:rPr>
          <w:rFonts w:ascii="Times New Roman" w:eastAsia="Calibri" w:hAnsi="Times New Roman" w:cs="Times New Roman"/>
          <w:bCs/>
          <w:iCs/>
          <w:kern w:val="2"/>
          <w:sz w:val="24"/>
          <w:szCs w:val="24"/>
          <w:lang w:val="sr-Cyrl-CS"/>
        </w:rPr>
        <w:t>а одредба</w:t>
      </w:r>
    </w:p>
    <w:p w14:paraId="0BE35943" w14:textId="21C153E7" w:rsidR="001E0DE7" w:rsidRPr="008D092F" w:rsidRDefault="001E0DE7" w:rsidP="004B0729">
      <w:pPr>
        <w:spacing w:after="0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Члан </w:t>
      </w:r>
      <w:r w:rsidR="001009BB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8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</w:t>
      </w:r>
    </w:p>
    <w:p w14:paraId="044F8A27" w14:textId="5042345D" w:rsidR="00FE2A9E" w:rsidRPr="008D092F" w:rsidRDefault="001E0DE7" w:rsidP="004B0729">
      <w:pPr>
        <w:spacing w:after="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Ова уредба ступа на снагу осмог дана од дана објав</w:t>
      </w:r>
      <w:r w:rsidR="00174C0C"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љивања</w:t>
      </w:r>
      <w:r w:rsidRPr="008D092F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у „Службеном гласнику Републике Србије”.</w:t>
      </w:r>
    </w:p>
    <w:p w14:paraId="2A74A108" w14:textId="77777777" w:rsidR="00FD5890" w:rsidRPr="008D092F" w:rsidRDefault="00FD5890" w:rsidP="004B0729">
      <w:pPr>
        <w:spacing w:after="0"/>
        <w:rPr>
          <w:rFonts w:ascii="Times New Roman" w:hAnsi="Times New Roman" w:cs="Times New Roman"/>
          <w:lang w:val="sr-Cyrl-CS"/>
        </w:rPr>
      </w:pPr>
    </w:p>
    <w:p w14:paraId="04DB34A4" w14:textId="77777777" w:rsidR="0003098A" w:rsidRPr="008D092F" w:rsidRDefault="0003098A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013574AB" w14:textId="22AA2544" w:rsidR="00D25B86" w:rsidRPr="008D092F" w:rsidRDefault="00D25B86" w:rsidP="00D25B86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F001B9">
        <w:rPr>
          <w:rFonts w:ascii="Times New Roman" w:hAnsi="Times New Roman" w:cs="Times New Roman"/>
          <w:sz w:val="24"/>
          <w:szCs w:val="24"/>
        </w:rPr>
        <w:t>110-4389/2025-</w:t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7AC98814" w14:textId="3F6332FB" w:rsidR="00D25B86" w:rsidRPr="00F001B9" w:rsidRDefault="00D25B86" w:rsidP="00D25B86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F001B9">
        <w:rPr>
          <w:rFonts w:ascii="Times New Roman" w:hAnsi="Times New Roman" w:cs="Times New Roman"/>
          <w:sz w:val="24"/>
          <w:szCs w:val="24"/>
        </w:rPr>
        <w:t>15.</w:t>
      </w:r>
      <w:r w:rsidR="00F001B9">
        <w:rPr>
          <w:rFonts w:ascii="Times New Roman" w:hAnsi="Times New Roman" w:cs="Times New Roman"/>
          <w:sz w:val="24"/>
          <w:szCs w:val="24"/>
          <w:lang w:val="sr-Cyrl-RS"/>
        </w:rPr>
        <w:t xml:space="preserve"> маја 2025. године</w:t>
      </w:r>
    </w:p>
    <w:p w14:paraId="20765DCE" w14:textId="77777777" w:rsidR="00D25B86" w:rsidRPr="008D092F" w:rsidRDefault="00D25B86" w:rsidP="00D25B86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</w:p>
    <w:p w14:paraId="77F9747C" w14:textId="7604322C" w:rsidR="00D25B86" w:rsidRPr="008D092F" w:rsidRDefault="00D25B86" w:rsidP="00D25B86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92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 Л А Д А </w:t>
      </w:r>
    </w:p>
    <w:p w14:paraId="37F6B248" w14:textId="77777777" w:rsidR="00D25B86" w:rsidRPr="008D092F" w:rsidRDefault="00D25B86" w:rsidP="00D25B86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224A1A" w14:textId="77777777" w:rsidR="00D25B86" w:rsidRPr="008D092F" w:rsidRDefault="00D25B86" w:rsidP="00D25B86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D25B86" w:rsidRPr="008D092F" w14:paraId="7B74AF09" w14:textId="77777777" w:rsidTr="00022CE3">
        <w:trPr>
          <w:jc w:val="center"/>
        </w:trPr>
        <w:tc>
          <w:tcPr>
            <w:tcW w:w="4360" w:type="dxa"/>
            <w:shd w:val="clear" w:color="auto" w:fill="auto"/>
          </w:tcPr>
          <w:p w14:paraId="54818808" w14:textId="77777777" w:rsidR="00D25B86" w:rsidRPr="008D092F" w:rsidRDefault="00D25B86" w:rsidP="00D25B8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shd w:val="clear" w:color="auto" w:fill="auto"/>
          </w:tcPr>
          <w:p w14:paraId="4ABEFEFF" w14:textId="740A731F" w:rsidR="00D25B86" w:rsidRDefault="00D25B86" w:rsidP="00D25B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09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ПРЕДСЕДНИК </w:t>
            </w:r>
          </w:p>
          <w:p w14:paraId="439302FC" w14:textId="77777777" w:rsidR="00F001B9" w:rsidRDefault="00F001B9" w:rsidP="00D25B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5629AC0" w14:textId="54A20E0B" w:rsidR="00F001B9" w:rsidRDefault="00F001B9" w:rsidP="00F001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Cyrl-CS"/>
              </w:rPr>
              <w:t xml:space="preserve">                        </w:t>
            </w:r>
            <w:r w:rsidRPr="00F001B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Cyrl-CS"/>
              </w:rPr>
              <w:t>проф. др Ђуро Мацут, с.р.</w:t>
            </w:r>
          </w:p>
          <w:p w14:paraId="084C8AC7" w14:textId="79E65BF4" w:rsidR="00F001B9" w:rsidRPr="008D092F" w:rsidRDefault="00F001B9" w:rsidP="00D25B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001B9" w:rsidRPr="008D092F" w14:paraId="62C61A00" w14:textId="77777777" w:rsidTr="00022CE3">
        <w:trPr>
          <w:jc w:val="center"/>
        </w:trPr>
        <w:tc>
          <w:tcPr>
            <w:tcW w:w="4360" w:type="dxa"/>
            <w:shd w:val="clear" w:color="auto" w:fill="auto"/>
          </w:tcPr>
          <w:p w14:paraId="3B0436ED" w14:textId="77777777" w:rsidR="00F001B9" w:rsidRPr="008D092F" w:rsidRDefault="00F001B9" w:rsidP="00D25B8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shd w:val="clear" w:color="auto" w:fill="auto"/>
          </w:tcPr>
          <w:p w14:paraId="2BBBE828" w14:textId="77777777" w:rsidR="00F001B9" w:rsidRPr="008D092F" w:rsidRDefault="00F001B9" w:rsidP="00D25B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001B9" w:rsidRPr="008D092F" w14:paraId="642B79E8" w14:textId="77777777" w:rsidTr="00022CE3">
        <w:trPr>
          <w:jc w:val="center"/>
        </w:trPr>
        <w:tc>
          <w:tcPr>
            <w:tcW w:w="4360" w:type="dxa"/>
            <w:shd w:val="clear" w:color="auto" w:fill="auto"/>
          </w:tcPr>
          <w:p w14:paraId="174C7439" w14:textId="77777777" w:rsidR="00F001B9" w:rsidRPr="008D092F" w:rsidRDefault="00F001B9" w:rsidP="00D25B8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shd w:val="clear" w:color="auto" w:fill="auto"/>
          </w:tcPr>
          <w:p w14:paraId="6B1372E4" w14:textId="77777777" w:rsidR="00F001B9" w:rsidRPr="008D092F" w:rsidRDefault="00F001B9" w:rsidP="00D25B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C0202A8" w14:textId="77777777" w:rsidR="0003098A" w:rsidRPr="008D092F" w:rsidRDefault="0003098A" w:rsidP="00D25B86">
      <w:pPr>
        <w:spacing w:after="0"/>
        <w:rPr>
          <w:rFonts w:ascii="Times New Roman" w:hAnsi="Times New Roman" w:cs="Times New Roman"/>
          <w:lang w:val="sr-Cyrl-CS"/>
        </w:rPr>
      </w:pPr>
    </w:p>
    <w:p w14:paraId="57627F38" w14:textId="77777777" w:rsidR="0003098A" w:rsidRPr="008D092F" w:rsidRDefault="0003098A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4FBD3522" w14:textId="77777777" w:rsidR="0003098A" w:rsidRPr="008D092F" w:rsidRDefault="0003098A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454801D4" w14:textId="77777777" w:rsidR="0003098A" w:rsidRPr="008D092F" w:rsidRDefault="0003098A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30A81351" w14:textId="77777777" w:rsidR="0003098A" w:rsidRPr="008D092F" w:rsidRDefault="0003098A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0A3446E8" w14:textId="77777777" w:rsidR="0003098A" w:rsidRPr="008D092F" w:rsidRDefault="0003098A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2B016434" w14:textId="77777777" w:rsidR="0003098A" w:rsidRPr="008D092F" w:rsidRDefault="0003098A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1D6F0AA9" w14:textId="77777777" w:rsidR="004D7672" w:rsidRPr="008D092F" w:rsidRDefault="004D7672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6D15EB84" w14:textId="77777777" w:rsidR="004D7672" w:rsidRPr="008D092F" w:rsidRDefault="004D7672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6FA4D9C9" w14:textId="77777777" w:rsidR="004D7672" w:rsidRPr="008D092F" w:rsidRDefault="004D7672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345BCEA7" w14:textId="77777777" w:rsidR="003C2A71" w:rsidRPr="008D092F" w:rsidRDefault="003C2A71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4F10C8CA" w14:textId="77777777" w:rsidR="003C2A71" w:rsidRPr="008D092F" w:rsidRDefault="003C2A71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197CB1F5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20E83896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7D288A30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172228AC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747EC7FE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2634DA7B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0EB1E9A2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3CB81EB6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4AE96D6A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473D8154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4FC5B12A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167366A3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1DC85DB6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14:paraId="75CBBDA6" w14:textId="77777777" w:rsidR="00CF72F6" w:rsidRPr="008D092F" w:rsidRDefault="00CF72F6" w:rsidP="004B0729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sectPr w:rsidR="00CF72F6" w:rsidRPr="008D092F" w:rsidSect="00BC365A">
      <w:footerReference w:type="default" r:id="rId8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D0EB1" w14:textId="77777777" w:rsidR="00161FB9" w:rsidRDefault="00161FB9" w:rsidP="004B0729">
      <w:pPr>
        <w:spacing w:after="0" w:line="240" w:lineRule="auto"/>
      </w:pPr>
      <w:r>
        <w:separator/>
      </w:r>
    </w:p>
  </w:endnote>
  <w:endnote w:type="continuationSeparator" w:id="0">
    <w:p w14:paraId="74D99C82" w14:textId="77777777" w:rsidR="00161FB9" w:rsidRDefault="00161FB9" w:rsidP="004B0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6785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75C312" w14:textId="79C25216" w:rsidR="00BC365A" w:rsidRDefault="00BC36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DF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5A19BE8" w14:textId="77777777" w:rsidR="00BC365A" w:rsidRDefault="00BC3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4699F" w14:textId="77777777" w:rsidR="00161FB9" w:rsidRDefault="00161FB9" w:rsidP="004B0729">
      <w:pPr>
        <w:spacing w:after="0" w:line="240" w:lineRule="auto"/>
      </w:pPr>
      <w:r>
        <w:separator/>
      </w:r>
    </w:p>
  </w:footnote>
  <w:footnote w:type="continuationSeparator" w:id="0">
    <w:p w14:paraId="63166BBC" w14:textId="77777777" w:rsidR="00161FB9" w:rsidRDefault="00161FB9" w:rsidP="004B0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71D55"/>
    <w:multiLevelType w:val="hybridMultilevel"/>
    <w:tmpl w:val="F8544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50DC6"/>
    <w:multiLevelType w:val="hybridMultilevel"/>
    <w:tmpl w:val="52ACDF98"/>
    <w:lvl w:ilvl="0" w:tplc="700A978C">
      <w:numFmt w:val="bullet"/>
      <w:lvlText w:val="—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922B5D"/>
    <w:multiLevelType w:val="hybridMultilevel"/>
    <w:tmpl w:val="6ED2D096"/>
    <w:lvl w:ilvl="0" w:tplc="0D6AEF5C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519922">
    <w:abstractNumId w:val="0"/>
  </w:num>
  <w:num w:numId="2" w16cid:durableId="1461413880">
    <w:abstractNumId w:val="1"/>
  </w:num>
  <w:num w:numId="3" w16cid:durableId="358510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0CF"/>
    <w:rsid w:val="000025CD"/>
    <w:rsid w:val="00005846"/>
    <w:rsid w:val="00014473"/>
    <w:rsid w:val="00021F94"/>
    <w:rsid w:val="00025861"/>
    <w:rsid w:val="0002627D"/>
    <w:rsid w:val="000272C8"/>
    <w:rsid w:val="0003098A"/>
    <w:rsid w:val="00033DD7"/>
    <w:rsid w:val="00041517"/>
    <w:rsid w:val="00045B3A"/>
    <w:rsid w:val="00045FED"/>
    <w:rsid w:val="000500D8"/>
    <w:rsid w:val="00054255"/>
    <w:rsid w:val="0006057C"/>
    <w:rsid w:val="000620D5"/>
    <w:rsid w:val="00065BA6"/>
    <w:rsid w:val="00066D2A"/>
    <w:rsid w:val="000728E7"/>
    <w:rsid w:val="00075280"/>
    <w:rsid w:val="000778B7"/>
    <w:rsid w:val="00092804"/>
    <w:rsid w:val="00095D0D"/>
    <w:rsid w:val="000963A7"/>
    <w:rsid w:val="000A09FF"/>
    <w:rsid w:val="000A6A18"/>
    <w:rsid w:val="000B1B05"/>
    <w:rsid w:val="000B53F5"/>
    <w:rsid w:val="000C28F9"/>
    <w:rsid w:val="000C6F41"/>
    <w:rsid w:val="000D402C"/>
    <w:rsid w:val="000D4B21"/>
    <w:rsid w:val="000E1289"/>
    <w:rsid w:val="000F6F2F"/>
    <w:rsid w:val="001009BB"/>
    <w:rsid w:val="001014C0"/>
    <w:rsid w:val="00116732"/>
    <w:rsid w:val="001177E0"/>
    <w:rsid w:val="001206FB"/>
    <w:rsid w:val="00124FC7"/>
    <w:rsid w:val="001252BF"/>
    <w:rsid w:val="00126527"/>
    <w:rsid w:val="00133360"/>
    <w:rsid w:val="00140FA1"/>
    <w:rsid w:val="001429A7"/>
    <w:rsid w:val="00144C9F"/>
    <w:rsid w:val="001460E9"/>
    <w:rsid w:val="00151C26"/>
    <w:rsid w:val="00153460"/>
    <w:rsid w:val="00161FB9"/>
    <w:rsid w:val="00174C0C"/>
    <w:rsid w:val="00175EB1"/>
    <w:rsid w:val="00176178"/>
    <w:rsid w:val="001927FD"/>
    <w:rsid w:val="0019481E"/>
    <w:rsid w:val="001975A0"/>
    <w:rsid w:val="001A1544"/>
    <w:rsid w:val="001B31C3"/>
    <w:rsid w:val="001B34B9"/>
    <w:rsid w:val="001B756A"/>
    <w:rsid w:val="001E0DE7"/>
    <w:rsid w:val="001F087A"/>
    <w:rsid w:val="001F25F4"/>
    <w:rsid w:val="001F2C5F"/>
    <w:rsid w:val="002033F4"/>
    <w:rsid w:val="00206F38"/>
    <w:rsid w:val="00210D36"/>
    <w:rsid w:val="00225564"/>
    <w:rsid w:val="002277A3"/>
    <w:rsid w:val="00227CB5"/>
    <w:rsid w:val="00232141"/>
    <w:rsid w:val="00233C9A"/>
    <w:rsid w:val="002421F9"/>
    <w:rsid w:val="00270C2D"/>
    <w:rsid w:val="002766D5"/>
    <w:rsid w:val="0028091E"/>
    <w:rsid w:val="002828D9"/>
    <w:rsid w:val="00283935"/>
    <w:rsid w:val="0029724F"/>
    <w:rsid w:val="002A500E"/>
    <w:rsid w:val="002A571E"/>
    <w:rsid w:val="002A599E"/>
    <w:rsid w:val="002B1A2A"/>
    <w:rsid w:val="002B2330"/>
    <w:rsid w:val="002B3A1D"/>
    <w:rsid w:val="002B49CC"/>
    <w:rsid w:val="002C2160"/>
    <w:rsid w:val="002C398B"/>
    <w:rsid w:val="002C4516"/>
    <w:rsid w:val="002C77FD"/>
    <w:rsid w:val="002D51DD"/>
    <w:rsid w:val="002D7859"/>
    <w:rsid w:val="002F591F"/>
    <w:rsid w:val="00310ED8"/>
    <w:rsid w:val="00314067"/>
    <w:rsid w:val="003228A2"/>
    <w:rsid w:val="0033371C"/>
    <w:rsid w:val="00334595"/>
    <w:rsid w:val="003406EA"/>
    <w:rsid w:val="0034240D"/>
    <w:rsid w:val="00343485"/>
    <w:rsid w:val="0034636A"/>
    <w:rsid w:val="00356646"/>
    <w:rsid w:val="0036202D"/>
    <w:rsid w:val="00363921"/>
    <w:rsid w:val="00367472"/>
    <w:rsid w:val="0036772F"/>
    <w:rsid w:val="00394FDA"/>
    <w:rsid w:val="003963BF"/>
    <w:rsid w:val="003A39EE"/>
    <w:rsid w:val="003B3DED"/>
    <w:rsid w:val="003B4A9B"/>
    <w:rsid w:val="003B4FA1"/>
    <w:rsid w:val="003C019D"/>
    <w:rsid w:val="003C065A"/>
    <w:rsid w:val="003C22E5"/>
    <w:rsid w:val="003C2A71"/>
    <w:rsid w:val="003C6B04"/>
    <w:rsid w:val="003D2B89"/>
    <w:rsid w:val="003D670B"/>
    <w:rsid w:val="003E0DC3"/>
    <w:rsid w:val="003E182A"/>
    <w:rsid w:val="003F7D0C"/>
    <w:rsid w:val="004100EC"/>
    <w:rsid w:val="0042791A"/>
    <w:rsid w:val="004318F8"/>
    <w:rsid w:val="00432D1E"/>
    <w:rsid w:val="004474D1"/>
    <w:rsid w:val="00465854"/>
    <w:rsid w:val="00467A34"/>
    <w:rsid w:val="0047108C"/>
    <w:rsid w:val="004A6137"/>
    <w:rsid w:val="004A7B13"/>
    <w:rsid w:val="004B0729"/>
    <w:rsid w:val="004D1337"/>
    <w:rsid w:val="004D2944"/>
    <w:rsid w:val="004D7537"/>
    <w:rsid w:val="004D7672"/>
    <w:rsid w:val="004D7E3F"/>
    <w:rsid w:val="004E1A78"/>
    <w:rsid w:val="004E1BCE"/>
    <w:rsid w:val="004F74F4"/>
    <w:rsid w:val="00502ECB"/>
    <w:rsid w:val="00503577"/>
    <w:rsid w:val="00511A19"/>
    <w:rsid w:val="00513363"/>
    <w:rsid w:val="005156C6"/>
    <w:rsid w:val="00520B2A"/>
    <w:rsid w:val="00521067"/>
    <w:rsid w:val="00523D64"/>
    <w:rsid w:val="0052410B"/>
    <w:rsid w:val="005341AA"/>
    <w:rsid w:val="00540086"/>
    <w:rsid w:val="00540462"/>
    <w:rsid w:val="0054464E"/>
    <w:rsid w:val="005449D1"/>
    <w:rsid w:val="0055229D"/>
    <w:rsid w:val="00553F26"/>
    <w:rsid w:val="00565BD1"/>
    <w:rsid w:val="005666C4"/>
    <w:rsid w:val="00567551"/>
    <w:rsid w:val="0058031C"/>
    <w:rsid w:val="00586C6F"/>
    <w:rsid w:val="00587793"/>
    <w:rsid w:val="0059062B"/>
    <w:rsid w:val="00591269"/>
    <w:rsid w:val="005951A9"/>
    <w:rsid w:val="005A415E"/>
    <w:rsid w:val="005C35DE"/>
    <w:rsid w:val="005D4E5B"/>
    <w:rsid w:val="005F0D05"/>
    <w:rsid w:val="005F7C5C"/>
    <w:rsid w:val="00613620"/>
    <w:rsid w:val="006160D0"/>
    <w:rsid w:val="0062776C"/>
    <w:rsid w:val="00634A4A"/>
    <w:rsid w:val="006376B9"/>
    <w:rsid w:val="00652394"/>
    <w:rsid w:val="00656707"/>
    <w:rsid w:val="00675398"/>
    <w:rsid w:val="00681233"/>
    <w:rsid w:val="006872A1"/>
    <w:rsid w:val="006A1B9F"/>
    <w:rsid w:val="006A4152"/>
    <w:rsid w:val="006A598F"/>
    <w:rsid w:val="006A783A"/>
    <w:rsid w:val="006C3977"/>
    <w:rsid w:val="006C6F8C"/>
    <w:rsid w:val="006D1CBA"/>
    <w:rsid w:val="006D4787"/>
    <w:rsid w:val="006D5364"/>
    <w:rsid w:val="006D5AF8"/>
    <w:rsid w:val="006E07D6"/>
    <w:rsid w:val="006E193B"/>
    <w:rsid w:val="006F06A1"/>
    <w:rsid w:val="006F2932"/>
    <w:rsid w:val="006F2F2D"/>
    <w:rsid w:val="006F492F"/>
    <w:rsid w:val="006F5F3B"/>
    <w:rsid w:val="00700B02"/>
    <w:rsid w:val="007014D7"/>
    <w:rsid w:val="00716399"/>
    <w:rsid w:val="00716BAE"/>
    <w:rsid w:val="00720A69"/>
    <w:rsid w:val="00724477"/>
    <w:rsid w:val="00730A23"/>
    <w:rsid w:val="00730F06"/>
    <w:rsid w:val="007314B7"/>
    <w:rsid w:val="007436D3"/>
    <w:rsid w:val="00757EC0"/>
    <w:rsid w:val="007638B3"/>
    <w:rsid w:val="00765139"/>
    <w:rsid w:val="00765232"/>
    <w:rsid w:val="00766794"/>
    <w:rsid w:val="00770EDB"/>
    <w:rsid w:val="007724E8"/>
    <w:rsid w:val="00776BAE"/>
    <w:rsid w:val="0078261C"/>
    <w:rsid w:val="00782B0F"/>
    <w:rsid w:val="00783E48"/>
    <w:rsid w:val="0078570E"/>
    <w:rsid w:val="0079368A"/>
    <w:rsid w:val="007A0E17"/>
    <w:rsid w:val="007A16B6"/>
    <w:rsid w:val="007A5428"/>
    <w:rsid w:val="007B2FF8"/>
    <w:rsid w:val="007B366F"/>
    <w:rsid w:val="007B3A4F"/>
    <w:rsid w:val="007B7684"/>
    <w:rsid w:val="007C2C55"/>
    <w:rsid w:val="007C329D"/>
    <w:rsid w:val="007C3543"/>
    <w:rsid w:val="007D6C31"/>
    <w:rsid w:val="007D6F01"/>
    <w:rsid w:val="007E0882"/>
    <w:rsid w:val="007E7EDF"/>
    <w:rsid w:val="007F6F26"/>
    <w:rsid w:val="00804F83"/>
    <w:rsid w:val="00805C69"/>
    <w:rsid w:val="00817250"/>
    <w:rsid w:val="00824415"/>
    <w:rsid w:val="00825CBD"/>
    <w:rsid w:val="00830677"/>
    <w:rsid w:val="00836472"/>
    <w:rsid w:val="0084369C"/>
    <w:rsid w:val="00843746"/>
    <w:rsid w:val="00854F1E"/>
    <w:rsid w:val="00856BE8"/>
    <w:rsid w:val="0086773D"/>
    <w:rsid w:val="00870241"/>
    <w:rsid w:val="00873825"/>
    <w:rsid w:val="00877188"/>
    <w:rsid w:val="0088137C"/>
    <w:rsid w:val="00881D44"/>
    <w:rsid w:val="0088497D"/>
    <w:rsid w:val="00885848"/>
    <w:rsid w:val="00887DE1"/>
    <w:rsid w:val="008A5E38"/>
    <w:rsid w:val="008A6F4E"/>
    <w:rsid w:val="008B05F6"/>
    <w:rsid w:val="008B0A57"/>
    <w:rsid w:val="008B2571"/>
    <w:rsid w:val="008D092F"/>
    <w:rsid w:val="008D25B9"/>
    <w:rsid w:val="008D2719"/>
    <w:rsid w:val="008E3305"/>
    <w:rsid w:val="008E7728"/>
    <w:rsid w:val="009043E4"/>
    <w:rsid w:val="0091052F"/>
    <w:rsid w:val="00912A4C"/>
    <w:rsid w:val="00926059"/>
    <w:rsid w:val="00931BA4"/>
    <w:rsid w:val="009334B2"/>
    <w:rsid w:val="00933D4B"/>
    <w:rsid w:val="00937853"/>
    <w:rsid w:val="009474F5"/>
    <w:rsid w:val="009529A7"/>
    <w:rsid w:val="00953E27"/>
    <w:rsid w:val="00954A69"/>
    <w:rsid w:val="00964A8F"/>
    <w:rsid w:val="00976C59"/>
    <w:rsid w:val="00981410"/>
    <w:rsid w:val="009827DF"/>
    <w:rsid w:val="0098436F"/>
    <w:rsid w:val="0099005F"/>
    <w:rsid w:val="009A0FFE"/>
    <w:rsid w:val="009A30A3"/>
    <w:rsid w:val="009A589A"/>
    <w:rsid w:val="009A7C50"/>
    <w:rsid w:val="009B3E88"/>
    <w:rsid w:val="009B5A61"/>
    <w:rsid w:val="009B5AB8"/>
    <w:rsid w:val="009C1707"/>
    <w:rsid w:val="009C246E"/>
    <w:rsid w:val="009C721A"/>
    <w:rsid w:val="009C7397"/>
    <w:rsid w:val="009D1318"/>
    <w:rsid w:val="009D1E1A"/>
    <w:rsid w:val="009D23F4"/>
    <w:rsid w:val="009D2A8F"/>
    <w:rsid w:val="009D3194"/>
    <w:rsid w:val="009E3F65"/>
    <w:rsid w:val="009F2EF7"/>
    <w:rsid w:val="009F6C7A"/>
    <w:rsid w:val="00A004B6"/>
    <w:rsid w:val="00A04B7A"/>
    <w:rsid w:val="00A11B67"/>
    <w:rsid w:val="00A16A32"/>
    <w:rsid w:val="00A17070"/>
    <w:rsid w:val="00A22B16"/>
    <w:rsid w:val="00A240C1"/>
    <w:rsid w:val="00A2420B"/>
    <w:rsid w:val="00A30AD6"/>
    <w:rsid w:val="00A3127F"/>
    <w:rsid w:val="00A31AF7"/>
    <w:rsid w:val="00A338BE"/>
    <w:rsid w:val="00A4318F"/>
    <w:rsid w:val="00A431F9"/>
    <w:rsid w:val="00A43F49"/>
    <w:rsid w:val="00A45EF8"/>
    <w:rsid w:val="00A62B12"/>
    <w:rsid w:val="00A72659"/>
    <w:rsid w:val="00A752F9"/>
    <w:rsid w:val="00A772A7"/>
    <w:rsid w:val="00A82F2D"/>
    <w:rsid w:val="00A83B5E"/>
    <w:rsid w:val="00A91A0F"/>
    <w:rsid w:val="00A921DD"/>
    <w:rsid w:val="00AA40A9"/>
    <w:rsid w:val="00AA716A"/>
    <w:rsid w:val="00AB3229"/>
    <w:rsid w:val="00AB3EB2"/>
    <w:rsid w:val="00AB7148"/>
    <w:rsid w:val="00AC4CFE"/>
    <w:rsid w:val="00AC62AB"/>
    <w:rsid w:val="00AC7F62"/>
    <w:rsid w:val="00AD3A12"/>
    <w:rsid w:val="00AE2568"/>
    <w:rsid w:val="00AE28A6"/>
    <w:rsid w:val="00AF2DA8"/>
    <w:rsid w:val="00AF3CBC"/>
    <w:rsid w:val="00AF536E"/>
    <w:rsid w:val="00AF5B27"/>
    <w:rsid w:val="00AF5F7D"/>
    <w:rsid w:val="00B01158"/>
    <w:rsid w:val="00B02131"/>
    <w:rsid w:val="00B04E8D"/>
    <w:rsid w:val="00B065E4"/>
    <w:rsid w:val="00B07DF8"/>
    <w:rsid w:val="00B2097E"/>
    <w:rsid w:val="00B211F3"/>
    <w:rsid w:val="00B21811"/>
    <w:rsid w:val="00B27B26"/>
    <w:rsid w:val="00B30442"/>
    <w:rsid w:val="00B35374"/>
    <w:rsid w:val="00B40655"/>
    <w:rsid w:val="00B41C0D"/>
    <w:rsid w:val="00B438B8"/>
    <w:rsid w:val="00B450DF"/>
    <w:rsid w:val="00B47301"/>
    <w:rsid w:val="00B500FD"/>
    <w:rsid w:val="00B54CB8"/>
    <w:rsid w:val="00B55527"/>
    <w:rsid w:val="00B74069"/>
    <w:rsid w:val="00B77E04"/>
    <w:rsid w:val="00B800CF"/>
    <w:rsid w:val="00B86F31"/>
    <w:rsid w:val="00B95D86"/>
    <w:rsid w:val="00B96C0B"/>
    <w:rsid w:val="00B978A6"/>
    <w:rsid w:val="00BA0FB5"/>
    <w:rsid w:val="00BA5AE6"/>
    <w:rsid w:val="00BA61E0"/>
    <w:rsid w:val="00BB0729"/>
    <w:rsid w:val="00BB62C8"/>
    <w:rsid w:val="00BB66C7"/>
    <w:rsid w:val="00BC0929"/>
    <w:rsid w:val="00BC365A"/>
    <w:rsid w:val="00BD4B63"/>
    <w:rsid w:val="00BD5082"/>
    <w:rsid w:val="00BF0286"/>
    <w:rsid w:val="00BF08CA"/>
    <w:rsid w:val="00BF09F9"/>
    <w:rsid w:val="00BF4E9C"/>
    <w:rsid w:val="00BF6D12"/>
    <w:rsid w:val="00C010E6"/>
    <w:rsid w:val="00C02CE1"/>
    <w:rsid w:val="00C05982"/>
    <w:rsid w:val="00C1644F"/>
    <w:rsid w:val="00C24B03"/>
    <w:rsid w:val="00C33CC5"/>
    <w:rsid w:val="00C36EE3"/>
    <w:rsid w:val="00C40B9E"/>
    <w:rsid w:val="00C43213"/>
    <w:rsid w:val="00C64422"/>
    <w:rsid w:val="00C76AC8"/>
    <w:rsid w:val="00C84832"/>
    <w:rsid w:val="00C935B6"/>
    <w:rsid w:val="00C9389C"/>
    <w:rsid w:val="00C94035"/>
    <w:rsid w:val="00C954B6"/>
    <w:rsid w:val="00CB2129"/>
    <w:rsid w:val="00CB27DE"/>
    <w:rsid w:val="00CC074A"/>
    <w:rsid w:val="00CC3E0B"/>
    <w:rsid w:val="00CD1C52"/>
    <w:rsid w:val="00CF72F6"/>
    <w:rsid w:val="00D0418D"/>
    <w:rsid w:val="00D04408"/>
    <w:rsid w:val="00D137E2"/>
    <w:rsid w:val="00D14439"/>
    <w:rsid w:val="00D24915"/>
    <w:rsid w:val="00D25B86"/>
    <w:rsid w:val="00D32699"/>
    <w:rsid w:val="00D37DB3"/>
    <w:rsid w:val="00D40279"/>
    <w:rsid w:val="00D4432A"/>
    <w:rsid w:val="00D54950"/>
    <w:rsid w:val="00D57CDF"/>
    <w:rsid w:val="00D57EDC"/>
    <w:rsid w:val="00D677F8"/>
    <w:rsid w:val="00D72AD2"/>
    <w:rsid w:val="00D73847"/>
    <w:rsid w:val="00D84089"/>
    <w:rsid w:val="00D873C4"/>
    <w:rsid w:val="00D90686"/>
    <w:rsid w:val="00D93694"/>
    <w:rsid w:val="00D95E8B"/>
    <w:rsid w:val="00DA3E93"/>
    <w:rsid w:val="00DB32D4"/>
    <w:rsid w:val="00DB7422"/>
    <w:rsid w:val="00DC0BA3"/>
    <w:rsid w:val="00DC7EE6"/>
    <w:rsid w:val="00DD25E4"/>
    <w:rsid w:val="00DE2E26"/>
    <w:rsid w:val="00DF2439"/>
    <w:rsid w:val="00DF5671"/>
    <w:rsid w:val="00E02846"/>
    <w:rsid w:val="00E05002"/>
    <w:rsid w:val="00E2315B"/>
    <w:rsid w:val="00E239C7"/>
    <w:rsid w:val="00E3249E"/>
    <w:rsid w:val="00E3751B"/>
    <w:rsid w:val="00E37591"/>
    <w:rsid w:val="00E37F71"/>
    <w:rsid w:val="00E46A3C"/>
    <w:rsid w:val="00E50678"/>
    <w:rsid w:val="00E51929"/>
    <w:rsid w:val="00E5453D"/>
    <w:rsid w:val="00E55015"/>
    <w:rsid w:val="00E56D25"/>
    <w:rsid w:val="00E72265"/>
    <w:rsid w:val="00E8217D"/>
    <w:rsid w:val="00E854E4"/>
    <w:rsid w:val="00E91A21"/>
    <w:rsid w:val="00E95F98"/>
    <w:rsid w:val="00EA43B1"/>
    <w:rsid w:val="00EA7B37"/>
    <w:rsid w:val="00EC29A5"/>
    <w:rsid w:val="00EC33EB"/>
    <w:rsid w:val="00EC355F"/>
    <w:rsid w:val="00EC50C8"/>
    <w:rsid w:val="00ED0A34"/>
    <w:rsid w:val="00ED0B96"/>
    <w:rsid w:val="00ED14A6"/>
    <w:rsid w:val="00ED2295"/>
    <w:rsid w:val="00ED23D1"/>
    <w:rsid w:val="00ED27F1"/>
    <w:rsid w:val="00ED4A6E"/>
    <w:rsid w:val="00EE7E8C"/>
    <w:rsid w:val="00EF561E"/>
    <w:rsid w:val="00EF59E8"/>
    <w:rsid w:val="00F001B9"/>
    <w:rsid w:val="00F0533D"/>
    <w:rsid w:val="00F0700F"/>
    <w:rsid w:val="00F12058"/>
    <w:rsid w:val="00F20008"/>
    <w:rsid w:val="00F4474B"/>
    <w:rsid w:val="00F448F2"/>
    <w:rsid w:val="00F47968"/>
    <w:rsid w:val="00F510B2"/>
    <w:rsid w:val="00F5142E"/>
    <w:rsid w:val="00F65070"/>
    <w:rsid w:val="00F665E6"/>
    <w:rsid w:val="00F714D3"/>
    <w:rsid w:val="00F74A96"/>
    <w:rsid w:val="00F7586B"/>
    <w:rsid w:val="00F7794F"/>
    <w:rsid w:val="00F87F81"/>
    <w:rsid w:val="00F91333"/>
    <w:rsid w:val="00F91BBF"/>
    <w:rsid w:val="00FA3D05"/>
    <w:rsid w:val="00FA4FDA"/>
    <w:rsid w:val="00FB64D6"/>
    <w:rsid w:val="00FC5BC3"/>
    <w:rsid w:val="00FC6340"/>
    <w:rsid w:val="00FD0BDD"/>
    <w:rsid w:val="00FD1BEE"/>
    <w:rsid w:val="00FD252E"/>
    <w:rsid w:val="00FD3D95"/>
    <w:rsid w:val="00FD5890"/>
    <w:rsid w:val="00FD6EAE"/>
    <w:rsid w:val="00FE2A9E"/>
    <w:rsid w:val="00FE713D"/>
    <w:rsid w:val="00FE72E9"/>
    <w:rsid w:val="00FF4942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2EB23"/>
  <w15:chartTrackingRefBased/>
  <w15:docId w15:val="{9676B86B-92F1-49A1-8CB2-B3C77890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F83"/>
    <w:pPr>
      <w:ind w:left="720"/>
      <w:contextualSpacing/>
    </w:pPr>
  </w:style>
  <w:style w:type="paragraph" w:styleId="Revision">
    <w:name w:val="Revision"/>
    <w:hidden/>
    <w:uiPriority w:val="99"/>
    <w:semiHidden/>
    <w:rsid w:val="00E56D2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338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38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38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38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38B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8031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031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B07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729"/>
  </w:style>
  <w:style w:type="paragraph" w:styleId="Footer">
    <w:name w:val="footer"/>
    <w:basedOn w:val="Normal"/>
    <w:link w:val="FooterChar"/>
    <w:uiPriority w:val="99"/>
    <w:unhideWhenUsed/>
    <w:rsid w:val="004B07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729"/>
  </w:style>
  <w:style w:type="paragraph" w:styleId="BalloonText">
    <w:name w:val="Balloon Text"/>
    <w:basedOn w:val="Normal"/>
    <w:link w:val="BalloonTextChar"/>
    <w:uiPriority w:val="99"/>
    <w:semiHidden/>
    <w:unhideWhenUsed/>
    <w:rsid w:val="00D25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86ED1-FB3C-4612-B67B-D4A5CEAD7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2100</Words>
  <Characters>11975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EMS</dc:creator>
  <cp:keywords/>
  <dc:description/>
  <cp:lastModifiedBy>Bojan Grgic</cp:lastModifiedBy>
  <cp:revision>2</cp:revision>
  <cp:lastPrinted>2025-05-15T13:19:00Z</cp:lastPrinted>
  <dcterms:created xsi:type="dcterms:W3CDTF">2025-05-16T10:17:00Z</dcterms:created>
  <dcterms:modified xsi:type="dcterms:W3CDTF">2025-05-16T10:17:00Z</dcterms:modified>
</cp:coreProperties>
</file>