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B2DD6" w14:textId="5DFB8C60" w:rsidR="00F25069" w:rsidRPr="00F25069" w:rsidRDefault="00F25069" w:rsidP="00F25069">
      <w:pPr>
        <w:pStyle w:val="Heading1"/>
        <w:jc w:val="right"/>
        <w:rPr>
          <w:lang w:val="sr-Latn-RS"/>
        </w:rPr>
      </w:pPr>
      <w:r w:rsidRPr="00F25069">
        <w:rPr>
          <w:lang w:val="sr-Cyrl-RS"/>
        </w:rPr>
        <w:t xml:space="preserve">ПРИЛОГ </w:t>
      </w:r>
      <w:r>
        <w:rPr>
          <w:lang w:val="sr-Latn-RS"/>
        </w:rPr>
        <w:t>2</w:t>
      </w:r>
    </w:p>
    <w:p w14:paraId="4E998857" w14:textId="77777777" w:rsidR="00F25069" w:rsidRDefault="00F25069" w:rsidP="00F25069">
      <w:pPr>
        <w:pStyle w:val="Heading1"/>
        <w:ind w:left="0" w:firstLine="0"/>
        <w:jc w:val="right"/>
        <w:rPr>
          <w:lang w:val="sr-Latn-RS"/>
        </w:rPr>
      </w:pPr>
    </w:p>
    <w:p w14:paraId="546A37BB" w14:textId="77777777" w:rsidR="00F25069" w:rsidRDefault="00F25069" w:rsidP="00F25069">
      <w:pPr>
        <w:pStyle w:val="Heading1"/>
        <w:ind w:left="0" w:firstLine="0"/>
        <w:jc w:val="center"/>
        <w:rPr>
          <w:lang w:val="sr-Latn-RS"/>
        </w:rPr>
      </w:pPr>
    </w:p>
    <w:p w14:paraId="3A15F7BC" w14:textId="731053C2" w:rsidR="00390F83" w:rsidRDefault="00657869" w:rsidP="00F25069">
      <w:pPr>
        <w:pStyle w:val="Heading1"/>
        <w:ind w:left="0" w:firstLine="0"/>
        <w:jc w:val="center"/>
      </w:pPr>
      <w:r>
        <w:t>САДРЖАЈ</w:t>
      </w:r>
      <w:r>
        <w:rPr>
          <w:spacing w:val="-1"/>
        </w:rPr>
        <w:t xml:space="preserve"> </w:t>
      </w:r>
      <w:r>
        <w:t>ПРОЦЕНЕ</w:t>
      </w:r>
      <w:r>
        <w:rPr>
          <w:spacing w:val="-2"/>
        </w:rPr>
        <w:t xml:space="preserve"> </w:t>
      </w:r>
      <w:r>
        <w:t>РИЗИКА</w:t>
      </w:r>
      <w:r>
        <w:rPr>
          <w:spacing w:val="-4"/>
        </w:rPr>
        <w:t xml:space="preserve"> </w:t>
      </w:r>
      <w:r>
        <w:t>ОД</w:t>
      </w:r>
      <w:r>
        <w:rPr>
          <w:spacing w:val="-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ДОБАВЉАЧА</w:t>
      </w:r>
      <w:r>
        <w:rPr>
          <w:spacing w:val="-1"/>
        </w:rPr>
        <w:t xml:space="preserve"> </w:t>
      </w:r>
      <w:r>
        <w:t>5G</w:t>
      </w:r>
      <w:r>
        <w:rPr>
          <w:spacing w:val="-1"/>
        </w:rPr>
        <w:t xml:space="preserve"> </w:t>
      </w:r>
      <w:r>
        <w:rPr>
          <w:spacing w:val="-2"/>
        </w:rPr>
        <w:t>ОПРЕМЕ</w:t>
      </w:r>
    </w:p>
    <w:p w14:paraId="77CDB3CC" w14:textId="77777777" w:rsidR="00390F83" w:rsidRDefault="00657869">
      <w:pPr>
        <w:pStyle w:val="BodyText"/>
        <w:ind w:left="0" w:firstLine="0"/>
      </w:pPr>
      <w:r>
        <w:t>Основни</w:t>
      </w:r>
      <w:r>
        <w:rPr>
          <w:spacing w:val="-6"/>
        </w:rPr>
        <w:t xml:space="preserve"> </w:t>
      </w:r>
      <w:r>
        <w:t>елементи</w:t>
      </w:r>
      <w:r>
        <w:rPr>
          <w:spacing w:val="-2"/>
        </w:rPr>
        <w:t xml:space="preserve"> </w:t>
      </w:r>
      <w:r>
        <w:t>процене</w:t>
      </w:r>
      <w:r>
        <w:rPr>
          <w:spacing w:val="-4"/>
        </w:rPr>
        <w:t xml:space="preserve"> </w:t>
      </w:r>
      <w:r>
        <w:t>ризика</w:t>
      </w:r>
      <w:r>
        <w:rPr>
          <w:spacing w:val="-4"/>
        </w:rPr>
        <w:t xml:space="preserve"> </w:t>
      </w:r>
      <w:r>
        <w:t>од</w:t>
      </w:r>
      <w:r>
        <w:rPr>
          <w:spacing w:val="-3"/>
        </w:rPr>
        <w:t xml:space="preserve"> </w:t>
      </w:r>
      <w:r>
        <w:t>стране</w:t>
      </w:r>
      <w:r>
        <w:rPr>
          <w:spacing w:val="-1"/>
        </w:rPr>
        <w:t xml:space="preserve"> </w:t>
      </w:r>
      <w:r>
        <w:t>добављача</w:t>
      </w:r>
      <w:r>
        <w:rPr>
          <w:spacing w:val="-3"/>
        </w:rPr>
        <w:t xml:space="preserve"> </w:t>
      </w:r>
      <w:r>
        <w:t>5G</w:t>
      </w:r>
      <w:r>
        <w:rPr>
          <w:spacing w:val="-4"/>
        </w:rPr>
        <w:t xml:space="preserve"> </w:t>
      </w:r>
      <w:r>
        <w:t>опреме</w:t>
      </w:r>
      <w:r>
        <w:rPr>
          <w:spacing w:val="-4"/>
        </w:rPr>
        <w:t xml:space="preserve"> </w:t>
      </w:r>
      <w:r>
        <w:rPr>
          <w:spacing w:val="-2"/>
        </w:rPr>
        <w:t>обухватају:</w:t>
      </w:r>
    </w:p>
    <w:p w14:paraId="29778469" w14:textId="77777777" w:rsidR="00390F83" w:rsidRDefault="00657869">
      <w:pPr>
        <w:pStyle w:val="Heading1"/>
        <w:numPr>
          <w:ilvl w:val="0"/>
          <w:numId w:val="2"/>
        </w:numPr>
        <w:tabs>
          <w:tab w:val="left" w:pos="719"/>
        </w:tabs>
        <w:spacing w:before="204"/>
        <w:ind w:left="719" w:hanging="359"/>
        <w:jc w:val="both"/>
      </w:pPr>
      <w:r>
        <w:t>Идентификација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процена</w:t>
      </w:r>
      <w:r>
        <w:rPr>
          <w:spacing w:val="-3"/>
        </w:rPr>
        <w:t xml:space="preserve"> </w:t>
      </w:r>
      <w:r>
        <w:t>ризика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рањивости</w:t>
      </w:r>
      <w:r>
        <w:rPr>
          <w:spacing w:val="-1"/>
        </w:rPr>
        <w:t xml:space="preserve"> </w:t>
      </w:r>
      <w:r>
        <w:t>који</w:t>
      </w:r>
      <w:r>
        <w:rPr>
          <w:spacing w:val="-4"/>
        </w:rPr>
        <w:t xml:space="preserve"> </w:t>
      </w:r>
      <w:r>
        <w:rPr>
          <w:spacing w:val="-2"/>
        </w:rPr>
        <w:t>укључују:</w:t>
      </w:r>
    </w:p>
    <w:p w14:paraId="691F67D0" w14:textId="77777777" w:rsidR="00390F83" w:rsidRDefault="00657869">
      <w:pPr>
        <w:pStyle w:val="ListParagraph"/>
        <w:numPr>
          <w:ilvl w:val="1"/>
          <w:numId w:val="2"/>
        </w:numPr>
        <w:tabs>
          <w:tab w:val="left" w:pos="1431"/>
          <w:tab w:val="left" w:pos="1433"/>
        </w:tabs>
        <w:spacing w:before="206" w:line="276" w:lineRule="auto"/>
        <w:ind w:right="356"/>
        <w:rPr>
          <w:sz w:val="24"/>
        </w:rPr>
      </w:pPr>
      <w:r>
        <w:rPr>
          <w:sz w:val="24"/>
        </w:rPr>
        <w:t>процену технолошких ризика који су повезани са новим и напредним технологијама, као што су нови протоколи, архитектуре и стандарди који се користе у 5G мрежама. Ово укључује и процену потенцијалних рањивости у дизајну, кодирању и интеграцији опреме.</w:t>
      </w:r>
    </w:p>
    <w:p w14:paraId="74DE9530" w14:textId="77777777" w:rsidR="00390F83" w:rsidRDefault="00657869">
      <w:pPr>
        <w:pStyle w:val="ListParagraph"/>
        <w:numPr>
          <w:ilvl w:val="1"/>
          <w:numId w:val="2"/>
        </w:numPr>
        <w:tabs>
          <w:tab w:val="left" w:pos="1431"/>
          <w:tab w:val="left" w:pos="1433"/>
        </w:tabs>
        <w:spacing w:line="276" w:lineRule="auto"/>
        <w:ind w:right="355"/>
        <w:rPr>
          <w:sz w:val="24"/>
        </w:rPr>
      </w:pPr>
      <w:r>
        <w:rPr>
          <w:sz w:val="24"/>
        </w:rPr>
        <w:t>процену</w:t>
      </w:r>
      <w:r>
        <w:rPr>
          <w:spacing w:val="-13"/>
          <w:sz w:val="24"/>
        </w:rPr>
        <w:t xml:space="preserve"> </w:t>
      </w:r>
      <w:r>
        <w:rPr>
          <w:sz w:val="24"/>
        </w:rPr>
        <w:t>безбедносних</w:t>
      </w:r>
      <w:r>
        <w:rPr>
          <w:spacing w:val="-13"/>
          <w:sz w:val="24"/>
        </w:rPr>
        <w:t xml:space="preserve"> </w:t>
      </w:r>
      <w:r>
        <w:rPr>
          <w:sz w:val="24"/>
        </w:rPr>
        <w:t>ризика</w:t>
      </w:r>
      <w:r>
        <w:rPr>
          <w:spacing w:val="-14"/>
          <w:sz w:val="24"/>
        </w:rPr>
        <w:t xml:space="preserve"> </w:t>
      </w:r>
      <w:r>
        <w:rPr>
          <w:sz w:val="24"/>
        </w:rPr>
        <w:t>који</w:t>
      </w:r>
      <w:r>
        <w:rPr>
          <w:spacing w:val="-12"/>
          <w:sz w:val="24"/>
        </w:rPr>
        <w:t xml:space="preserve"> </w:t>
      </w:r>
      <w:r>
        <w:rPr>
          <w:sz w:val="24"/>
        </w:rPr>
        <w:t>обухватају</w:t>
      </w:r>
      <w:r>
        <w:rPr>
          <w:spacing w:val="-13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13"/>
          <w:sz w:val="24"/>
        </w:rPr>
        <w:t xml:space="preserve"> </w:t>
      </w:r>
      <w:r>
        <w:rPr>
          <w:sz w:val="24"/>
        </w:rPr>
        <w:t>потенцијалних</w:t>
      </w:r>
      <w:r>
        <w:rPr>
          <w:spacing w:val="-15"/>
          <w:sz w:val="24"/>
        </w:rPr>
        <w:t xml:space="preserve"> </w:t>
      </w:r>
      <w:r>
        <w:rPr>
          <w:sz w:val="24"/>
        </w:rPr>
        <w:t>утицаја на безбедност, као што су рањивости у опреми, напади на мрежну инфраструктуру и могући утицај злоупотребе података, постојање претходних инцидената добављача у области информационе безбедности у Републици Србији.</w:t>
      </w:r>
    </w:p>
    <w:p w14:paraId="1A0E5198" w14:textId="77777777" w:rsidR="00390F83" w:rsidRDefault="00657869">
      <w:pPr>
        <w:pStyle w:val="ListParagraph"/>
        <w:numPr>
          <w:ilvl w:val="1"/>
          <w:numId w:val="2"/>
        </w:numPr>
        <w:tabs>
          <w:tab w:val="left" w:pos="1431"/>
          <w:tab w:val="left" w:pos="1433"/>
        </w:tabs>
        <w:spacing w:before="128" w:line="273" w:lineRule="auto"/>
        <w:ind w:right="359"/>
        <w:rPr>
          <w:sz w:val="24"/>
        </w:rPr>
      </w:pPr>
      <w:r>
        <w:rPr>
          <w:sz w:val="24"/>
        </w:rPr>
        <w:t>процену оперативних ризика који се могу јавити током инсталације, конфигурације, тестирања и одржавања 5G опреме.</w:t>
      </w:r>
    </w:p>
    <w:p w14:paraId="325CF123" w14:textId="77777777" w:rsidR="00390F83" w:rsidRDefault="00657869">
      <w:pPr>
        <w:pStyle w:val="ListParagraph"/>
        <w:numPr>
          <w:ilvl w:val="1"/>
          <w:numId w:val="2"/>
        </w:numPr>
        <w:tabs>
          <w:tab w:val="left" w:pos="1431"/>
          <w:tab w:val="left" w:pos="1433"/>
        </w:tabs>
        <w:spacing w:line="276" w:lineRule="auto"/>
        <w:ind w:right="358"/>
        <w:rPr>
          <w:sz w:val="24"/>
        </w:rPr>
      </w:pPr>
      <w:r>
        <w:rPr>
          <w:sz w:val="24"/>
        </w:rPr>
        <w:t xml:space="preserve">процену ризика у вези са снабдевањем и ланцем снабдевања који се односе на кашњења у снабдевању, неиспуњавање стандарда или други проблеми са </w:t>
      </w:r>
      <w:r>
        <w:rPr>
          <w:spacing w:val="-2"/>
          <w:sz w:val="24"/>
        </w:rPr>
        <w:t>добављачима.</w:t>
      </w:r>
    </w:p>
    <w:p w14:paraId="329B990B" w14:textId="77777777" w:rsidR="00390F83" w:rsidRDefault="00657869">
      <w:pPr>
        <w:pStyle w:val="BodyText"/>
        <w:spacing w:before="122"/>
        <w:ind w:left="0" w:firstLine="0"/>
      </w:pPr>
      <w:r>
        <w:t>Добављачи</w:t>
      </w:r>
      <w:r>
        <w:rPr>
          <w:spacing w:val="-4"/>
        </w:rPr>
        <w:t xml:space="preserve"> </w:t>
      </w:r>
      <w:r>
        <w:t>5G</w:t>
      </w:r>
      <w:r>
        <w:rPr>
          <w:spacing w:val="-2"/>
        </w:rPr>
        <w:t xml:space="preserve"> </w:t>
      </w:r>
      <w:r>
        <w:t>опреме</w:t>
      </w:r>
      <w:r>
        <w:rPr>
          <w:spacing w:val="-1"/>
        </w:rPr>
        <w:t xml:space="preserve"> </w:t>
      </w:r>
      <w:r>
        <w:t>могу</w:t>
      </w:r>
      <w:r>
        <w:rPr>
          <w:spacing w:val="-2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идентификују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друге</w:t>
      </w:r>
      <w:r>
        <w:rPr>
          <w:spacing w:val="-2"/>
        </w:rPr>
        <w:t xml:space="preserve"> </w:t>
      </w:r>
      <w:r>
        <w:t>ризике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рањивости.</w:t>
      </w:r>
    </w:p>
    <w:p w14:paraId="164AFFDC" w14:textId="77777777" w:rsidR="00390F83" w:rsidRDefault="00657869">
      <w:pPr>
        <w:pStyle w:val="BodyText"/>
        <w:spacing w:line="278" w:lineRule="auto"/>
        <w:ind w:left="0" w:right="358" w:firstLine="0"/>
      </w:pPr>
      <w:r>
        <w:t>Квантификација</w:t>
      </w:r>
      <w:r>
        <w:rPr>
          <w:spacing w:val="-4"/>
        </w:rPr>
        <w:t xml:space="preserve"> </w:t>
      </w:r>
      <w:r>
        <w:t>ризика</w:t>
      </w:r>
      <w:r>
        <w:rPr>
          <w:spacing w:val="-7"/>
        </w:rPr>
        <w:t xml:space="preserve"> </w:t>
      </w:r>
      <w:r>
        <w:t>помоћу</w:t>
      </w:r>
      <w:r>
        <w:rPr>
          <w:spacing w:val="-4"/>
        </w:rPr>
        <w:t xml:space="preserve"> </w:t>
      </w:r>
      <w:r>
        <w:t>матрице</w:t>
      </w:r>
      <w:r>
        <w:rPr>
          <w:spacing w:val="-5"/>
        </w:rPr>
        <w:t xml:space="preserve"> </w:t>
      </w:r>
      <w:r>
        <w:t>ризика</w:t>
      </w:r>
      <w:r>
        <w:rPr>
          <w:spacing w:val="-5"/>
        </w:rPr>
        <w:t xml:space="preserve"> </w:t>
      </w:r>
      <w:r>
        <w:t>омогућава</w:t>
      </w:r>
      <w:r>
        <w:rPr>
          <w:spacing w:val="-5"/>
        </w:rPr>
        <w:t xml:space="preserve"> </w:t>
      </w:r>
      <w:r>
        <w:t>систематски</w:t>
      </w:r>
      <w:r>
        <w:rPr>
          <w:spacing w:val="-4"/>
        </w:rPr>
        <w:t xml:space="preserve"> </w:t>
      </w:r>
      <w:r>
        <w:t>приступ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 xml:space="preserve">процени </w:t>
      </w:r>
      <w:r>
        <w:rPr>
          <w:spacing w:val="-2"/>
        </w:rPr>
        <w:t>ризика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рањивости,</w:t>
      </w:r>
      <w:r>
        <w:rPr>
          <w:spacing w:val="-9"/>
        </w:rPr>
        <w:t xml:space="preserve"> </w:t>
      </w:r>
      <w:r>
        <w:rPr>
          <w:spacing w:val="-2"/>
        </w:rPr>
        <w:t>чиме</w:t>
      </w:r>
      <w:r>
        <w:rPr>
          <w:spacing w:val="-8"/>
        </w:rPr>
        <w:t xml:space="preserve"> </w:t>
      </w:r>
      <w:r>
        <w:rPr>
          <w:spacing w:val="-2"/>
        </w:rPr>
        <w:t>се</w:t>
      </w:r>
      <w:r>
        <w:rPr>
          <w:spacing w:val="-8"/>
        </w:rPr>
        <w:t xml:space="preserve"> </w:t>
      </w:r>
      <w:r>
        <w:rPr>
          <w:spacing w:val="-2"/>
        </w:rPr>
        <w:t>добија</w:t>
      </w:r>
      <w:r>
        <w:rPr>
          <w:spacing w:val="-6"/>
        </w:rPr>
        <w:t xml:space="preserve"> </w:t>
      </w:r>
      <w:r>
        <w:rPr>
          <w:spacing w:val="-2"/>
        </w:rPr>
        <w:t>јаснија</w:t>
      </w:r>
      <w:r>
        <w:rPr>
          <w:spacing w:val="-6"/>
        </w:rPr>
        <w:t xml:space="preserve"> </w:t>
      </w:r>
      <w:r>
        <w:rPr>
          <w:spacing w:val="-2"/>
        </w:rPr>
        <w:t>слика</w:t>
      </w:r>
      <w:r>
        <w:rPr>
          <w:spacing w:val="-8"/>
        </w:rPr>
        <w:t xml:space="preserve"> </w:t>
      </w:r>
      <w:r>
        <w:rPr>
          <w:spacing w:val="-2"/>
        </w:rPr>
        <w:t>о</w:t>
      </w:r>
      <w:r>
        <w:rPr>
          <w:spacing w:val="-6"/>
        </w:rPr>
        <w:t xml:space="preserve"> </w:t>
      </w:r>
      <w:r>
        <w:rPr>
          <w:spacing w:val="-2"/>
        </w:rPr>
        <w:t>тежини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вероватноћи</w:t>
      </w:r>
      <w:r>
        <w:rPr>
          <w:spacing w:val="-5"/>
        </w:rPr>
        <w:t xml:space="preserve"> </w:t>
      </w:r>
      <w:r>
        <w:rPr>
          <w:spacing w:val="-2"/>
        </w:rPr>
        <w:t>одређених</w:t>
      </w:r>
      <w:r>
        <w:rPr>
          <w:spacing w:val="-6"/>
        </w:rPr>
        <w:t xml:space="preserve"> </w:t>
      </w:r>
      <w:r>
        <w:rPr>
          <w:spacing w:val="-2"/>
        </w:rPr>
        <w:t>ризика.</w:t>
      </w:r>
    </w:p>
    <w:p w14:paraId="56464BA0" w14:textId="77777777" w:rsidR="00390F83" w:rsidRDefault="00657869">
      <w:pPr>
        <w:pStyle w:val="BodyText"/>
        <w:spacing w:before="159"/>
        <w:ind w:left="0" w:firstLine="0"/>
      </w:pPr>
      <w:r>
        <w:t>Матрица</w:t>
      </w:r>
      <w:r>
        <w:rPr>
          <w:spacing w:val="-3"/>
        </w:rPr>
        <w:t xml:space="preserve"> </w:t>
      </w:r>
      <w:r>
        <w:t>ризика</w:t>
      </w:r>
      <w:r>
        <w:rPr>
          <w:spacing w:val="-1"/>
        </w:rPr>
        <w:t xml:space="preserve"> </w:t>
      </w:r>
      <w:r>
        <w:t>треба</w:t>
      </w:r>
      <w:r>
        <w:rPr>
          <w:spacing w:val="-5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комбинује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параметра:</w:t>
      </w:r>
    </w:p>
    <w:p w14:paraId="61D01583" w14:textId="77777777" w:rsidR="00390F83" w:rsidRDefault="00657869">
      <w:pPr>
        <w:pStyle w:val="ListParagraph"/>
        <w:numPr>
          <w:ilvl w:val="0"/>
          <w:numId w:val="1"/>
        </w:numPr>
        <w:tabs>
          <w:tab w:val="left" w:pos="2160"/>
        </w:tabs>
        <w:spacing w:before="204"/>
        <w:rPr>
          <w:sz w:val="24"/>
        </w:rPr>
      </w:pPr>
      <w:r>
        <w:rPr>
          <w:sz w:val="24"/>
        </w:rPr>
        <w:t>Вероватноћа</w:t>
      </w:r>
      <w:r>
        <w:rPr>
          <w:spacing w:val="-7"/>
          <w:sz w:val="24"/>
        </w:rPr>
        <w:t xml:space="preserve"> </w:t>
      </w:r>
      <w:r>
        <w:rPr>
          <w:sz w:val="24"/>
        </w:rPr>
        <w:t>појаве</w:t>
      </w:r>
      <w:r>
        <w:rPr>
          <w:spacing w:val="-4"/>
          <w:sz w:val="24"/>
        </w:rPr>
        <w:t xml:space="preserve"> </w:t>
      </w:r>
      <w:r>
        <w:rPr>
          <w:sz w:val="24"/>
        </w:rPr>
        <w:t>ризика</w:t>
      </w:r>
      <w:r>
        <w:rPr>
          <w:spacing w:val="-5"/>
          <w:sz w:val="24"/>
        </w:rPr>
        <w:t xml:space="preserve"> </w:t>
      </w:r>
      <w:r>
        <w:rPr>
          <w:sz w:val="24"/>
        </w:rPr>
        <w:t>(висока,</w:t>
      </w:r>
      <w:r>
        <w:rPr>
          <w:spacing w:val="-3"/>
          <w:sz w:val="24"/>
        </w:rPr>
        <w:t xml:space="preserve"> </w:t>
      </w:r>
      <w:r>
        <w:rPr>
          <w:sz w:val="24"/>
        </w:rPr>
        <w:t>средња,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ниска).</w:t>
      </w:r>
    </w:p>
    <w:p w14:paraId="06D61B02" w14:textId="77777777" w:rsidR="00390F83" w:rsidRDefault="00657869">
      <w:pPr>
        <w:pStyle w:val="ListParagraph"/>
        <w:numPr>
          <w:ilvl w:val="0"/>
          <w:numId w:val="1"/>
        </w:numPr>
        <w:tabs>
          <w:tab w:val="left" w:pos="2160"/>
        </w:tabs>
        <w:spacing w:before="204"/>
        <w:rPr>
          <w:sz w:val="24"/>
        </w:rPr>
      </w:pPr>
      <w:r>
        <w:rPr>
          <w:sz w:val="24"/>
        </w:rPr>
        <w:t>Утицај</w:t>
      </w:r>
      <w:r>
        <w:rPr>
          <w:spacing w:val="-4"/>
          <w:sz w:val="24"/>
        </w:rPr>
        <w:t xml:space="preserve"> </w:t>
      </w:r>
      <w:r>
        <w:rPr>
          <w:sz w:val="24"/>
        </w:rPr>
        <w:t>ризика</w:t>
      </w:r>
      <w:r>
        <w:rPr>
          <w:spacing w:val="-4"/>
          <w:sz w:val="24"/>
        </w:rPr>
        <w:t xml:space="preserve"> </w:t>
      </w:r>
      <w:r>
        <w:rPr>
          <w:sz w:val="24"/>
        </w:rPr>
        <w:t>(високи,</w:t>
      </w:r>
      <w:r>
        <w:rPr>
          <w:spacing w:val="-6"/>
          <w:sz w:val="24"/>
        </w:rPr>
        <w:t xml:space="preserve"> </w:t>
      </w:r>
      <w:r>
        <w:rPr>
          <w:sz w:val="24"/>
        </w:rPr>
        <w:t>средњи,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ниски).</w:t>
      </w:r>
    </w:p>
    <w:p w14:paraId="5ED6DC17" w14:textId="77777777" w:rsidR="00390F83" w:rsidRDefault="00657869">
      <w:pPr>
        <w:pStyle w:val="BodyText"/>
        <w:spacing w:line="278" w:lineRule="auto"/>
        <w:ind w:left="0" w:right="354" w:firstLine="0"/>
      </w:pPr>
      <w:r>
        <w:t>Поред наведеног добављачи могу користити и стандардизоване методологије као што су NIST SP 800-30 и/или ISO/IEC 27005 за идентификовање и процену ризика и рањивости и предлог одговарајућих мера за њихово елиминисање или ублажавање.</w:t>
      </w:r>
    </w:p>
    <w:p w14:paraId="73C63951" w14:textId="77777777" w:rsidR="00390F83" w:rsidRDefault="00657869">
      <w:pPr>
        <w:pStyle w:val="Heading1"/>
        <w:numPr>
          <w:ilvl w:val="0"/>
          <w:numId w:val="2"/>
        </w:numPr>
        <w:tabs>
          <w:tab w:val="left" w:pos="719"/>
        </w:tabs>
        <w:spacing w:before="158"/>
        <w:ind w:left="719" w:hanging="359"/>
        <w:jc w:val="both"/>
      </w:pPr>
      <w:r>
        <w:t>Техничка</w:t>
      </w:r>
      <w:r>
        <w:rPr>
          <w:spacing w:val="-3"/>
        </w:rPr>
        <w:t xml:space="preserve"> </w:t>
      </w:r>
      <w:r>
        <w:t>процена</w:t>
      </w:r>
      <w:r>
        <w:rPr>
          <w:spacing w:val="-3"/>
        </w:rPr>
        <w:t xml:space="preserve"> </w:t>
      </w:r>
      <w:r>
        <w:t>безбедности</w:t>
      </w:r>
      <w:r>
        <w:rPr>
          <w:spacing w:val="-3"/>
        </w:rPr>
        <w:t xml:space="preserve"> </w:t>
      </w:r>
      <w:r>
        <w:t>опреме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софтвера</w:t>
      </w:r>
      <w:r>
        <w:rPr>
          <w:spacing w:val="-2"/>
        </w:rPr>
        <w:t xml:space="preserve"> добављача:</w:t>
      </w:r>
    </w:p>
    <w:p w14:paraId="1691C5E6" w14:textId="77777777" w:rsidR="00390F83" w:rsidRDefault="00657869">
      <w:pPr>
        <w:pStyle w:val="BodyText"/>
        <w:spacing w:before="205" w:line="278" w:lineRule="auto"/>
        <w:ind w:left="0" w:right="353" w:firstLine="0"/>
      </w:pPr>
      <w:r>
        <w:t>Подразумева процену техничких аспеката безбедности опреме и софтвера добављача, узимајући</w:t>
      </w:r>
      <w:r>
        <w:rPr>
          <w:spacing w:val="-4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обзир</w:t>
      </w:r>
      <w:r>
        <w:rPr>
          <w:spacing w:val="-5"/>
        </w:rPr>
        <w:t xml:space="preserve"> </w:t>
      </w:r>
      <w:r>
        <w:t>потенцијалне</w:t>
      </w:r>
      <w:r>
        <w:rPr>
          <w:spacing w:val="-6"/>
        </w:rPr>
        <w:t xml:space="preserve"> </w:t>
      </w:r>
      <w:r>
        <w:t>рањивости</w:t>
      </w:r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дизајну,</w:t>
      </w:r>
      <w:r>
        <w:rPr>
          <w:spacing w:val="-3"/>
        </w:rPr>
        <w:t xml:space="preserve"> </w:t>
      </w:r>
      <w:r>
        <w:t>кодирању,</w:t>
      </w:r>
      <w:r>
        <w:rPr>
          <w:spacing w:val="-5"/>
        </w:rPr>
        <w:t xml:space="preserve"> </w:t>
      </w:r>
      <w:r>
        <w:t>интеграцији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управљању опремом кроз:</w:t>
      </w:r>
    </w:p>
    <w:p w14:paraId="7161CA90" w14:textId="3B5CD620" w:rsidR="00390F83" w:rsidRDefault="00657869">
      <w:pPr>
        <w:pStyle w:val="ListParagraph"/>
        <w:numPr>
          <w:ilvl w:val="1"/>
          <w:numId w:val="2"/>
        </w:numPr>
        <w:tabs>
          <w:tab w:val="left" w:pos="1076"/>
          <w:tab w:val="left" w:pos="1078"/>
        </w:tabs>
        <w:spacing w:before="160" w:line="276" w:lineRule="auto"/>
        <w:ind w:left="1078" w:right="361" w:hanging="358"/>
        <w:rPr>
          <w:sz w:val="24"/>
        </w:rPr>
      </w:pPr>
      <w:r>
        <w:rPr>
          <w:sz w:val="24"/>
        </w:rPr>
        <w:t>процену да ли опрема користи сигурне методологије у дизајну, као што су примена принципа "Security by Design" или "Privacy by Design", као и техничке контроле за спречавање неовлашћеног приступа</w:t>
      </w:r>
      <w:r w:rsidR="00C14DCD">
        <w:rPr>
          <w:sz w:val="24"/>
          <w:lang w:val="sr-Cyrl-RS"/>
        </w:rPr>
        <w:t>;</w:t>
      </w:r>
    </w:p>
    <w:p w14:paraId="4FA4F77D" w14:textId="77777777" w:rsidR="00390F83" w:rsidRDefault="00390F83">
      <w:pPr>
        <w:pStyle w:val="ListParagraph"/>
        <w:spacing w:line="276" w:lineRule="auto"/>
        <w:rPr>
          <w:sz w:val="24"/>
        </w:rPr>
        <w:sectPr w:rsidR="00390F83">
          <w:type w:val="continuous"/>
          <w:pgSz w:w="12240" w:h="15840"/>
          <w:pgMar w:top="1360" w:right="1080" w:bottom="280" w:left="1440" w:header="720" w:footer="720" w:gutter="0"/>
          <w:cols w:space="720"/>
        </w:sectPr>
      </w:pPr>
    </w:p>
    <w:p w14:paraId="06B755F3" w14:textId="0EAB5425" w:rsidR="00390F83" w:rsidRDefault="00657869">
      <w:pPr>
        <w:pStyle w:val="ListParagraph"/>
        <w:numPr>
          <w:ilvl w:val="1"/>
          <w:numId w:val="2"/>
        </w:numPr>
        <w:tabs>
          <w:tab w:val="left" w:pos="1080"/>
        </w:tabs>
        <w:spacing w:before="81" w:line="273" w:lineRule="auto"/>
        <w:ind w:left="1080" w:right="362" w:hanging="360"/>
        <w:jc w:val="left"/>
        <w:rPr>
          <w:sz w:val="24"/>
        </w:rPr>
      </w:pPr>
      <w:r>
        <w:rPr>
          <w:sz w:val="24"/>
        </w:rPr>
        <w:lastRenderedPageBreak/>
        <w:t>процену</w:t>
      </w:r>
      <w:r>
        <w:rPr>
          <w:spacing w:val="40"/>
          <w:sz w:val="24"/>
        </w:rPr>
        <w:t xml:space="preserve"> </w:t>
      </w:r>
      <w:r>
        <w:rPr>
          <w:sz w:val="24"/>
        </w:rPr>
        <w:t>безбедности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софтвера</w:t>
      </w:r>
      <w:r>
        <w:rPr>
          <w:spacing w:val="40"/>
          <w:sz w:val="24"/>
        </w:rPr>
        <w:t xml:space="preserve"> </w:t>
      </w:r>
      <w:r>
        <w:rPr>
          <w:sz w:val="24"/>
        </w:rPr>
        <w:t>са</w:t>
      </w:r>
      <w:r>
        <w:rPr>
          <w:spacing w:val="40"/>
          <w:sz w:val="24"/>
        </w:rPr>
        <w:t xml:space="preserve"> </w:t>
      </w:r>
      <w:r>
        <w:rPr>
          <w:sz w:val="24"/>
        </w:rPr>
        <w:t>фокусом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познате</w:t>
      </w:r>
      <w:r>
        <w:rPr>
          <w:spacing w:val="40"/>
          <w:sz w:val="24"/>
        </w:rPr>
        <w:t xml:space="preserve"> </w:t>
      </w:r>
      <w:r>
        <w:rPr>
          <w:sz w:val="24"/>
        </w:rPr>
        <w:t>рањивости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примена најбо</w:t>
      </w:r>
      <w:r w:rsidR="00C14DCD">
        <w:rPr>
          <w:sz w:val="24"/>
        </w:rPr>
        <w:t>љих пракси за безбедно кодирање;</w:t>
      </w:r>
    </w:p>
    <w:p w14:paraId="4268EF18" w14:textId="50F37491" w:rsidR="00390F83" w:rsidRDefault="00657869">
      <w:pPr>
        <w:pStyle w:val="ListParagraph"/>
        <w:numPr>
          <w:ilvl w:val="1"/>
          <w:numId w:val="2"/>
        </w:numPr>
        <w:tabs>
          <w:tab w:val="left" w:pos="1080"/>
        </w:tabs>
        <w:spacing w:before="8" w:line="273" w:lineRule="auto"/>
        <w:ind w:left="1080" w:right="360" w:hanging="360"/>
        <w:jc w:val="left"/>
        <w:rPr>
          <w:sz w:val="24"/>
        </w:rPr>
      </w:pPr>
      <w:r>
        <w:rPr>
          <w:sz w:val="24"/>
        </w:rPr>
        <w:t>примену</w:t>
      </w:r>
      <w:r>
        <w:rPr>
          <w:spacing w:val="34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34"/>
          <w:sz w:val="24"/>
        </w:rPr>
        <w:t xml:space="preserve"> </w:t>
      </w:r>
      <w:r>
        <w:rPr>
          <w:sz w:val="24"/>
        </w:rPr>
        <w:t>тестирања</w:t>
      </w:r>
      <w:r>
        <w:rPr>
          <w:spacing w:val="33"/>
          <w:sz w:val="24"/>
        </w:rPr>
        <w:t xml:space="preserve"> </w:t>
      </w:r>
      <w:r>
        <w:rPr>
          <w:sz w:val="24"/>
        </w:rPr>
        <w:t>безбедности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укључивање</w:t>
      </w:r>
      <w:r>
        <w:rPr>
          <w:spacing w:val="33"/>
          <w:sz w:val="24"/>
        </w:rPr>
        <w:t xml:space="preserve"> </w:t>
      </w:r>
      <w:r>
        <w:rPr>
          <w:sz w:val="24"/>
        </w:rPr>
        <w:t>независних</w:t>
      </w:r>
      <w:r>
        <w:rPr>
          <w:spacing w:val="34"/>
          <w:sz w:val="24"/>
        </w:rPr>
        <w:t xml:space="preserve"> </w:t>
      </w:r>
      <w:r>
        <w:rPr>
          <w:sz w:val="24"/>
        </w:rPr>
        <w:t>тела</w:t>
      </w:r>
      <w:r>
        <w:rPr>
          <w:spacing w:val="33"/>
          <w:sz w:val="24"/>
        </w:rPr>
        <w:t xml:space="preserve"> </w:t>
      </w:r>
      <w:r w:rsidR="00C14DCD">
        <w:rPr>
          <w:sz w:val="24"/>
        </w:rPr>
        <w:t>за проверу интегритета система;</w:t>
      </w:r>
    </w:p>
    <w:p w14:paraId="4EA93ED0" w14:textId="77777777" w:rsidR="00390F83" w:rsidRDefault="00657869">
      <w:pPr>
        <w:pStyle w:val="ListParagraph"/>
        <w:numPr>
          <w:ilvl w:val="1"/>
          <w:numId w:val="2"/>
        </w:numPr>
        <w:tabs>
          <w:tab w:val="left" w:pos="1080"/>
        </w:tabs>
        <w:spacing w:before="5" w:line="273" w:lineRule="auto"/>
        <w:ind w:left="1080" w:right="361" w:hanging="360"/>
        <w:jc w:val="left"/>
        <w:rPr>
          <w:sz w:val="24"/>
        </w:rPr>
      </w:pPr>
      <w:r>
        <w:rPr>
          <w:sz w:val="24"/>
        </w:rPr>
        <w:t>примену</w:t>
      </w:r>
      <w:r>
        <w:rPr>
          <w:spacing w:val="33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2"/>
          <w:sz w:val="24"/>
        </w:rPr>
        <w:t xml:space="preserve"> </w:t>
      </w:r>
      <w:r>
        <w:rPr>
          <w:sz w:val="24"/>
        </w:rPr>
        <w:t>јачање</w:t>
      </w:r>
      <w:r>
        <w:rPr>
          <w:spacing w:val="32"/>
          <w:sz w:val="24"/>
        </w:rPr>
        <w:t xml:space="preserve"> </w:t>
      </w:r>
      <w:r>
        <w:rPr>
          <w:sz w:val="24"/>
        </w:rPr>
        <w:t>интегритета</w:t>
      </w:r>
      <w:r>
        <w:rPr>
          <w:spacing w:val="32"/>
          <w:sz w:val="24"/>
        </w:rPr>
        <w:t xml:space="preserve"> </w:t>
      </w:r>
      <w:r>
        <w:rPr>
          <w:sz w:val="24"/>
        </w:rPr>
        <w:t>софтвера,</w:t>
      </w:r>
      <w:r>
        <w:rPr>
          <w:spacing w:val="33"/>
          <w:sz w:val="24"/>
        </w:rPr>
        <w:t xml:space="preserve"> </w:t>
      </w:r>
      <w:r>
        <w:rPr>
          <w:sz w:val="24"/>
        </w:rPr>
        <w:t>ажурирање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управљање ажурирањем софтвера током животног века компоненте;</w:t>
      </w:r>
    </w:p>
    <w:p w14:paraId="4DDB9C43" w14:textId="738BCDEE" w:rsidR="00390F83" w:rsidRDefault="00657869">
      <w:pPr>
        <w:pStyle w:val="ListParagraph"/>
        <w:numPr>
          <w:ilvl w:val="1"/>
          <w:numId w:val="2"/>
        </w:numPr>
        <w:tabs>
          <w:tab w:val="left" w:pos="1080"/>
        </w:tabs>
        <w:spacing w:before="8" w:line="273" w:lineRule="auto"/>
        <w:ind w:left="1080" w:right="363" w:hanging="360"/>
        <w:jc w:val="left"/>
        <w:rPr>
          <w:sz w:val="24"/>
        </w:rPr>
      </w:pPr>
      <w:r>
        <w:rPr>
          <w:sz w:val="24"/>
        </w:rPr>
        <w:t>оцењивање способности опреме да ради у сложеним мрежним окружењима без угрожавања других делова мреже</w:t>
      </w:r>
      <w:r w:rsidR="00C14DCD">
        <w:rPr>
          <w:sz w:val="24"/>
          <w:lang w:val="sr-Cyrl-RS"/>
        </w:rPr>
        <w:t>;</w:t>
      </w:r>
    </w:p>
    <w:p w14:paraId="7D0682FD" w14:textId="77777777" w:rsidR="00390F83" w:rsidRDefault="00657869">
      <w:pPr>
        <w:pStyle w:val="ListParagraph"/>
        <w:numPr>
          <w:ilvl w:val="1"/>
          <w:numId w:val="2"/>
        </w:numPr>
        <w:tabs>
          <w:tab w:val="left" w:pos="1080"/>
        </w:tabs>
        <w:spacing w:before="6" w:line="273" w:lineRule="auto"/>
        <w:ind w:left="1080" w:right="364" w:hanging="360"/>
        <w:jc w:val="left"/>
        <w:rPr>
          <w:sz w:val="24"/>
        </w:rPr>
      </w:pPr>
      <w:r>
        <w:rPr>
          <w:sz w:val="24"/>
        </w:rPr>
        <w:t>процену</w:t>
      </w:r>
      <w:r>
        <w:rPr>
          <w:spacing w:val="40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транспарентних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сигурних</w:t>
      </w:r>
      <w:r>
        <w:rPr>
          <w:spacing w:val="40"/>
          <w:sz w:val="24"/>
        </w:rPr>
        <w:t xml:space="preserve"> </w:t>
      </w:r>
      <w:r>
        <w:rPr>
          <w:sz w:val="24"/>
        </w:rPr>
        <w:t>функција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управљање</w:t>
      </w:r>
      <w:r>
        <w:rPr>
          <w:spacing w:val="40"/>
          <w:sz w:val="24"/>
        </w:rPr>
        <w:t xml:space="preserve"> </w:t>
      </w:r>
      <w:r>
        <w:rPr>
          <w:sz w:val="24"/>
        </w:rPr>
        <w:t>и надзор, укључујући спречавање неовлашћеног приступа.</w:t>
      </w:r>
    </w:p>
    <w:p w14:paraId="7DDC1D24" w14:textId="77777777" w:rsidR="00390F83" w:rsidRDefault="00657869">
      <w:pPr>
        <w:pStyle w:val="Heading1"/>
        <w:numPr>
          <w:ilvl w:val="0"/>
          <w:numId w:val="2"/>
        </w:numPr>
        <w:tabs>
          <w:tab w:val="left" w:pos="720"/>
        </w:tabs>
        <w:spacing w:before="167" w:line="278" w:lineRule="auto"/>
        <w:ind w:right="354"/>
        <w:jc w:val="both"/>
      </w:pPr>
      <w:r>
        <w:t>Предложене</w:t>
      </w:r>
      <w:r>
        <w:rPr>
          <w:spacing w:val="-6"/>
        </w:rPr>
        <w:t xml:space="preserve"> </w:t>
      </w:r>
      <w:r>
        <w:t>мере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елиминисање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ублажавање</w:t>
      </w:r>
      <w:r>
        <w:rPr>
          <w:spacing w:val="-6"/>
        </w:rPr>
        <w:t xml:space="preserve"> </w:t>
      </w:r>
      <w:r>
        <w:t>идентификованих</w:t>
      </w:r>
      <w:r>
        <w:rPr>
          <w:spacing w:val="-5"/>
        </w:rPr>
        <w:t xml:space="preserve"> </w:t>
      </w:r>
      <w:r>
        <w:t xml:space="preserve">ризика и </w:t>
      </w:r>
      <w:r>
        <w:rPr>
          <w:spacing w:val="-2"/>
        </w:rPr>
        <w:t>рањивости:</w:t>
      </w:r>
    </w:p>
    <w:p w14:paraId="0056EA63" w14:textId="1BCE202E" w:rsidR="00390F83" w:rsidRDefault="00657869">
      <w:pPr>
        <w:pStyle w:val="ListParagraph"/>
        <w:numPr>
          <w:ilvl w:val="1"/>
          <w:numId w:val="2"/>
        </w:numPr>
        <w:tabs>
          <w:tab w:val="left" w:pos="1431"/>
          <w:tab w:val="left" w:pos="1433"/>
        </w:tabs>
        <w:spacing w:before="161" w:line="273" w:lineRule="auto"/>
        <w:ind w:right="357"/>
        <w:rPr>
          <w:sz w:val="24"/>
        </w:rPr>
      </w:pPr>
      <w:r>
        <w:rPr>
          <w:sz w:val="24"/>
        </w:rPr>
        <w:t>анализа</w:t>
      </w:r>
      <w:r>
        <w:rPr>
          <w:spacing w:val="-8"/>
          <w:sz w:val="24"/>
        </w:rPr>
        <w:t xml:space="preserve"> </w:t>
      </w:r>
      <w:r>
        <w:rPr>
          <w:sz w:val="24"/>
        </w:rPr>
        <w:t>усклађености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са</w:t>
      </w:r>
      <w:r>
        <w:rPr>
          <w:spacing w:val="-8"/>
          <w:sz w:val="24"/>
        </w:rPr>
        <w:t xml:space="preserve"> </w:t>
      </w:r>
      <w:r>
        <w:rPr>
          <w:sz w:val="24"/>
        </w:rPr>
        <w:t>стандардима</w:t>
      </w:r>
      <w:r>
        <w:rPr>
          <w:spacing w:val="-6"/>
          <w:sz w:val="24"/>
        </w:rPr>
        <w:t xml:space="preserve"> </w:t>
      </w:r>
      <w:r>
        <w:rPr>
          <w:sz w:val="24"/>
        </w:rPr>
        <w:t>која</w:t>
      </w:r>
      <w:r>
        <w:rPr>
          <w:spacing w:val="-8"/>
          <w:sz w:val="24"/>
        </w:rPr>
        <w:t xml:space="preserve"> </w:t>
      </w:r>
      <w:r>
        <w:rPr>
          <w:sz w:val="24"/>
        </w:rPr>
        <w:t>осигурава</w:t>
      </w:r>
      <w:r>
        <w:rPr>
          <w:spacing w:val="-8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опрема</w:t>
      </w:r>
      <w:r>
        <w:rPr>
          <w:spacing w:val="-8"/>
          <w:sz w:val="24"/>
        </w:rPr>
        <w:t xml:space="preserve"> </w:t>
      </w:r>
      <w:r>
        <w:rPr>
          <w:sz w:val="24"/>
        </w:rPr>
        <w:t>буде</w:t>
      </w:r>
      <w:r>
        <w:rPr>
          <w:spacing w:val="-8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складу са </w:t>
      </w:r>
      <w:r w:rsidR="00C14DCD">
        <w:rPr>
          <w:sz w:val="24"/>
        </w:rPr>
        <w:t>релевантним стандардима;</w:t>
      </w:r>
    </w:p>
    <w:p w14:paraId="216A98A1" w14:textId="401E5261" w:rsidR="00390F83" w:rsidRDefault="00657869">
      <w:pPr>
        <w:pStyle w:val="ListParagraph"/>
        <w:numPr>
          <w:ilvl w:val="1"/>
          <w:numId w:val="2"/>
        </w:numPr>
        <w:tabs>
          <w:tab w:val="left" w:pos="1431"/>
          <w:tab w:val="left" w:pos="1433"/>
        </w:tabs>
        <w:spacing w:before="125" w:line="276" w:lineRule="auto"/>
        <w:ind w:right="359"/>
        <w:rPr>
          <w:sz w:val="24"/>
        </w:rPr>
      </w:pPr>
      <w:r>
        <w:rPr>
          <w:sz w:val="24"/>
        </w:rPr>
        <w:t>процена</w:t>
      </w:r>
      <w:r>
        <w:rPr>
          <w:spacing w:val="-15"/>
          <w:sz w:val="24"/>
        </w:rPr>
        <w:t xml:space="preserve"> </w:t>
      </w:r>
      <w:r>
        <w:rPr>
          <w:sz w:val="24"/>
        </w:rPr>
        <w:t>утицаја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инфраструктуру</w:t>
      </w:r>
      <w:r>
        <w:rPr>
          <w:spacing w:val="-15"/>
          <w:sz w:val="24"/>
        </w:rPr>
        <w:t xml:space="preserve"> </w:t>
      </w:r>
      <w:r>
        <w:rPr>
          <w:sz w:val="24"/>
        </w:rPr>
        <w:t>која</w:t>
      </w:r>
      <w:r>
        <w:rPr>
          <w:spacing w:val="-15"/>
          <w:sz w:val="24"/>
        </w:rPr>
        <w:t xml:space="preserve"> </w:t>
      </w:r>
      <w:r>
        <w:rPr>
          <w:sz w:val="24"/>
        </w:rPr>
        <w:t>омогућава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процену</w:t>
      </w:r>
      <w:r>
        <w:rPr>
          <w:spacing w:val="-15"/>
          <w:sz w:val="24"/>
        </w:rPr>
        <w:t xml:space="preserve"> </w:t>
      </w:r>
      <w:r>
        <w:rPr>
          <w:sz w:val="24"/>
        </w:rPr>
        <w:t>како</w:t>
      </w:r>
      <w:r>
        <w:rPr>
          <w:spacing w:val="-15"/>
          <w:sz w:val="24"/>
        </w:rPr>
        <w:t xml:space="preserve"> </w:t>
      </w:r>
      <w:r>
        <w:rPr>
          <w:sz w:val="24"/>
        </w:rPr>
        <w:t>нова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опрема може утицати на постојеће мреже и инфраструктуру, што је кључно за идентификацију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минимизирање</w:t>
      </w:r>
      <w:r>
        <w:rPr>
          <w:spacing w:val="-14"/>
          <w:sz w:val="24"/>
        </w:rPr>
        <w:t xml:space="preserve"> </w:t>
      </w:r>
      <w:r>
        <w:rPr>
          <w:sz w:val="24"/>
        </w:rPr>
        <w:t>ризика</w:t>
      </w:r>
      <w:r>
        <w:rPr>
          <w:spacing w:val="-14"/>
          <w:sz w:val="24"/>
        </w:rPr>
        <w:t xml:space="preserve"> </w:t>
      </w:r>
      <w:r>
        <w:rPr>
          <w:sz w:val="24"/>
        </w:rPr>
        <w:t>који</w:t>
      </w:r>
      <w:r>
        <w:rPr>
          <w:spacing w:val="-12"/>
          <w:sz w:val="24"/>
        </w:rPr>
        <w:t xml:space="preserve"> </w:t>
      </w:r>
      <w:r>
        <w:rPr>
          <w:sz w:val="24"/>
        </w:rPr>
        <w:t>се</w:t>
      </w:r>
      <w:r>
        <w:rPr>
          <w:spacing w:val="-14"/>
          <w:sz w:val="24"/>
        </w:rPr>
        <w:t xml:space="preserve"> </w:t>
      </w:r>
      <w:r>
        <w:rPr>
          <w:sz w:val="24"/>
        </w:rPr>
        <w:t>односе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интеграцију</w:t>
      </w:r>
      <w:r>
        <w:rPr>
          <w:spacing w:val="-15"/>
          <w:sz w:val="24"/>
        </w:rPr>
        <w:t xml:space="preserve"> </w:t>
      </w:r>
      <w:r>
        <w:rPr>
          <w:sz w:val="24"/>
        </w:rPr>
        <w:t>нових технологија и одржавање стабилност</w:t>
      </w:r>
      <w:r w:rsidR="00C14DCD">
        <w:rPr>
          <w:sz w:val="24"/>
        </w:rPr>
        <w:t>и и сигурности постојећих мрежа;</w:t>
      </w:r>
    </w:p>
    <w:p w14:paraId="116E28F7" w14:textId="1F22E799" w:rsidR="00390F83" w:rsidRDefault="00657869">
      <w:pPr>
        <w:pStyle w:val="ListParagraph"/>
        <w:numPr>
          <w:ilvl w:val="1"/>
          <w:numId w:val="2"/>
        </w:numPr>
        <w:tabs>
          <w:tab w:val="left" w:pos="1431"/>
          <w:tab w:val="left" w:pos="1433"/>
        </w:tabs>
        <w:spacing w:line="276" w:lineRule="auto"/>
        <w:ind w:right="359"/>
        <w:rPr>
          <w:sz w:val="24"/>
        </w:rPr>
      </w:pPr>
      <w:r>
        <w:rPr>
          <w:sz w:val="24"/>
        </w:rPr>
        <w:t>стратегија за осигурање квалитета и планови за тестирање и верификацију како би се омогућило откривање потенцијалних проблема у раним фазама и смањиле могућно</w:t>
      </w:r>
      <w:r w:rsidR="00C14DCD">
        <w:rPr>
          <w:sz w:val="24"/>
        </w:rPr>
        <w:t>сти дефеката и грешака у опреми;</w:t>
      </w:r>
    </w:p>
    <w:p w14:paraId="4A2650BD" w14:textId="7F5D4878" w:rsidR="00390F83" w:rsidRDefault="00657869">
      <w:pPr>
        <w:pStyle w:val="ListParagraph"/>
        <w:numPr>
          <w:ilvl w:val="1"/>
          <w:numId w:val="2"/>
        </w:numPr>
        <w:tabs>
          <w:tab w:val="left" w:pos="1431"/>
          <w:tab w:val="left" w:pos="1433"/>
        </w:tabs>
        <w:spacing w:before="124" w:line="273" w:lineRule="auto"/>
        <w:ind w:right="358"/>
        <w:rPr>
          <w:sz w:val="24"/>
        </w:rPr>
      </w:pPr>
      <w:r>
        <w:rPr>
          <w:sz w:val="24"/>
        </w:rPr>
        <w:t>стратегије за праћење и идентификовање нових ризика које подразумевају стратешко опредељење за праћење ток</w:t>
      </w:r>
      <w:r w:rsidR="00C14DCD">
        <w:rPr>
          <w:sz w:val="24"/>
        </w:rPr>
        <w:t>ом читавог животног века опреме;</w:t>
      </w:r>
    </w:p>
    <w:p w14:paraId="3AF447AA" w14:textId="4C990B0E" w:rsidR="00390F83" w:rsidRDefault="00657869">
      <w:pPr>
        <w:pStyle w:val="ListParagraph"/>
        <w:numPr>
          <w:ilvl w:val="1"/>
          <w:numId w:val="2"/>
        </w:numPr>
        <w:tabs>
          <w:tab w:val="left" w:pos="1431"/>
          <w:tab w:val="left" w:pos="1433"/>
        </w:tabs>
        <w:spacing w:line="276" w:lineRule="auto"/>
        <w:ind w:right="356"/>
        <w:rPr>
          <w:sz w:val="24"/>
        </w:rPr>
      </w:pPr>
      <w:r>
        <w:rPr>
          <w:sz w:val="24"/>
        </w:rPr>
        <w:t>сарадња са операторима 5G мреже у спровођењу пенетрацијских тестова и/или спровођење пенетрацијских тестова у тестном окружењу и транспарентна подела информација са операторима о рањивостима које су откривене у пенетрацијским тестовим</w:t>
      </w:r>
      <w:r w:rsidR="00C14DCD">
        <w:rPr>
          <w:sz w:val="24"/>
        </w:rPr>
        <w:t>а спроведеним у другим државама;</w:t>
      </w:r>
    </w:p>
    <w:p w14:paraId="486E18E7" w14:textId="77777777" w:rsidR="00390F83" w:rsidRDefault="00657869">
      <w:pPr>
        <w:pStyle w:val="ListParagraph"/>
        <w:numPr>
          <w:ilvl w:val="1"/>
          <w:numId w:val="2"/>
        </w:numPr>
        <w:tabs>
          <w:tab w:val="left" w:pos="1431"/>
          <w:tab w:val="left" w:pos="1433"/>
        </w:tabs>
        <w:spacing w:before="125" w:line="276" w:lineRule="auto"/>
        <w:ind w:right="357"/>
        <w:rPr>
          <w:sz w:val="24"/>
        </w:rPr>
      </w:pPr>
      <w:r>
        <w:rPr>
          <w:sz w:val="24"/>
        </w:rPr>
        <w:t>стратегије за минимизацију ризика у ланцу снабдевања која обухвата управљање ризицима који се јављају у ланцу снабдевања, као што су кашњења, неиспуњавање стандарда или поремећаји у снабдевању.</w:t>
      </w:r>
    </w:p>
    <w:p w14:paraId="42BE2F15" w14:textId="77777777" w:rsidR="00390F83" w:rsidRDefault="00657869">
      <w:pPr>
        <w:pStyle w:val="BodyText"/>
        <w:spacing w:before="123" w:line="278" w:lineRule="auto"/>
        <w:ind w:left="0" w:right="360" w:firstLine="0"/>
      </w:pPr>
      <w:r>
        <w:t>Добављачи могу да предложе и друге мере за елиминисање или ублажавање идентификованих ризика и рањивости.</w:t>
      </w:r>
    </w:p>
    <w:p w14:paraId="15211851" w14:textId="77777777" w:rsidR="00390F83" w:rsidRDefault="00657869">
      <w:pPr>
        <w:pStyle w:val="BodyText"/>
        <w:spacing w:before="120"/>
        <w:ind w:left="0" w:firstLine="0"/>
      </w:pPr>
      <w:r>
        <w:t>За</w:t>
      </w:r>
      <w:r>
        <w:rPr>
          <w:spacing w:val="-7"/>
        </w:rPr>
        <w:t xml:space="preserve"> </w:t>
      </w:r>
      <w:r>
        <w:t>све</w:t>
      </w:r>
      <w:r>
        <w:rPr>
          <w:spacing w:val="-5"/>
        </w:rPr>
        <w:t xml:space="preserve"> </w:t>
      </w:r>
      <w:r>
        <w:t>предложене</w:t>
      </w:r>
      <w:r>
        <w:rPr>
          <w:spacing w:val="-4"/>
        </w:rPr>
        <w:t xml:space="preserve"> </w:t>
      </w:r>
      <w:r>
        <w:t>мере</w:t>
      </w:r>
      <w:r>
        <w:rPr>
          <w:spacing w:val="-2"/>
        </w:rPr>
        <w:t xml:space="preserve"> </w:t>
      </w:r>
      <w:r>
        <w:t>добављачи</w:t>
      </w:r>
      <w:r>
        <w:rPr>
          <w:spacing w:val="-3"/>
        </w:rPr>
        <w:t xml:space="preserve"> </w:t>
      </w:r>
      <w:r>
        <w:t>5G</w:t>
      </w:r>
      <w:r>
        <w:rPr>
          <w:spacing w:val="-4"/>
        </w:rPr>
        <w:t xml:space="preserve"> </w:t>
      </w:r>
      <w:r>
        <w:t>опреме</w:t>
      </w:r>
      <w:r>
        <w:rPr>
          <w:spacing w:val="-2"/>
        </w:rPr>
        <w:t xml:space="preserve"> </w:t>
      </w:r>
      <w:r>
        <w:t>достављају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спровођење.</w:t>
      </w:r>
    </w:p>
    <w:p w14:paraId="31AE8D2E" w14:textId="77777777" w:rsidR="00390F83" w:rsidRDefault="00657869">
      <w:pPr>
        <w:pStyle w:val="BodyText"/>
        <w:spacing w:before="202" w:line="280" w:lineRule="auto"/>
        <w:ind w:left="0" w:right="364" w:firstLine="0"/>
      </w:pPr>
      <w:r>
        <w:t xml:space="preserve">Сви подаци и анализе који се користе у процени ризика морају бити образложени и </w:t>
      </w:r>
      <w:r>
        <w:rPr>
          <w:spacing w:val="-2"/>
        </w:rPr>
        <w:t>документовани.</w:t>
      </w:r>
    </w:p>
    <w:sectPr w:rsidR="00390F83">
      <w:pgSz w:w="12240" w:h="15840"/>
      <w:pgMar w:top="1360" w:right="10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86735"/>
    <w:multiLevelType w:val="hybridMultilevel"/>
    <w:tmpl w:val="5E984072"/>
    <w:lvl w:ilvl="0" w:tplc="DB5AAF98">
      <w:start w:val="1"/>
      <w:numFmt w:val="decimal"/>
      <w:lvlText w:val="%1.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eastAsia="en-US" w:bidi="ar-SA"/>
      </w:rPr>
    </w:lvl>
    <w:lvl w:ilvl="1" w:tplc="FF4CCADE">
      <w:numFmt w:val="bullet"/>
      <w:lvlText w:val=""/>
      <w:lvlJc w:val="left"/>
      <w:pPr>
        <w:ind w:left="1433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 w:tplc="5B706822">
      <w:numFmt w:val="bullet"/>
      <w:lvlText w:val="•"/>
      <w:lvlJc w:val="left"/>
      <w:pPr>
        <w:ind w:left="1440" w:hanging="356"/>
      </w:pPr>
      <w:rPr>
        <w:rFonts w:hint="default"/>
        <w:lang w:eastAsia="en-US" w:bidi="ar-SA"/>
      </w:rPr>
    </w:lvl>
    <w:lvl w:ilvl="3" w:tplc="7D48B71A">
      <w:numFmt w:val="bullet"/>
      <w:lvlText w:val="•"/>
      <w:lvlJc w:val="left"/>
      <w:pPr>
        <w:ind w:left="2475" w:hanging="356"/>
      </w:pPr>
      <w:rPr>
        <w:rFonts w:hint="default"/>
        <w:lang w:eastAsia="en-US" w:bidi="ar-SA"/>
      </w:rPr>
    </w:lvl>
    <w:lvl w:ilvl="4" w:tplc="0E52E0C4">
      <w:numFmt w:val="bullet"/>
      <w:lvlText w:val="•"/>
      <w:lvlJc w:val="left"/>
      <w:pPr>
        <w:ind w:left="3510" w:hanging="356"/>
      </w:pPr>
      <w:rPr>
        <w:rFonts w:hint="default"/>
        <w:lang w:eastAsia="en-US" w:bidi="ar-SA"/>
      </w:rPr>
    </w:lvl>
    <w:lvl w:ilvl="5" w:tplc="77465802">
      <w:numFmt w:val="bullet"/>
      <w:lvlText w:val="•"/>
      <w:lvlJc w:val="left"/>
      <w:pPr>
        <w:ind w:left="4545" w:hanging="356"/>
      </w:pPr>
      <w:rPr>
        <w:rFonts w:hint="default"/>
        <w:lang w:eastAsia="en-US" w:bidi="ar-SA"/>
      </w:rPr>
    </w:lvl>
    <w:lvl w:ilvl="6" w:tplc="E1086B20">
      <w:numFmt w:val="bullet"/>
      <w:lvlText w:val="•"/>
      <w:lvlJc w:val="left"/>
      <w:pPr>
        <w:ind w:left="5580" w:hanging="356"/>
      </w:pPr>
      <w:rPr>
        <w:rFonts w:hint="default"/>
        <w:lang w:eastAsia="en-US" w:bidi="ar-SA"/>
      </w:rPr>
    </w:lvl>
    <w:lvl w:ilvl="7" w:tplc="04302342">
      <w:numFmt w:val="bullet"/>
      <w:lvlText w:val="•"/>
      <w:lvlJc w:val="left"/>
      <w:pPr>
        <w:ind w:left="6615" w:hanging="356"/>
      </w:pPr>
      <w:rPr>
        <w:rFonts w:hint="default"/>
        <w:lang w:eastAsia="en-US" w:bidi="ar-SA"/>
      </w:rPr>
    </w:lvl>
    <w:lvl w:ilvl="8" w:tplc="E0EEC65E">
      <w:numFmt w:val="bullet"/>
      <w:lvlText w:val="•"/>
      <w:lvlJc w:val="left"/>
      <w:pPr>
        <w:ind w:left="7650" w:hanging="356"/>
      </w:pPr>
      <w:rPr>
        <w:rFonts w:hint="default"/>
        <w:lang w:eastAsia="en-US" w:bidi="ar-SA"/>
      </w:rPr>
    </w:lvl>
  </w:abstractNum>
  <w:abstractNum w:abstractNumId="1" w15:restartNumberingAfterBreak="0">
    <w:nsid w:val="55AB4D80"/>
    <w:multiLevelType w:val="hybridMultilevel"/>
    <w:tmpl w:val="D6DEA480"/>
    <w:lvl w:ilvl="0" w:tplc="48EAC5B8">
      <w:start w:val="1"/>
      <w:numFmt w:val="decimal"/>
      <w:lvlText w:val="%1."/>
      <w:lvlJc w:val="left"/>
      <w:pPr>
        <w:ind w:left="2160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B4AA8BC2">
      <w:numFmt w:val="bullet"/>
      <w:lvlText w:val="•"/>
      <w:lvlJc w:val="left"/>
      <w:pPr>
        <w:ind w:left="2916" w:hanging="600"/>
      </w:pPr>
      <w:rPr>
        <w:rFonts w:hint="default"/>
        <w:lang w:eastAsia="en-US" w:bidi="ar-SA"/>
      </w:rPr>
    </w:lvl>
    <w:lvl w:ilvl="2" w:tplc="206AFCD4">
      <w:numFmt w:val="bullet"/>
      <w:lvlText w:val="•"/>
      <w:lvlJc w:val="left"/>
      <w:pPr>
        <w:ind w:left="3672" w:hanging="600"/>
      </w:pPr>
      <w:rPr>
        <w:rFonts w:hint="default"/>
        <w:lang w:eastAsia="en-US" w:bidi="ar-SA"/>
      </w:rPr>
    </w:lvl>
    <w:lvl w:ilvl="3" w:tplc="D68C5372">
      <w:numFmt w:val="bullet"/>
      <w:lvlText w:val="•"/>
      <w:lvlJc w:val="left"/>
      <w:pPr>
        <w:ind w:left="4428" w:hanging="600"/>
      </w:pPr>
      <w:rPr>
        <w:rFonts w:hint="default"/>
        <w:lang w:eastAsia="en-US" w:bidi="ar-SA"/>
      </w:rPr>
    </w:lvl>
    <w:lvl w:ilvl="4" w:tplc="CB5E73C8">
      <w:numFmt w:val="bullet"/>
      <w:lvlText w:val="•"/>
      <w:lvlJc w:val="left"/>
      <w:pPr>
        <w:ind w:left="5184" w:hanging="600"/>
      </w:pPr>
      <w:rPr>
        <w:rFonts w:hint="default"/>
        <w:lang w:eastAsia="en-US" w:bidi="ar-SA"/>
      </w:rPr>
    </w:lvl>
    <w:lvl w:ilvl="5" w:tplc="1D64E400">
      <w:numFmt w:val="bullet"/>
      <w:lvlText w:val="•"/>
      <w:lvlJc w:val="left"/>
      <w:pPr>
        <w:ind w:left="5940" w:hanging="600"/>
      </w:pPr>
      <w:rPr>
        <w:rFonts w:hint="default"/>
        <w:lang w:eastAsia="en-US" w:bidi="ar-SA"/>
      </w:rPr>
    </w:lvl>
    <w:lvl w:ilvl="6" w:tplc="7B52963E">
      <w:numFmt w:val="bullet"/>
      <w:lvlText w:val="•"/>
      <w:lvlJc w:val="left"/>
      <w:pPr>
        <w:ind w:left="6696" w:hanging="600"/>
      </w:pPr>
      <w:rPr>
        <w:rFonts w:hint="default"/>
        <w:lang w:eastAsia="en-US" w:bidi="ar-SA"/>
      </w:rPr>
    </w:lvl>
    <w:lvl w:ilvl="7" w:tplc="3192F936">
      <w:numFmt w:val="bullet"/>
      <w:lvlText w:val="•"/>
      <w:lvlJc w:val="left"/>
      <w:pPr>
        <w:ind w:left="7452" w:hanging="600"/>
      </w:pPr>
      <w:rPr>
        <w:rFonts w:hint="default"/>
        <w:lang w:eastAsia="en-US" w:bidi="ar-SA"/>
      </w:rPr>
    </w:lvl>
    <w:lvl w:ilvl="8" w:tplc="39804DE0">
      <w:numFmt w:val="bullet"/>
      <w:lvlText w:val="•"/>
      <w:lvlJc w:val="left"/>
      <w:pPr>
        <w:ind w:left="8208" w:hanging="600"/>
      </w:pPr>
      <w:rPr>
        <w:rFonts w:hint="default"/>
        <w:lang w:eastAsia="en-US" w:bidi="ar-SA"/>
      </w:rPr>
    </w:lvl>
  </w:abstractNum>
  <w:num w:numId="1" w16cid:durableId="74939273">
    <w:abstractNumId w:val="1"/>
  </w:num>
  <w:num w:numId="2" w16cid:durableId="129564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F83"/>
    <w:rsid w:val="002E744F"/>
    <w:rsid w:val="00390F83"/>
    <w:rsid w:val="003B6A11"/>
    <w:rsid w:val="004B1A2C"/>
    <w:rsid w:val="005D594A"/>
    <w:rsid w:val="00657869"/>
    <w:rsid w:val="0069287E"/>
    <w:rsid w:val="00C14DCD"/>
    <w:rsid w:val="00F2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4972"/>
  <w15:docId w15:val="{2A605454-BAE0-416A-ADDF-4B9CDA47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79"/>
      <w:ind w:left="719" w:hanging="359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04"/>
      <w:ind w:left="1433" w:hanging="356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6"/>
      <w:ind w:left="1433" w:hanging="356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0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Andan</dc:creator>
  <cp:lastModifiedBy>Ivana Vojinović</cp:lastModifiedBy>
  <cp:revision>2</cp:revision>
  <cp:lastPrinted>2025-02-28T15:02:00Z</cp:lastPrinted>
  <dcterms:created xsi:type="dcterms:W3CDTF">2025-03-03T10:48:00Z</dcterms:created>
  <dcterms:modified xsi:type="dcterms:W3CDTF">2025-03-03T10:48:00Z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2025-02-26T00:00:00Z</vt:filetime>
  </property>
  <property fmtid="{D5CDD505-2E9C-101B-9397-08002B2CF9AE}" pid="5" name="Producer">
    <vt:lpwstr>Microsoft® Word for Microsoft 365</vt:lpwstr>
  </property>
</Properties>
</file>