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7E276" w14:textId="77777777" w:rsidR="00B12982" w:rsidRDefault="00015E8B" w:rsidP="00A832F1">
      <w:pPr>
        <w:shd w:val="clear" w:color="auto" w:fill="FFFFFF"/>
        <w:jc w:val="center"/>
        <w:rPr>
          <w:b/>
          <w:sz w:val="28"/>
          <w:lang w:val="sr-Cyrl-CS"/>
        </w:rPr>
      </w:pPr>
      <w:r>
        <w:rPr>
          <w:b/>
          <w:sz w:val="28"/>
          <w:lang w:val="sr-Cyrl-CS"/>
        </w:rPr>
        <w:t>ИЗЈАВA</w:t>
      </w:r>
      <w:r w:rsidR="00161033" w:rsidRPr="00F73390">
        <w:rPr>
          <w:b/>
          <w:sz w:val="28"/>
          <w:lang w:val="sr-Cyrl-CS"/>
        </w:rPr>
        <w:t xml:space="preserve"> О УСКЛАЂЕНОСТИ ПРОПИСА СА ПРОПИСИМА ЕВРОПСКЕ УНИЈЕ</w:t>
      </w:r>
    </w:p>
    <w:p w14:paraId="47679A77" w14:textId="77777777" w:rsidR="00513035" w:rsidRDefault="00513035" w:rsidP="00A832F1">
      <w:pPr>
        <w:shd w:val="clear" w:color="auto" w:fill="FFFFFF"/>
        <w:jc w:val="center"/>
        <w:rPr>
          <w:b/>
          <w:sz w:val="28"/>
          <w:lang w:val="sr-Cyrl-CS"/>
        </w:rPr>
      </w:pPr>
    </w:p>
    <w:p w14:paraId="6C9D99A6" w14:textId="77777777" w:rsidR="00161033" w:rsidRPr="00F73390" w:rsidRDefault="00161033" w:rsidP="00161033">
      <w:pPr>
        <w:pStyle w:val="FootnoteText"/>
        <w:spacing w:line="240" w:lineRule="auto"/>
        <w:rPr>
          <w:lang w:val="sr-Cyrl-CS"/>
        </w:rPr>
      </w:pPr>
    </w:p>
    <w:p w14:paraId="751C6E03" w14:textId="77777777" w:rsidR="00161033" w:rsidRPr="00F73390" w:rsidRDefault="00161033" w:rsidP="00161033">
      <w:pPr>
        <w:jc w:val="both"/>
        <w:rPr>
          <w:lang w:val="sr-Cyrl-CS"/>
        </w:rPr>
      </w:pPr>
      <w:r w:rsidRPr="00F73390">
        <w:rPr>
          <w:lang w:val="sr-Cyrl-CS"/>
        </w:rPr>
        <w:t xml:space="preserve">1. Орган државне управе, односно други овлашћени предлагач прописа </w:t>
      </w:r>
    </w:p>
    <w:p w14:paraId="5EB55AE8" w14:textId="77777777" w:rsidR="00161033" w:rsidRPr="00F73390" w:rsidRDefault="00161033" w:rsidP="00161033">
      <w:pPr>
        <w:ind w:left="284"/>
        <w:jc w:val="both"/>
        <w:rPr>
          <w:lang w:val="sr-Cyrl-CS"/>
        </w:rPr>
      </w:pPr>
      <w:r w:rsidRPr="00F73390">
        <w:rPr>
          <w:lang w:val="sr-Cyrl-CS"/>
        </w:rPr>
        <w:t>Овлашћени предлагач прописа - Влада</w:t>
      </w:r>
    </w:p>
    <w:p w14:paraId="6E6D4CD2" w14:textId="77777777" w:rsidR="00161033" w:rsidRDefault="00161033" w:rsidP="00CB5BB8">
      <w:pPr>
        <w:ind w:left="284"/>
        <w:jc w:val="both"/>
        <w:rPr>
          <w:lang w:val="sr-Cyrl-CS"/>
        </w:rPr>
      </w:pPr>
      <w:r w:rsidRPr="00F73390">
        <w:rPr>
          <w:lang w:val="sr-Cyrl-CS"/>
        </w:rPr>
        <w:t xml:space="preserve">Обрађивач – Министарство грађевинарства, саобраћаја и инфраструктуре, Сектор за </w:t>
      </w:r>
      <w:r w:rsidR="00C64203">
        <w:rPr>
          <w:lang w:val="sr-Cyrl-CS"/>
        </w:rPr>
        <w:t>ваздушни саобраћај и транспорт опасне робе</w:t>
      </w:r>
    </w:p>
    <w:p w14:paraId="72290C9F" w14:textId="77777777" w:rsidR="00CB5BB8" w:rsidRPr="00F73390" w:rsidRDefault="00CB5BB8" w:rsidP="00CB5BB8">
      <w:pPr>
        <w:ind w:left="284"/>
        <w:jc w:val="both"/>
        <w:rPr>
          <w:lang w:val="sr-Cyrl-CS"/>
        </w:rPr>
      </w:pPr>
    </w:p>
    <w:p w14:paraId="2BD6252D" w14:textId="77777777" w:rsidR="00161033" w:rsidRPr="00F73390" w:rsidRDefault="00161033" w:rsidP="00161033">
      <w:pPr>
        <w:jc w:val="both"/>
        <w:rPr>
          <w:lang w:val="sr-Cyrl-CS"/>
        </w:rPr>
      </w:pPr>
      <w:r w:rsidRPr="00F73390">
        <w:rPr>
          <w:lang w:val="sr-Cyrl-CS"/>
        </w:rPr>
        <w:t>2. Назив прописа</w:t>
      </w:r>
    </w:p>
    <w:p w14:paraId="515CFB19" w14:textId="77777777" w:rsidR="00161033" w:rsidRPr="007348F5" w:rsidRDefault="00532F25" w:rsidP="00161033">
      <w:pPr>
        <w:ind w:left="284"/>
        <w:jc w:val="both"/>
        <w:rPr>
          <w:lang w:val="sr-Cyrl-CS"/>
        </w:rPr>
      </w:pPr>
      <w:r>
        <w:rPr>
          <w:lang w:val="sr-Cyrl-CS"/>
        </w:rPr>
        <w:t>Предлог</w:t>
      </w:r>
      <w:r w:rsidR="007348F5">
        <w:rPr>
          <w:lang w:val="sr-Cyrl-CS"/>
        </w:rPr>
        <w:t xml:space="preserve"> закона о</w:t>
      </w:r>
      <w:r w:rsidR="00086ECB">
        <w:rPr>
          <w:lang w:val="sr-Cyrl-CS"/>
        </w:rPr>
        <w:t xml:space="preserve"> изменама и допунама Закона о</w:t>
      </w:r>
      <w:r w:rsidR="007348F5">
        <w:rPr>
          <w:lang w:val="sr-Cyrl-CS"/>
        </w:rPr>
        <w:t xml:space="preserve"> истраживању несрећа у ваздушном, железничком и водном саобраћају</w:t>
      </w:r>
    </w:p>
    <w:p w14:paraId="7719E06B" w14:textId="77777777" w:rsidR="00161033" w:rsidRDefault="00E660EC" w:rsidP="007348F5">
      <w:pPr>
        <w:ind w:firstLine="284"/>
        <w:jc w:val="both"/>
        <w:rPr>
          <w:lang w:val="sr-Latn-CS"/>
        </w:rPr>
      </w:pPr>
      <w:r w:rsidRPr="00D6187D">
        <w:rPr>
          <w:lang w:val="sr-Latn-CS"/>
        </w:rPr>
        <w:t xml:space="preserve">Draft Law on Amendments to the Law on Investigation of Accidents in Air, Rail and Water Transport </w:t>
      </w:r>
    </w:p>
    <w:p w14:paraId="36C3701E" w14:textId="77777777" w:rsidR="007348F5" w:rsidRDefault="007348F5" w:rsidP="00161033">
      <w:pPr>
        <w:jc w:val="both"/>
        <w:rPr>
          <w:lang w:val="sr-Cyrl-CS"/>
        </w:rPr>
      </w:pPr>
    </w:p>
    <w:p w14:paraId="02B1037F" w14:textId="77777777" w:rsidR="00161033" w:rsidRDefault="00161033" w:rsidP="00161033">
      <w:pPr>
        <w:jc w:val="both"/>
        <w:rPr>
          <w:lang w:val="sr-Cyrl-CS"/>
        </w:rPr>
      </w:pPr>
      <w:r w:rsidRPr="00F73390">
        <w:rPr>
          <w:lang w:val="sr-Cyrl-CS"/>
        </w:rPr>
        <w:t xml:space="preserve">3. Усклађеност прописа с одредбама </w:t>
      </w:r>
      <w:r w:rsidRPr="00AB6EC7">
        <w:rPr>
          <w:lang w:val="sr-Cyrl-CS"/>
        </w:rPr>
        <w:t>Споразума о стабилизацији и</w:t>
      </w:r>
      <w:r w:rsidRPr="00F73390">
        <w:rPr>
          <w:lang w:val="sr-Cyrl-CS"/>
        </w:rPr>
        <w:t xml:space="preserve">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5BDFD562" w14:textId="77777777" w:rsidR="00A44296" w:rsidRPr="00F73390" w:rsidRDefault="00A44296" w:rsidP="00161033">
      <w:pPr>
        <w:jc w:val="both"/>
        <w:rPr>
          <w:lang w:val="sr-Cyrl-CS"/>
        </w:rPr>
      </w:pPr>
    </w:p>
    <w:p w14:paraId="3509FDED" w14:textId="77777777" w:rsidR="00161033" w:rsidRDefault="00161033" w:rsidP="00161033">
      <w:pPr>
        <w:jc w:val="both"/>
        <w:rPr>
          <w:lang w:val="sr-Cyrl-CS"/>
        </w:rPr>
      </w:pPr>
      <w:r w:rsidRPr="00F73390">
        <w:rPr>
          <w:lang w:val="sr-Cyrl-CS"/>
        </w:rPr>
        <w:t xml:space="preserve">а) </w:t>
      </w:r>
      <w:r w:rsidRPr="00D21F65">
        <w:rPr>
          <w:lang w:val="sr-Cyrl-CS"/>
        </w:rPr>
        <w:t>Одредба Споразума која се односи на нормативну садржину прописа,</w:t>
      </w:r>
    </w:p>
    <w:p w14:paraId="5B5F3819" w14:textId="77777777" w:rsidR="00E74FDB" w:rsidRPr="00D21F65" w:rsidRDefault="00E74FDB" w:rsidP="00161033">
      <w:pPr>
        <w:jc w:val="both"/>
        <w:rPr>
          <w:lang w:val="sr-Cyrl-CS"/>
        </w:rPr>
      </w:pPr>
    </w:p>
    <w:p w14:paraId="6EF81077" w14:textId="77777777" w:rsidR="00F8013C" w:rsidRPr="00695A3C" w:rsidRDefault="00F8013C" w:rsidP="00F8013C">
      <w:pPr>
        <w:ind w:firstLine="360"/>
        <w:jc w:val="both"/>
        <w:rPr>
          <w:lang w:val="sr-Cyrl-CS"/>
        </w:rPr>
      </w:pPr>
      <w:r w:rsidRPr="00695A3C">
        <w:t xml:space="preserve">Уређује се Поглављем </w:t>
      </w:r>
      <w:r>
        <w:rPr>
          <w:lang w:val="en-US"/>
        </w:rPr>
        <w:t>VIII</w:t>
      </w:r>
      <w:r>
        <w:rPr>
          <w:lang w:val="sr-Cyrl-CS"/>
        </w:rPr>
        <w:t>, Политике сарадње</w:t>
      </w:r>
      <w:r w:rsidRPr="00695A3C">
        <w:t>, Чланом</w:t>
      </w:r>
      <w:r>
        <w:t xml:space="preserve"> 108</w:t>
      </w:r>
      <w:r w:rsidRPr="00695A3C">
        <w:rPr>
          <w:lang w:val="sr-Cyrl-CS"/>
        </w:rPr>
        <w:t>.</w:t>
      </w:r>
      <w:r>
        <w:rPr>
          <w:lang w:val="sr-Cyrl-CS"/>
        </w:rPr>
        <w:t xml:space="preserve"> Транспорт,</w:t>
      </w:r>
      <w:r w:rsidRPr="00695A3C">
        <w:t xml:space="preserve"> </w:t>
      </w:r>
      <w:r w:rsidRPr="00695A3C">
        <w:rPr>
          <w:lang w:val="sr-Cyrl-CS"/>
        </w:rPr>
        <w:t xml:space="preserve">Споразума о стабилизацији и придруживању између Европске заједнице и њихових држава чланица, са једне стране, и Републике Србије са друге стране („Службени гласник РС”, број 83/08) </w:t>
      </w:r>
      <w:r w:rsidRPr="00695A3C">
        <w:rPr>
          <w:lang w:val="sr-Latn-CS"/>
        </w:rPr>
        <w:t xml:space="preserve"> </w:t>
      </w:r>
    </w:p>
    <w:p w14:paraId="3D9C88F6" w14:textId="77777777" w:rsidR="00F8013C" w:rsidRPr="00FD625C" w:rsidRDefault="00F8013C" w:rsidP="00F8013C">
      <w:pPr>
        <w:pStyle w:val="BodyText"/>
      </w:pPr>
    </w:p>
    <w:p w14:paraId="393F1637" w14:textId="77777777" w:rsidR="00161033" w:rsidRDefault="00161033" w:rsidP="00161033">
      <w:pPr>
        <w:jc w:val="both"/>
        <w:rPr>
          <w:lang w:val="sr-Cyrl-CS"/>
        </w:rPr>
      </w:pPr>
      <w:r w:rsidRPr="00D21F65">
        <w:rPr>
          <w:lang w:val="sr-Cyrl-CS"/>
        </w:rPr>
        <w:t>б) Прелазни рок за усклађивање законодавства према одредбама Споразума,</w:t>
      </w:r>
    </w:p>
    <w:p w14:paraId="44441572" w14:textId="77777777" w:rsidR="00E74FDB" w:rsidRDefault="00E74FDB" w:rsidP="00161033">
      <w:pPr>
        <w:jc w:val="both"/>
        <w:rPr>
          <w:lang w:val="sr-Cyrl-CS"/>
        </w:rPr>
      </w:pPr>
    </w:p>
    <w:p w14:paraId="02F78B9D" w14:textId="77777777" w:rsidR="00161033" w:rsidRDefault="00F8013C" w:rsidP="00F8013C">
      <w:pPr>
        <w:jc w:val="both"/>
        <w:rPr>
          <w:lang w:val="sr-Cyrl-CS"/>
        </w:rPr>
      </w:pPr>
      <w:r w:rsidRPr="00695A3C">
        <w:t>Уређ</w:t>
      </w:r>
      <w:r w:rsidR="00015E8B">
        <w:t xml:space="preserve">ује се </w:t>
      </w:r>
      <w:r w:rsidR="00015E8B">
        <w:rPr>
          <w:lang w:val="sr-Cyrl-CS"/>
        </w:rPr>
        <w:t>Чланом 72. у вези Члана</w:t>
      </w:r>
      <w:r w:rsidRPr="00695A3C">
        <w:t xml:space="preserve"> 8</w:t>
      </w:r>
      <w:r w:rsidR="00015E8B">
        <w:rPr>
          <w:lang w:val="sr-Cyrl-CS"/>
        </w:rPr>
        <w:t>.</w:t>
      </w:r>
      <w:r w:rsidRPr="00695A3C">
        <w:t xml:space="preserve"> </w:t>
      </w:r>
      <w:r w:rsidRPr="00695A3C">
        <w:rPr>
          <w:lang w:val="sr-Cyrl-CS"/>
        </w:rPr>
        <w:t>Споразума о стабилизацији и придруживању између Европске заједнице и њихових држава чланица, са једне стране, и Републике Србије са друге стране („Службени гласник РС”, број 83/08)</w:t>
      </w:r>
    </w:p>
    <w:p w14:paraId="6DB3A74D" w14:textId="77777777" w:rsidR="00F8013C" w:rsidRPr="006879CC" w:rsidRDefault="00F8013C" w:rsidP="00F8013C">
      <w:pPr>
        <w:rPr>
          <w:lang w:val="sr-Latn-CS"/>
        </w:rPr>
      </w:pPr>
    </w:p>
    <w:p w14:paraId="202627B1" w14:textId="77777777" w:rsidR="00161033" w:rsidRDefault="00161033" w:rsidP="00161033">
      <w:pPr>
        <w:jc w:val="both"/>
        <w:rPr>
          <w:lang w:val="sr-Cyrl-CS"/>
        </w:rPr>
      </w:pPr>
      <w:r w:rsidRPr="00D21F65">
        <w:rPr>
          <w:lang w:val="sr-Cyrl-CS"/>
        </w:rPr>
        <w:t>в) Оцена испуњености обавезе које произлазе из наведене одредбе Споразума,</w:t>
      </w:r>
    </w:p>
    <w:p w14:paraId="72CD7F4C" w14:textId="77777777" w:rsidR="00286C63" w:rsidRDefault="00286C63" w:rsidP="00161033">
      <w:pPr>
        <w:jc w:val="both"/>
        <w:rPr>
          <w:lang w:val="sr-Cyrl-CS"/>
        </w:rPr>
      </w:pPr>
    </w:p>
    <w:p w14:paraId="50998A2F" w14:textId="77777777" w:rsidR="00286C63" w:rsidRPr="00D21F65" w:rsidRDefault="006879CC" w:rsidP="006879CC">
      <w:pPr>
        <w:ind w:firstLine="360"/>
        <w:jc w:val="center"/>
        <w:rPr>
          <w:lang w:val="sr-Cyrl-CS"/>
        </w:rPr>
      </w:pPr>
      <w:r>
        <w:rPr>
          <w:lang w:val="sr-Cyrl-CS"/>
        </w:rPr>
        <w:t>„д</w:t>
      </w:r>
      <w:r w:rsidR="00015E8B">
        <w:rPr>
          <w:lang w:val="sr-Cyrl-CS"/>
        </w:rPr>
        <w:t>елимично испуњава</w:t>
      </w:r>
      <w:r w:rsidR="00532F25">
        <w:rPr>
          <w:lang w:val="sr-Cyrl-CS"/>
        </w:rPr>
        <w:t>”</w:t>
      </w:r>
    </w:p>
    <w:p w14:paraId="2D57056B" w14:textId="77777777" w:rsidR="00161033" w:rsidRPr="00D21F65" w:rsidRDefault="00161033" w:rsidP="00CB5BB8">
      <w:pPr>
        <w:jc w:val="center"/>
        <w:rPr>
          <w:lang w:val="sr-Cyrl-CS"/>
        </w:rPr>
      </w:pPr>
    </w:p>
    <w:p w14:paraId="7E779343" w14:textId="77777777" w:rsidR="00161033" w:rsidRDefault="00161033" w:rsidP="00161033">
      <w:pPr>
        <w:jc w:val="both"/>
        <w:rPr>
          <w:lang w:val="sr-Cyrl-CS"/>
        </w:rPr>
      </w:pPr>
      <w:r w:rsidRPr="00D21F65">
        <w:rPr>
          <w:lang w:val="sr-Cyrl-CS"/>
        </w:rPr>
        <w:t>г) Разлози за делимично испуњавање, односно неиспуњавање обавеза које произлазе из наведене одредбе Споразума,</w:t>
      </w:r>
    </w:p>
    <w:p w14:paraId="4C5976C9" w14:textId="77777777" w:rsidR="00286C63" w:rsidRDefault="00286C63" w:rsidP="00161033">
      <w:pPr>
        <w:jc w:val="both"/>
        <w:rPr>
          <w:lang w:val="sr-Cyrl-CS"/>
        </w:rPr>
      </w:pPr>
    </w:p>
    <w:p w14:paraId="1F2EEA31" w14:textId="77777777" w:rsidR="00161033" w:rsidRDefault="006879CC" w:rsidP="006879CC">
      <w:pPr>
        <w:ind w:firstLine="360"/>
        <w:jc w:val="both"/>
        <w:rPr>
          <w:rFonts w:eastAsia="Calibri"/>
          <w:bCs/>
          <w:lang w:val="sr-Cyrl-CS" w:eastAsia="en-US"/>
        </w:rPr>
      </w:pPr>
      <w:r>
        <w:rPr>
          <w:rFonts w:eastAsia="Calibri"/>
          <w:bCs/>
          <w:lang w:val="sr-Cyrl-CS" w:eastAsia="en-US"/>
        </w:rPr>
        <w:t>П</w:t>
      </w:r>
      <w:r w:rsidR="00286C63" w:rsidRPr="009B3576">
        <w:rPr>
          <w:rFonts w:eastAsia="Calibri"/>
          <w:bCs/>
          <w:lang w:val="en-US" w:eastAsia="en-US"/>
        </w:rPr>
        <w:t xml:space="preserve">отпуно </w:t>
      </w:r>
      <w:r w:rsidR="00286C63">
        <w:rPr>
          <w:rFonts w:eastAsia="Calibri"/>
          <w:bCs/>
          <w:lang w:val="sr-Cyrl-CS" w:eastAsia="en-US"/>
        </w:rPr>
        <w:t>испуњавање обавеза које произилазе из наведене одредбе Споразума</w:t>
      </w:r>
      <w:r w:rsidR="00286C63" w:rsidRPr="009B3576">
        <w:rPr>
          <w:rFonts w:eastAsia="Calibri"/>
          <w:bCs/>
          <w:lang w:val="sr-Cyrl-CS" w:eastAsia="en-US"/>
        </w:rPr>
        <w:t xml:space="preserve"> </w:t>
      </w:r>
      <w:r w:rsidR="00286C63">
        <w:rPr>
          <w:rFonts w:eastAsia="Calibri"/>
          <w:bCs/>
          <w:lang w:val="sr-Cyrl-CS" w:eastAsia="en-US"/>
        </w:rPr>
        <w:t xml:space="preserve"> </w:t>
      </w:r>
      <w:r>
        <w:rPr>
          <w:rFonts w:eastAsia="Calibri"/>
          <w:bCs/>
          <w:lang w:val="sr-Cyrl-CS" w:eastAsia="en-US"/>
        </w:rPr>
        <w:t>постићи ће се</w:t>
      </w:r>
      <w:r w:rsidR="00286C63">
        <w:rPr>
          <w:rFonts w:eastAsia="Calibri"/>
          <w:bCs/>
          <w:lang w:val="en-US" w:eastAsia="en-US"/>
        </w:rPr>
        <w:t xml:space="preserve"> </w:t>
      </w:r>
      <w:r w:rsidR="00286C63">
        <w:rPr>
          <w:rFonts w:eastAsia="Calibri"/>
          <w:bCs/>
          <w:lang w:val="sr-Cyrl-CS" w:eastAsia="en-US"/>
        </w:rPr>
        <w:t>приступање</w:t>
      </w:r>
      <w:r>
        <w:rPr>
          <w:rFonts w:eastAsia="Calibri"/>
          <w:bCs/>
          <w:lang w:val="sr-Cyrl-CS" w:eastAsia="en-US"/>
        </w:rPr>
        <w:t>м</w:t>
      </w:r>
      <w:r w:rsidR="00286C63">
        <w:rPr>
          <w:rFonts w:eastAsia="Calibri"/>
          <w:bCs/>
          <w:lang w:val="sr-Cyrl-CS" w:eastAsia="en-US"/>
        </w:rPr>
        <w:t xml:space="preserve"> Републике Србије Европској унији.</w:t>
      </w:r>
    </w:p>
    <w:p w14:paraId="65DB263A" w14:textId="77777777" w:rsidR="00286C63" w:rsidRPr="00F73390" w:rsidRDefault="00286C63" w:rsidP="00286C63">
      <w:pPr>
        <w:rPr>
          <w:lang w:val="sr-Cyrl-CS"/>
        </w:rPr>
      </w:pPr>
    </w:p>
    <w:p w14:paraId="23566367" w14:textId="77777777" w:rsidR="00161033" w:rsidRPr="00F73390" w:rsidRDefault="00161033" w:rsidP="00161033">
      <w:pPr>
        <w:jc w:val="both"/>
        <w:rPr>
          <w:lang w:val="sr-Cyrl-CS"/>
        </w:rPr>
      </w:pPr>
      <w:r w:rsidRPr="00F73390">
        <w:rPr>
          <w:lang w:val="sr-Cyrl-CS"/>
        </w:rPr>
        <w:t>д) Веза са Националним програмом за усвајање правних тековина Европске уније.</w:t>
      </w:r>
    </w:p>
    <w:p w14:paraId="44302236" w14:textId="77777777" w:rsidR="00CB5BB8" w:rsidRDefault="00CB5BB8" w:rsidP="00CB5BB8">
      <w:pPr>
        <w:jc w:val="both"/>
        <w:rPr>
          <w:lang w:val="sr-Cyrl-CS"/>
        </w:rPr>
      </w:pPr>
    </w:p>
    <w:p w14:paraId="059D4983" w14:textId="77777777" w:rsidR="00651AA0" w:rsidRDefault="00651AA0" w:rsidP="006879CC">
      <w:pPr>
        <w:ind w:firstLine="450"/>
        <w:jc w:val="both"/>
        <w:rPr>
          <w:lang w:val="en-US"/>
        </w:rPr>
      </w:pPr>
      <w:r w:rsidRPr="00651AA0">
        <w:rPr>
          <w:lang w:val="en-US"/>
        </w:rPr>
        <w:t xml:space="preserve">НПAA – Поглавље 3. Способност преузимања чланства у ЕУ- потпоглавље </w:t>
      </w:r>
      <w:r w:rsidR="00286C63">
        <w:rPr>
          <w:lang w:val="sr-Cyrl-CS"/>
        </w:rPr>
        <w:t>3.14. Транспортна политика</w:t>
      </w:r>
      <w:r w:rsidR="006879CC">
        <w:rPr>
          <w:lang w:val="sr-Cyrl-CS"/>
        </w:rPr>
        <w:t>: 3.14.1.2. Железнички транспорт и</w:t>
      </w:r>
      <w:r w:rsidR="00286C63">
        <w:rPr>
          <w:lang w:val="sr-Cyrl-CS"/>
        </w:rPr>
        <w:t xml:space="preserve"> </w:t>
      </w:r>
      <w:r w:rsidR="00AB6EC7">
        <w:rPr>
          <w:lang w:val="en-US"/>
        </w:rPr>
        <w:t xml:space="preserve"> 3.14.</w:t>
      </w:r>
      <w:r w:rsidR="00015E8B">
        <w:rPr>
          <w:lang w:val="sr-Cyrl-CS"/>
        </w:rPr>
        <w:t>1.</w:t>
      </w:r>
      <w:r w:rsidR="00AB6EC7">
        <w:rPr>
          <w:lang w:val="en-US"/>
        </w:rPr>
        <w:t>3.</w:t>
      </w:r>
      <w:r w:rsidRPr="00651AA0">
        <w:rPr>
          <w:lang w:val="en-US"/>
        </w:rPr>
        <w:t xml:space="preserve"> </w:t>
      </w:r>
      <w:r w:rsidR="00AB6EC7">
        <w:rPr>
          <w:lang w:val="sr-Cyrl-CS"/>
        </w:rPr>
        <w:t>Ваздушни транспорт</w:t>
      </w:r>
      <w:r w:rsidR="006879CC">
        <w:rPr>
          <w:lang w:val="en-US"/>
        </w:rPr>
        <w:t>;</w:t>
      </w:r>
    </w:p>
    <w:p w14:paraId="7E19DC89" w14:textId="77777777" w:rsidR="006879CC" w:rsidRDefault="006879CC" w:rsidP="006879CC">
      <w:pPr>
        <w:ind w:firstLine="450"/>
        <w:jc w:val="both"/>
        <w:rPr>
          <w:lang w:val="en-US"/>
        </w:rPr>
      </w:pPr>
    </w:p>
    <w:p w14:paraId="412E6B95" w14:textId="77777777" w:rsidR="00015E8B" w:rsidRPr="00015E8B" w:rsidRDefault="00015E8B" w:rsidP="00015E8B">
      <w:pPr>
        <w:ind w:firstLine="450"/>
        <w:jc w:val="center"/>
        <w:rPr>
          <w:lang w:val="sr-Cyrl-CS"/>
        </w:rPr>
      </w:pPr>
      <w:r>
        <w:rPr>
          <w:lang w:val="sr-Cyrl-CS"/>
        </w:rPr>
        <w:t>Број из НПАА: 2022-286</w:t>
      </w:r>
    </w:p>
    <w:p w14:paraId="2CE1F7B1" w14:textId="77777777" w:rsidR="00A44296" w:rsidRDefault="00A44296" w:rsidP="00286C63">
      <w:pPr>
        <w:ind w:firstLine="450"/>
        <w:jc w:val="both"/>
        <w:rPr>
          <w:lang w:val="en-US"/>
        </w:rPr>
      </w:pPr>
    </w:p>
    <w:p w14:paraId="73E7FC7E" w14:textId="77777777" w:rsidR="00D21F65" w:rsidRDefault="00532F25" w:rsidP="00143AC2">
      <w:pPr>
        <w:ind w:firstLine="450"/>
        <w:rPr>
          <w:sz w:val="22"/>
          <w:szCs w:val="22"/>
          <w:lang w:val="en-US" w:eastAsia="en-US"/>
        </w:rPr>
      </w:pPr>
      <w:r>
        <w:t>Предлог</w:t>
      </w:r>
      <w:r w:rsidR="00D21F65">
        <w:t xml:space="preserve"> закона планиран је Националним програмом за усвајање правне </w:t>
      </w:r>
      <w:r w:rsidR="00015E8B">
        <w:t>тековине ЕУ (НПАА) за Четврти квартал 2024</w:t>
      </w:r>
      <w:r w:rsidR="006879CC">
        <w:t>. године.</w:t>
      </w:r>
    </w:p>
    <w:p w14:paraId="25CE5AA5" w14:textId="77777777" w:rsidR="00D21F65" w:rsidRDefault="00D21F65" w:rsidP="00286C63">
      <w:pPr>
        <w:ind w:firstLine="450"/>
      </w:pPr>
    </w:p>
    <w:p w14:paraId="787842EE" w14:textId="77777777" w:rsidR="00C64203" w:rsidRDefault="00C64203" w:rsidP="00C64203">
      <w:pPr>
        <w:ind w:firstLine="450"/>
        <w:rPr>
          <w:lang w:val="sr-Cyrl-CS"/>
        </w:rPr>
      </w:pPr>
    </w:p>
    <w:p w14:paraId="38ACA03E" w14:textId="77777777" w:rsidR="00513035" w:rsidRDefault="00513035" w:rsidP="00C64203">
      <w:pPr>
        <w:ind w:firstLine="450"/>
        <w:rPr>
          <w:lang w:val="sr-Cyrl-CS"/>
        </w:rPr>
      </w:pPr>
    </w:p>
    <w:p w14:paraId="518C470F" w14:textId="77777777" w:rsidR="00513035" w:rsidRDefault="00513035" w:rsidP="00C64203">
      <w:pPr>
        <w:ind w:firstLine="450"/>
        <w:rPr>
          <w:lang w:val="sr-Cyrl-CS"/>
        </w:rPr>
      </w:pPr>
    </w:p>
    <w:p w14:paraId="0D8EF0CE" w14:textId="77777777" w:rsidR="00513035" w:rsidRDefault="00513035" w:rsidP="00C64203">
      <w:pPr>
        <w:ind w:firstLine="450"/>
        <w:rPr>
          <w:lang w:val="en-US"/>
        </w:rPr>
      </w:pPr>
    </w:p>
    <w:p w14:paraId="3FB8C6F5" w14:textId="77777777" w:rsidR="00161033" w:rsidRPr="00F73390" w:rsidRDefault="00161033" w:rsidP="00161033">
      <w:pPr>
        <w:jc w:val="both"/>
        <w:rPr>
          <w:lang w:val="sr-Cyrl-CS"/>
        </w:rPr>
      </w:pPr>
      <w:r w:rsidRPr="00F73390">
        <w:rPr>
          <w:lang w:val="sr-Cyrl-CS"/>
        </w:rPr>
        <w:t>4. Усклађеност прописа са прописима Европске уније:</w:t>
      </w:r>
    </w:p>
    <w:p w14:paraId="2EB580B8" w14:textId="77777777" w:rsidR="00161033" w:rsidRPr="00F73390" w:rsidRDefault="00161033" w:rsidP="00161033">
      <w:pPr>
        <w:jc w:val="both"/>
        <w:rPr>
          <w:lang w:val="sr-Cyrl-CS"/>
        </w:rPr>
      </w:pPr>
    </w:p>
    <w:p w14:paraId="0417D2E9" w14:textId="77777777" w:rsidR="00651AA0" w:rsidRPr="00CB5BB8" w:rsidRDefault="00161033" w:rsidP="00CB5BB8">
      <w:pPr>
        <w:jc w:val="both"/>
        <w:rPr>
          <w:lang w:val="sr-Cyrl-CS"/>
        </w:rPr>
      </w:pPr>
      <w:r w:rsidRPr="00F73390">
        <w:rPr>
          <w:lang w:val="sr-Cyrl-CS"/>
        </w:rPr>
        <w:t>а) Навођење одредби примарних извора права Европске уније и оцене усклађености са њима,</w:t>
      </w:r>
    </w:p>
    <w:p w14:paraId="2102F3BD" w14:textId="77777777" w:rsidR="00CB5BB8" w:rsidRDefault="00CB5BB8" w:rsidP="00CB5BB8">
      <w:pPr>
        <w:jc w:val="both"/>
        <w:rPr>
          <w:color w:val="000000"/>
          <w:lang w:val="sr-Cyrl-CS"/>
        </w:rPr>
      </w:pPr>
    </w:p>
    <w:p w14:paraId="094D4AE4" w14:textId="77777777" w:rsidR="00651AA0" w:rsidRPr="00651AA0" w:rsidRDefault="00651AA0" w:rsidP="00286C63">
      <w:pPr>
        <w:ind w:firstLine="450"/>
        <w:jc w:val="both"/>
        <w:rPr>
          <w:color w:val="000000"/>
          <w:lang w:val="sr-Cyrl-CS"/>
        </w:rPr>
      </w:pPr>
      <w:r w:rsidRPr="00513035">
        <w:rPr>
          <w:color w:val="000000"/>
          <w:lang w:val="sr-Cyrl-CS"/>
        </w:rPr>
        <w:t xml:space="preserve">Уговор о функционисању Европске уније, Део трећи, Политике заједнице и унутрашње мере, Наслов </w:t>
      </w:r>
      <w:r w:rsidRPr="00513035">
        <w:rPr>
          <w:color w:val="000000"/>
          <w:lang w:val="sr-Latn-CS"/>
        </w:rPr>
        <w:t>VI</w:t>
      </w:r>
      <w:r w:rsidRPr="00513035">
        <w:rPr>
          <w:color w:val="000000"/>
          <w:lang w:val="sr-Cyrl-CS"/>
        </w:rPr>
        <w:t xml:space="preserve"> – Транспорт, члан </w:t>
      </w:r>
      <w:r w:rsidRPr="00513035">
        <w:rPr>
          <w:color w:val="000000"/>
          <w:lang w:val="sr-Latn-CS"/>
        </w:rPr>
        <w:t>9</w:t>
      </w:r>
      <w:r w:rsidRPr="00513035">
        <w:rPr>
          <w:color w:val="000000"/>
          <w:lang w:val="sr-Cyrl-CS"/>
        </w:rPr>
        <w:t>1. став 1. тачка д) – потпуно усклађено</w:t>
      </w:r>
    </w:p>
    <w:p w14:paraId="753ECD43" w14:textId="77777777" w:rsidR="00161033" w:rsidRPr="00F73390" w:rsidRDefault="00161033" w:rsidP="00CB5BB8">
      <w:pPr>
        <w:rPr>
          <w:lang w:val="sr-Cyrl-CS"/>
        </w:rPr>
      </w:pPr>
    </w:p>
    <w:p w14:paraId="05558BA3" w14:textId="77777777" w:rsidR="00161033" w:rsidRPr="00F73390" w:rsidRDefault="00161033" w:rsidP="00161033">
      <w:pPr>
        <w:jc w:val="both"/>
        <w:rPr>
          <w:lang w:val="sr-Cyrl-CS"/>
        </w:rPr>
      </w:pPr>
      <w:r w:rsidRPr="00F73390">
        <w:rPr>
          <w:lang w:val="sr-Cyrl-CS"/>
        </w:rPr>
        <w:t>б) Навођење секундарних извора права Европске уни</w:t>
      </w:r>
      <w:r w:rsidR="00CB5BB8">
        <w:rPr>
          <w:lang w:val="sr-Cyrl-CS"/>
        </w:rPr>
        <w:t>је и оцене усклађености са њима</w:t>
      </w:r>
    </w:p>
    <w:p w14:paraId="3DDAAF47" w14:textId="77777777" w:rsidR="00651AA0" w:rsidRDefault="00651AA0" w:rsidP="00651AA0">
      <w:pPr>
        <w:ind w:firstLine="720"/>
        <w:rPr>
          <w:rFonts w:eastAsia="Calibri"/>
          <w:lang w:val="sr-Cyrl-CS" w:eastAsia="en-US"/>
        </w:rPr>
      </w:pPr>
    </w:p>
    <w:p w14:paraId="09830014" w14:textId="77777777" w:rsidR="00943EE7" w:rsidRPr="000A69AB" w:rsidRDefault="00143AC2" w:rsidP="00513035">
      <w:pPr>
        <w:pStyle w:val="rvps1"/>
        <w:ind w:firstLine="426"/>
        <w:jc w:val="both"/>
        <w:rPr>
          <w:highlight w:val="yellow"/>
          <w:lang w:val="sr-Cyrl-CS"/>
        </w:rPr>
      </w:pPr>
      <w:r w:rsidRPr="00DB68A5">
        <w:rPr>
          <w:rFonts w:eastAsia="Calibri"/>
          <w:b/>
          <w:lang w:val="sr-Cyrl-CS"/>
        </w:rPr>
        <w:t>1.</w:t>
      </w:r>
      <w:r w:rsidR="00BE012B" w:rsidRPr="000A69AB">
        <w:rPr>
          <w:rFonts w:eastAsia="Calibri"/>
          <w:lang w:val="sr-Cyrl-CS"/>
        </w:rPr>
        <w:t>Директива Европског парламента</w:t>
      </w:r>
      <w:r w:rsidR="004E2CA6" w:rsidRPr="000A69AB">
        <w:rPr>
          <w:rFonts w:eastAsia="Calibri"/>
          <w:lang w:val="sr-Cyrl-CS"/>
        </w:rPr>
        <w:t xml:space="preserve"> и Савета (ЕУ) бр. 2016/798 од 11. маја 2016. о безбедности у железничком саобраћају, </w:t>
      </w:r>
      <w:r w:rsidR="004E2CA6" w:rsidRPr="000A69AB">
        <w:rPr>
          <w:rFonts w:eastAsia="Calibri"/>
        </w:rPr>
        <w:t xml:space="preserve">C/2016/798, </w:t>
      </w:r>
      <w:r w:rsidR="004E2CA6" w:rsidRPr="000A69AB">
        <w:rPr>
          <w:rFonts w:eastAsia="Calibri"/>
          <w:lang w:val="sr-Cyrl-CS"/>
        </w:rPr>
        <w:t xml:space="preserve">OJ L </w:t>
      </w:r>
      <w:r w:rsidR="004E2CA6" w:rsidRPr="000A69AB">
        <w:rPr>
          <w:rFonts w:eastAsia="Calibri"/>
        </w:rPr>
        <w:t>138</w:t>
      </w:r>
      <w:r w:rsidR="004E2CA6" w:rsidRPr="000A69AB">
        <w:rPr>
          <w:rFonts w:eastAsia="Calibri"/>
          <w:lang w:val="sr-Cyrl-CS"/>
        </w:rPr>
        <w:t xml:space="preserve">, </w:t>
      </w:r>
      <w:r w:rsidR="004E2CA6" w:rsidRPr="000A69AB">
        <w:rPr>
          <w:rFonts w:eastAsia="Calibri"/>
        </w:rPr>
        <w:t>26.5.2016</w:t>
      </w:r>
      <w:r w:rsidR="004E2CA6" w:rsidRPr="000A69AB">
        <w:rPr>
          <w:rFonts w:eastAsia="Calibri"/>
          <w:lang w:val="sr-Cyrl-CS"/>
        </w:rPr>
        <w:t>.</w:t>
      </w:r>
    </w:p>
    <w:p w14:paraId="01A6A51C" w14:textId="77777777" w:rsidR="004E2CA6" w:rsidRDefault="004E2CA6" w:rsidP="00513035">
      <w:pPr>
        <w:pStyle w:val="rvps1"/>
        <w:ind w:firstLine="426"/>
        <w:jc w:val="both"/>
        <w:rPr>
          <w:rFonts w:eastAsia="Calibri"/>
          <w:lang w:val="sr-Cyrl-CS"/>
        </w:rPr>
      </w:pPr>
      <w:r>
        <w:rPr>
          <w:rFonts w:eastAsia="Calibri"/>
        </w:rPr>
        <w:t>Directive</w:t>
      </w:r>
      <w:r>
        <w:rPr>
          <w:rFonts w:eastAsia="Calibri"/>
          <w:lang w:val="sr-Cyrl-CS"/>
        </w:rPr>
        <w:t xml:space="preserve"> (EU) 2016/798 of 11 May</w:t>
      </w:r>
      <w:r w:rsidRPr="002E548F">
        <w:rPr>
          <w:rFonts w:eastAsia="Calibri"/>
          <w:lang w:val="sr-Cyrl-CS"/>
        </w:rPr>
        <w:t xml:space="preserve"> 2016 </w:t>
      </w:r>
      <w:r>
        <w:rPr>
          <w:rFonts w:eastAsia="Calibri"/>
        </w:rPr>
        <w:t xml:space="preserve">of European Parliament and of the Council </w:t>
      </w:r>
      <w:r w:rsidRPr="002E548F">
        <w:rPr>
          <w:rFonts w:eastAsia="Calibri"/>
          <w:lang w:val="sr-Cyrl-CS"/>
        </w:rPr>
        <w:t xml:space="preserve">on </w:t>
      </w:r>
      <w:r>
        <w:rPr>
          <w:rFonts w:eastAsia="Calibri"/>
        </w:rPr>
        <w:t xml:space="preserve">railway safety, C/2016/798, </w:t>
      </w:r>
      <w:r>
        <w:rPr>
          <w:rFonts w:eastAsia="Calibri"/>
          <w:lang w:val="sr-Cyrl-CS"/>
        </w:rPr>
        <w:t xml:space="preserve">OJ L </w:t>
      </w:r>
      <w:r>
        <w:rPr>
          <w:rFonts w:eastAsia="Calibri"/>
        </w:rPr>
        <w:t>138</w:t>
      </w:r>
      <w:r>
        <w:rPr>
          <w:rFonts w:eastAsia="Calibri"/>
          <w:lang w:val="sr-Cyrl-CS"/>
        </w:rPr>
        <w:t xml:space="preserve">, </w:t>
      </w:r>
      <w:r>
        <w:rPr>
          <w:rFonts w:eastAsia="Calibri"/>
        </w:rPr>
        <w:t>26.5.2016</w:t>
      </w:r>
      <w:r>
        <w:rPr>
          <w:rFonts w:eastAsia="Calibri"/>
          <w:lang w:val="sr-Cyrl-CS"/>
        </w:rPr>
        <w:t>.</w:t>
      </w:r>
    </w:p>
    <w:p w14:paraId="7118CC3B" w14:textId="77777777" w:rsidR="00ED7CF6" w:rsidRPr="00ED7CF6" w:rsidRDefault="00ED7CF6" w:rsidP="00513035">
      <w:pPr>
        <w:pStyle w:val="rvps1"/>
        <w:jc w:val="both"/>
        <w:rPr>
          <w:rFonts w:eastAsia="Calibri"/>
          <w:lang w:val="sr-Cyrl-CS"/>
        </w:rPr>
      </w:pPr>
    </w:p>
    <w:p w14:paraId="5F5FE1F4" w14:textId="77777777" w:rsidR="00943EE7" w:rsidRDefault="00ED7CF6" w:rsidP="000A69AB">
      <w:pPr>
        <w:pStyle w:val="rvps1"/>
        <w:ind w:firstLine="450"/>
        <w:jc w:val="both"/>
        <w:rPr>
          <w:lang w:val="sr-Cyrl-RS"/>
        </w:rPr>
      </w:pPr>
      <w:r>
        <w:rPr>
          <w:lang w:val="sr-Cyrl-CS"/>
        </w:rPr>
        <w:t xml:space="preserve">CELEX </w:t>
      </w:r>
      <w:r w:rsidR="00CB5BB8">
        <w:rPr>
          <w:lang w:val="sr-Cyrl-CS"/>
        </w:rPr>
        <w:t>2016L0798</w:t>
      </w:r>
      <w:r w:rsidR="00943EE7">
        <w:rPr>
          <w:lang w:val="sr-Cyrl-RS"/>
        </w:rPr>
        <w:t xml:space="preserve"> узете су у обзир последње измене и допуне овог прописа обухваћене следећим </w:t>
      </w:r>
      <w:r w:rsidR="00943EE7">
        <w:t>CELEX</w:t>
      </w:r>
      <w:r w:rsidR="00943EE7">
        <w:rPr>
          <w:lang w:val="sr-Cyrl-RS"/>
        </w:rPr>
        <w:t>има:</w:t>
      </w:r>
      <w:r w:rsidR="00513035">
        <w:rPr>
          <w:lang w:val="sr-Cyrl-RS"/>
        </w:rPr>
        <w:t xml:space="preserve"> </w:t>
      </w:r>
      <w:r w:rsidR="00CB5BB8">
        <w:rPr>
          <w:lang w:val="sr-Cyrl-RS"/>
        </w:rPr>
        <w:t>32016L0798</w:t>
      </w:r>
    </w:p>
    <w:p w14:paraId="7C6C3005" w14:textId="77777777" w:rsidR="00513035" w:rsidRDefault="00513035" w:rsidP="000A69AB">
      <w:pPr>
        <w:pStyle w:val="rvps1"/>
        <w:ind w:firstLine="450"/>
        <w:jc w:val="both"/>
        <w:rPr>
          <w:lang w:val="sr-Cyrl-RS"/>
        </w:rPr>
      </w:pPr>
    </w:p>
    <w:p w14:paraId="5D7B1C9C" w14:textId="77777777" w:rsidR="00161033" w:rsidRDefault="000A69AB" w:rsidP="000A69AB">
      <w:pPr>
        <w:pStyle w:val="rvps1"/>
        <w:ind w:firstLine="450"/>
        <w:jc w:val="center"/>
        <w:rPr>
          <w:lang w:val="sr-Cyrl-CS"/>
        </w:rPr>
      </w:pPr>
      <w:r>
        <w:rPr>
          <w:lang w:val="sr-Cyrl-CS"/>
        </w:rPr>
        <w:t>„д</w:t>
      </w:r>
      <w:r w:rsidR="00943EE7" w:rsidRPr="00222162">
        <w:rPr>
          <w:lang w:val="sr-Cyrl-CS"/>
        </w:rPr>
        <w:t>елимично усклађено</w:t>
      </w:r>
      <w:r w:rsidR="00532F25">
        <w:rPr>
          <w:lang w:val="sr-Cyrl-CS"/>
        </w:rPr>
        <w:t>”</w:t>
      </w:r>
    </w:p>
    <w:p w14:paraId="570582FC" w14:textId="77777777" w:rsidR="00DB68A5" w:rsidRDefault="00DB68A5" w:rsidP="000A69AB">
      <w:pPr>
        <w:pStyle w:val="rvps1"/>
        <w:ind w:firstLine="450"/>
        <w:jc w:val="center"/>
        <w:rPr>
          <w:lang w:val="sr-Cyrl-CS"/>
        </w:rPr>
      </w:pPr>
    </w:p>
    <w:p w14:paraId="097ED01F" w14:textId="77777777" w:rsidR="00FD122B" w:rsidRPr="00FD122B" w:rsidRDefault="00A11C39" w:rsidP="00513035">
      <w:pPr>
        <w:ind w:firstLine="426"/>
        <w:jc w:val="both"/>
        <w:rPr>
          <w:lang w:val="sr-Cyrl-CS"/>
        </w:rPr>
      </w:pPr>
      <w:r>
        <w:rPr>
          <w:b/>
        </w:rPr>
        <w:t>2</w:t>
      </w:r>
      <w:r w:rsidR="00DB68A5" w:rsidRPr="00DB68A5">
        <w:rPr>
          <w:b/>
        </w:rPr>
        <w:t>.</w:t>
      </w:r>
      <w:r w:rsidR="0015118B" w:rsidRPr="0015118B">
        <w:rPr>
          <w:bCs/>
          <w:sz w:val="20"/>
          <w:szCs w:val="20"/>
          <w:lang w:val="sr-Cyrl-CS" w:eastAsia="en-US"/>
        </w:rPr>
        <w:t xml:space="preserve"> </w:t>
      </w:r>
      <w:r w:rsidR="0015118B" w:rsidRPr="00FD122B">
        <w:rPr>
          <w:bCs/>
          <w:lang w:val="sr-Cyrl-CS"/>
        </w:rPr>
        <w:t>Уредба (ЕУ) бр. 996/2010 Европског парламента и Савета од 20. октобра 2010. године која се односи на истраживање и превенцију удеса и незгода у цивилном ваздухопловству, која замењује Упутство/Директиву 94/56/ЕЗ</w:t>
      </w:r>
      <w:r w:rsidR="0015118B" w:rsidRPr="00FD122B">
        <w:rPr>
          <w:bCs/>
          <w:lang w:val="sr-Latn-CS"/>
        </w:rPr>
        <w:t xml:space="preserve"> </w:t>
      </w:r>
    </w:p>
    <w:p w14:paraId="6102EF2E" w14:textId="77777777" w:rsidR="0015118B" w:rsidRPr="00FD122B" w:rsidRDefault="0015118B" w:rsidP="00513035">
      <w:pPr>
        <w:ind w:firstLine="426"/>
        <w:jc w:val="both"/>
      </w:pPr>
      <w:r w:rsidRPr="00FD122B">
        <w:t>Regulation (EU) No 996/2010 of the European Parliament and of the Council of 20 October 2010 on the investigation and prevention of accidents and incidents in civil aviation and repealing Directive 94/56/EC(OJ L 295, 12.11.2010, p. 35–50)</w:t>
      </w:r>
      <w:r w:rsidRPr="00FD122B">
        <w:rPr>
          <w:lang w:val="sr-Cyrl-CS"/>
        </w:rPr>
        <w:t xml:space="preserve"> </w:t>
      </w:r>
    </w:p>
    <w:p w14:paraId="489EA136" w14:textId="77777777" w:rsidR="00DB68A5" w:rsidRPr="004023B7" w:rsidRDefault="0015118B" w:rsidP="0015118B">
      <w:pPr>
        <w:jc w:val="both"/>
        <w:rPr>
          <w:rStyle w:val="Strong"/>
          <w:lang w:val="ru-RU"/>
        </w:rPr>
      </w:pPr>
      <w:r w:rsidRPr="00FD122B">
        <w:t xml:space="preserve">      </w:t>
      </w:r>
      <w:r w:rsidR="00DB68A5" w:rsidRPr="00FD122B">
        <w:rPr>
          <w:lang w:val="sr-Cyrl-CS"/>
        </w:rPr>
        <w:t xml:space="preserve"> </w:t>
      </w:r>
      <w:r w:rsidRPr="00FD122B">
        <w:rPr>
          <w:lang w:val="es-ES"/>
        </w:rPr>
        <w:t>CELEX :</w:t>
      </w:r>
      <w:r w:rsidR="00DB68A5" w:rsidRPr="00FD122B">
        <w:rPr>
          <w:lang w:val="sv-SE" w:eastAsia="sv-SE"/>
        </w:rPr>
        <w:t>32010R0996</w:t>
      </w:r>
    </w:p>
    <w:p w14:paraId="089B64DE" w14:textId="77777777" w:rsidR="00DB68A5" w:rsidRDefault="00DB68A5" w:rsidP="00DB68A5">
      <w:pPr>
        <w:pStyle w:val="rvps1"/>
        <w:ind w:firstLine="450"/>
        <w:jc w:val="center"/>
        <w:rPr>
          <w:lang w:val="sr-Cyrl-CS"/>
        </w:rPr>
      </w:pPr>
      <w:r>
        <w:rPr>
          <w:lang w:val="sr-Cyrl-CS"/>
        </w:rPr>
        <w:t>„д</w:t>
      </w:r>
      <w:r w:rsidRPr="00222162">
        <w:rPr>
          <w:lang w:val="sr-Cyrl-CS"/>
        </w:rPr>
        <w:t>елимично усклађено</w:t>
      </w:r>
      <w:r w:rsidR="00532F25">
        <w:rPr>
          <w:lang w:val="sr-Cyrl-CS"/>
        </w:rPr>
        <w:t>”</w:t>
      </w:r>
    </w:p>
    <w:p w14:paraId="4C7960BB" w14:textId="77777777" w:rsidR="00BB4B55" w:rsidRDefault="00BB4B55" w:rsidP="00DB68A5">
      <w:pPr>
        <w:pStyle w:val="rvps1"/>
        <w:ind w:firstLine="450"/>
        <w:jc w:val="center"/>
        <w:rPr>
          <w:lang w:val="sr-Cyrl-CS"/>
        </w:rPr>
      </w:pPr>
    </w:p>
    <w:p w14:paraId="6780B5BB" w14:textId="77777777" w:rsidR="00BB4B55" w:rsidRPr="00BB4B55" w:rsidRDefault="00A11C39" w:rsidP="00BB4B55">
      <w:pPr>
        <w:pStyle w:val="rvps1"/>
        <w:ind w:firstLine="450"/>
        <w:jc w:val="both"/>
      </w:pPr>
      <w:r>
        <w:rPr>
          <w:b/>
        </w:rPr>
        <w:t>3</w:t>
      </w:r>
      <w:r w:rsidR="00BB4B55" w:rsidRPr="00BB4B55">
        <w:rPr>
          <w:b/>
        </w:rPr>
        <w:t xml:space="preserve">. </w:t>
      </w:r>
      <w:r w:rsidR="00BB4B55" w:rsidRPr="00BB4B55">
        <w:t>Уредба (ЕУ) бр. 2018/1139 Европског парламента и Савета од 4. јула 2018. године о заједничким правилима у области цивилног ваздухопловства и оснивању Агенције Европске уније за безбедност ваздушног саобраћаја и о измени Уредаба (ЕЗ) бр. 2111/2005, (ЕЗ) бр. 1008/2008, (ЕУ) бр. 996/2010, (ЕУ) бр. 376/2014 и Директива 2014/30/ЕУ и 2014/53/ЕУ Европског парламента и Савета, као и о стављању ван снаге Уредаба (ЕЗ) бр. 552/2004 и (ЕЗ) бр. 216/2008 Европског парламента и Савета и Уредбе Савета (ЕЕЗ) бр. 3922/91</w:t>
      </w:r>
    </w:p>
    <w:p w14:paraId="4FC8B1EE" w14:textId="77777777" w:rsidR="0015118B" w:rsidRPr="00BB4B55" w:rsidRDefault="00BB4B55" w:rsidP="00A11C39">
      <w:pPr>
        <w:pStyle w:val="rvps1"/>
        <w:jc w:val="both"/>
        <w:rPr>
          <w:lang w:val="sr-Cyrl-CS"/>
        </w:rPr>
      </w:pPr>
      <w:r>
        <w:tab/>
      </w:r>
      <w:r>
        <w:rPr>
          <w:lang w:val="sr-Cyrl-CS"/>
        </w:rPr>
        <w:t>Regulation (EU) 2018/1139 of the European parliament and of the C</w:t>
      </w:r>
      <w:r w:rsidRPr="00BB4B55">
        <w:rPr>
          <w:lang w:val="sr-Cyrl-CS"/>
        </w:rPr>
        <w:t>ouncil of 4 July 2018 on common rules in the field of civil aviation and establishing a European Union Aviation Safety Agency, and amending Regulations (EC) No 2111/2005, (EC) No 1008/2008, (EU) No 996/2010, (EU) No 376/2014 and Directives 2014/30/EU and 2014/53/EU of the European Parliament and of the Council, and repealing Regulations (EC) No 552/2004 and (EC) No 216/2008 of the European</w:t>
      </w:r>
    </w:p>
    <w:p w14:paraId="615EDFFC" w14:textId="77777777" w:rsidR="00A11C39" w:rsidRDefault="00A11C39" w:rsidP="00A11C39">
      <w:pPr>
        <w:pStyle w:val="rvps1"/>
        <w:ind w:firstLine="450"/>
        <w:jc w:val="center"/>
        <w:rPr>
          <w:lang w:val="sr-Cyrl-CS"/>
        </w:rPr>
      </w:pPr>
      <w:r>
        <w:rPr>
          <w:lang w:val="sr-Cyrl-CS"/>
        </w:rPr>
        <w:t>„д</w:t>
      </w:r>
      <w:r w:rsidRPr="00222162">
        <w:rPr>
          <w:lang w:val="sr-Cyrl-CS"/>
        </w:rPr>
        <w:t>елимично усклађено</w:t>
      </w:r>
      <w:r w:rsidR="00532F25">
        <w:rPr>
          <w:lang w:val="sr-Cyrl-CS"/>
        </w:rPr>
        <w:t>”</w:t>
      </w:r>
    </w:p>
    <w:p w14:paraId="0FC3AF4D" w14:textId="77777777" w:rsidR="00015E8B" w:rsidRDefault="00015E8B" w:rsidP="006E5E3A">
      <w:pPr>
        <w:pStyle w:val="rvps1"/>
        <w:rPr>
          <w:lang w:val="sr-Latn-CS"/>
        </w:rPr>
      </w:pPr>
    </w:p>
    <w:p w14:paraId="6128CDE6" w14:textId="77777777" w:rsidR="00161033" w:rsidRPr="00F73390" w:rsidRDefault="00161033" w:rsidP="00161033">
      <w:pPr>
        <w:jc w:val="both"/>
        <w:rPr>
          <w:lang w:val="sr-Cyrl-CS"/>
        </w:rPr>
      </w:pPr>
      <w:r w:rsidRPr="00F73390">
        <w:rPr>
          <w:lang w:val="sr-Cyrl-CS"/>
        </w:rPr>
        <w:t>в) Навођење осталих извора права Европске уније и усклађенoст са њима,</w:t>
      </w:r>
    </w:p>
    <w:p w14:paraId="756FE1D8" w14:textId="77777777" w:rsidR="00161033" w:rsidRPr="00F73390" w:rsidRDefault="00161033" w:rsidP="00161033">
      <w:pPr>
        <w:jc w:val="center"/>
        <w:rPr>
          <w:lang w:val="sr-Cyrl-CS"/>
        </w:rPr>
      </w:pPr>
      <w:r w:rsidRPr="00F73390">
        <w:rPr>
          <w:lang w:val="sr-Cyrl-CS"/>
        </w:rPr>
        <w:t>/</w:t>
      </w:r>
    </w:p>
    <w:p w14:paraId="60380DE2" w14:textId="77777777" w:rsidR="00161033" w:rsidRDefault="00161033" w:rsidP="00161033">
      <w:pPr>
        <w:jc w:val="both"/>
        <w:rPr>
          <w:lang w:val="sr-Cyrl-CS"/>
        </w:rPr>
      </w:pPr>
      <w:r w:rsidRPr="00F73390">
        <w:rPr>
          <w:lang w:val="sr-Cyrl-CS"/>
        </w:rPr>
        <w:t>г) Разлози за делимичну усклађеност, односно неусклађеност,</w:t>
      </w:r>
    </w:p>
    <w:p w14:paraId="61797F06" w14:textId="77777777" w:rsidR="00CB5BB8" w:rsidRPr="00F73390" w:rsidRDefault="00CB5BB8" w:rsidP="00161033">
      <w:pPr>
        <w:jc w:val="both"/>
        <w:rPr>
          <w:lang w:val="sr-Cyrl-CS"/>
        </w:rPr>
      </w:pPr>
    </w:p>
    <w:p w14:paraId="0D0B06EA" w14:textId="77777777" w:rsidR="000A69AB" w:rsidRPr="00B07BB8" w:rsidRDefault="000A69AB" w:rsidP="000A69AB">
      <w:pPr>
        <w:jc w:val="both"/>
        <w:rPr>
          <w:lang w:val="sr-Cyrl-RS"/>
        </w:rPr>
      </w:pPr>
      <w:r>
        <w:rPr>
          <w:lang w:val="sr-Cyrl-RS"/>
        </w:rPr>
        <w:lastRenderedPageBreak/>
        <w:t>Потпуна ус</w:t>
      </w:r>
      <w:r w:rsidR="00DB68A5">
        <w:rPr>
          <w:lang w:val="sr-Cyrl-RS"/>
        </w:rPr>
        <w:t>клађеност</w:t>
      </w:r>
      <w:r>
        <w:rPr>
          <w:lang w:val="sr-Cyrl-RS"/>
        </w:rPr>
        <w:t xml:space="preserve"> националног законодавства са </w:t>
      </w:r>
      <w:r w:rsidR="00541792" w:rsidRPr="009B3576">
        <w:rPr>
          <w:rFonts w:eastAsia="Calibri"/>
          <w:bCs/>
          <w:lang w:val="sr-Cyrl-CS" w:eastAsia="en-US"/>
        </w:rPr>
        <w:t>Директив</w:t>
      </w:r>
      <w:r w:rsidR="007F00DF" w:rsidRPr="009B3576">
        <w:rPr>
          <w:rFonts w:eastAsia="Calibri"/>
          <w:bCs/>
          <w:lang w:val="sr-Cyrl-CS" w:eastAsia="en-US"/>
        </w:rPr>
        <w:t>ом</w:t>
      </w:r>
      <w:r w:rsidR="00CB5BB8">
        <w:rPr>
          <w:rFonts w:eastAsia="Calibri"/>
          <w:bCs/>
          <w:lang w:val="sr-Cyrl-CS" w:eastAsia="en-US"/>
        </w:rPr>
        <w:t xml:space="preserve"> (ЕУ) бр. 2016/798</w:t>
      </w:r>
      <w:r w:rsidR="00541792" w:rsidRPr="009B3576">
        <w:rPr>
          <w:rFonts w:eastAsia="Calibri"/>
          <w:bCs/>
          <w:lang w:val="sr-Cyrl-CS" w:eastAsia="en-US"/>
        </w:rPr>
        <w:t xml:space="preserve"> </w:t>
      </w:r>
      <w:r w:rsidR="00B03E60">
        <w:rPr>
          <w:rFonts w:eastAsia="Calibri"/>
          <w:bCs/>
          <w:lang w:val="sr-Cyrl-CS" w:eastAsia="en-US"/>
        </w:rPr>
        <w:t xml:space="preserve"> </w:t>
      </w:r>
      <w:r>
        <w:rPr>
          <w:lang w:val="sr-Cyrl-RS"/>
        </w:rPr>
        <w:t xml:space="preserve">ће се постићи усклађивањем са одредбама </w:t>
      </w:r>
      <w:r w:rsidRPr="009B3576">
        <w:rPr>
          <w:rFonts w:eastAsia="Calibri"/>
          <w:bCs/>
          <w:lang w:val="sr-Cyrl-CS" w:eastAsia="en-US"/>
        </w:rPr>
        <w:t>Директив</w:t>
      </w:r>
      <w:r>
        <w:rPr>
          <w:rFonts w:eastAsia="Calibri"/>
          <w:bCs/>
          <w:lang w:val="sr-Cyrl-CS" w:eastAsia="en-US"/>
        </w:rPr>
        <w:t>е (ЕУ) бр. 2016/798</w:t>
      </w:r>
      <w:r w:rsidRPr="009B3576">
        <w:rPr>
          <w:rFonts w:eastAsia="Calibri"/>
          <w:bCs/>
          <w:lang w:val="sr-Cyrl-CS" w:eastAsia="en-US"/>
        </w:rPr>
        <w:t xml:space="preserve"> </w:t>
      </w:r>
      <w:r>
        <w:rPr>
          <w:rFonts w:eastAsia="Calibri"/>
          <w:bCs/>
          <w:lang w:val="sr-Cyrl-CS" w:eastAsia="en-US"/>
        </w:rPr>
        <w:t xml:space="preserve"> </w:t>
      </w:r>
      <w:r>
        <w:rPr>
          <w:lang w:val="sr-Cyrl-CS"/>
        </w:rPr>
        <w:t>које се односе на државе чланице Европске уније, по уласку Републике Србије у Европску унију.</w:t>
      </w:r>
      <w:r w:rsidRPr="00695A3C">
        <w:t xml:space="preserve"> </w:t>
      </w:r>
    </w:p>
    <w:p w14:paraId="7B14EA8A" w14:textId="77777777" w:rsidR="006E5E3A" w:rsidRPr="00CB5BB8" w:rsidRDefault="006E5E3A" w:rsidP="00286C63">
      <w:pPr>
        <w:ind w:firstLine="450"/>
        <w:jc w:val="both"/>
        <w:rPr>
          <w:rFonts w:eastAsia="Calibri"/>
          <w:bCs/>
          <w:lang w:val="sr-Cyrl-CS" w:eastAsia="en-US"/>
        </w:rPr>
      </w:pPr>
    </w:p>
    <w:p w14:paraId="6C769E6D" w14:textId="77777777" w:rsidR="00FD122B" w:rsidRDefault="00DB68A5" w:rsidP="00FD122B">
      <w:pPr>
        <w:jc w:val="both"/>
        <w:rPr>
          <w:lang w:val="sr-Cyrl-CS"/>
        </w:rPr>
      </w:pPr>
      <w:r>
        <w:rPr>
          <w:lang w:val="sr-Cyrl-RS"/>
        </w:rPr>
        <w:t>Потпуна ус</w:t>
      </w:r>
      <w:r>
        <w:rPr>
          <w:lang w:val="sr-Cyrl-CS"/>
        </w:rPr>
        <w:t>клађеност</w:t>
      </w:r>
      <w:r w:rsidRPr="004023B7">
        <w:rPr>
          <w:lang w:val="sr-Cyrl-RS"/>
        </w:rPr>
        <w:t xml:space="preserve"> националног законодавства са </w:t>
      </w:r>
      <w:r w:rsidR="00513035">
        <w:rPr>
          <w:bCs/>
          <w:lang w:val="sr-Cyrl-CS"/>
        </w:rPr>
        <w:t>Уредбом</w:t>
      </w:r>
      <w:r w:rsidR="0015118B" w:rsidRPr="0015118B">
        <w:rPr>
          <w:bCs/>
          <w:lang w:val="sr-Cyrl-CS"/>
        </w:rPr>
        <w:t xml:space="preserve"> (ЕУ) бр. 996/2010 Европског парламента и Савета од 20. октобра 2010. године која се односи на истраживање и превенцију удеса и незгода у цивилном ваздухопловству, која замењује Упутство/Директиву 94/56/ЕЗ</w:t>
      </w:r>
      <w:r w:rsidR="0015118B">
        <w:rPr>
          <w:bCs/>
          <w:lang w:val="sr-Cyrl-CS"/>
        </w:rPr>
        <w:t>,</w:t>
      </w:r>
      <w:r w:rsidR="0015118B" w:rsidRPr="0015118B">
        <w:rPr>
          <w:bCs/>
          <w:lang w:val="sr-Latn-CS"/>
        </w:rPr>
        <w:t xml:space="preserve"> </w:t>
      </w:r>
      <w:r w:rsidR="00FD122B" w:rsidRPr="004023B7">
        <w:rPr>
          <w:lang w:val="sr-Cyrl-RS"/>
        </w:rPr>
        <w:t xml:space="preserve">ће се постићи усклађивањем са одредбама </w:t>
      </w:r>
      <w:r w:rsidR="00FD122B">
        <w:t>Уредбе</w:t>
      </w:r>
      <w:r w:rsidR="00FD122B" w:rsidRPr="004023B7">
        <w:t xml:space="preserve"> (ЕУ) бр. 996/2010</w:t>
      </w:r>
      <w:r w:rsidR="00FD122B" w:rsidRPr="004023B7">
        <w:rPr>
          <w:lang w:val="sr-Cyrl-CS"/>
        </w:rPr>
        <w:t xml:space="preserve"> које се односе на државе чланице Европске уније, по уласку Републике Србије</w:t>
      </w:r>
      <w:r w:rsidR="00FD122B">
        <w:rPr>
          <w:lang w:val="sr-Cyrl-CS"/>
        </w:rPr>
        <w:t xml:space="preserve"> у Европску унију, као и доношењем подзаконског акта.</w:t>
      </w:r>
    </w:p>
    <w:p w14:paraId="1DA8A3D3" w14:textId="77777777" w:rsidR="004536F9" w:rsidRDefault="004536F9" w:rsidP="00FD122B">
      <w:pPr>
        <w:jc w:val="both"/>
        <w:rPr>
          <w:lang w:val="sr-Cyrl-CS"/>
        </w:rPr>
      </w:pPr>
    </w:p>
    <w:p w14:paraId="69A1A29A" w14:textId="77777777" w:rsidR="004536F9" w:rsidRPr="00A11C39" w:rsidRDefault="004536F9" w:rsidP="00A11C39">
      <w:pPr>
        <w:jc w:val="both"/>
        <w:rPr>
          <w:lang w:val="sr-Cyrl-CS"/>
        </w:rPr>
      </w:pPr>
      <w:r>
        <w:rPr>
          <w:lang w:val="sr-Cyrl-CS"/>
        </w:rPr>
        <w:t xml:space="preserve">Овим </w:t>
      </w:r>
      <w:r w:rsidR="00532F25">
        <w:rPr>
          <w:lang w:val="sr-Cyrl-CS"/>
        </w:rPr>
        <w:t>Предлог</w:t>
      </w:r>
      <w:r w:rsidR="00A11C39">
        <w:rPr>
          <w:lang w:val="sr-Cyrl-CS"/>
        </w:rPr>
        <w:t xml:space="preserve">ом закона постиже се потпуна усклађеност са </w:t>
      </w:r>
      <w:r w:rsidR="00A11C39">
        <w:t>Уредбом</w:t>
      </w:r>
      <w:r w:rsidR="00A11C39" w:rsidRPr="00BB4B55">
        <w:t xml:space="preserve"> (ЕУ) бр. 2018/1139</w:t>
      </w:r>
      <w:r w:rsidR="00A11C39">
        <w:rPr>
          <w:lang w:val="sr-Cyrl-CS"/>
        </w:rPr>
        <w:t xml:space="preserve"> у делу који се односи на удесе и озбиљне незгоде, </w:t>
      </w:r>
      <w:r w:rsidR="007F1C94">
        <w:rPr>
          <w:lang w:val="sr-Cyrl-CS"/>
        </w:rPr>
        <w:t xml:space="preserve">тј. са чланом 135. Уредбе </w:t>
      </w:r>
      <w:r w:rsidR="007F1C94" w:rsidRPr="00BB4B55">
        <w:t>(ЕУ) бр. 2018/1139</w:t>
      </w:r>
      <w:r w:rsidR="007F1C94">
        <w:rPr>
          <w:lang w:val="sr-Cyrl-CS"/>
        </w:rPr>
        <w:t>, а који је A</w:t>
      </w:r>
      <w:r w:rsidR="00106A88">
        <w:rPr>
          <w:lang w:val="sr-Cyrl-CS"/>
        </w:rPr>
        <w:t>ман</w:t>
      </w:r>
      <w:r w:rsidR="007F1C94">
        <w:rPr>
          <w:lang w:val="sr-Cyrl-CS"/>
        </w:rPr>
        <w:t>дман на Уредбу (ЕУ)</w:t>
      </w:r>
      <w:r w:rsidR="00106A88">
        <w:rPr>
          <w:lang w:val="sr-Cyrl-CS"/>
        </w:rPr>
        <w:t xml:space="preserve"> 996/10</w:t>
      </w:r>
      <w:r w:rsidR="007F1C94">
        <w:rPr>
          <w:lang w:val="sr-Cyrl-CS"/>
        </w:rPr>
        <w:t>,</w:t>
      </w:r>
      <w:r w:rsidR="00106A88">
        <w:rPr>
          <w:lang w:val="sr-Cyrl-CS"/>
        </w:rPr>
        <w:t xml:space="preserve"> </w:t>
      </w:r>
      <w:r w:rsidR="00A11C39">
        <w:rPr>
          <w:lang w:val="sr-Cyrl-CS"/>
        </w:rPr>
        <w:t>док ће се потпуна усклађеност са целокупним прописом постићи доношењем подзаконских аката.</w:t>
      </w:r>
    </w:p>
    <w:p w14:paraId="78E7DCB0" w14:textId="77777777" w:rsidR="00CB5BB8" w:rsidRPr="00F73390" w:rsidRDefault="00CB5BB8" w:rsidP="00161033">
      <w:pPr>
        <w:jc w:val="both"/>
        <w:rPr>
          <w:lang w:val="sr-Cyrl-CS"/>
        </w:rPr>
      </w:pPr>
    </w:p>
    <w:p w14:paraId="720A379B" w14:textId="77777777" w:rsidR="00161033" w:rsidRDefault="00161033" w:rsidP="00161033">
      <w:pPr>
        <w:jc w:val="both"/>
        <w:rPr>
          <w:lang w:val="sr-Cyrl-CS"/>
        </w:rPr>
      </w:pPr>
      <w:r w:rsidRPr="00F73390">
        <w:rPr>
          <w:lang w:val="sr-Cyrl-CS"/>
        </w:rPr>
        <w:t>д) Рок у којем је предвиђено постизање потпуне усклађености проп</w:t>
      </w:r>
      <w:r w:rsidR="00101601">
        <w:rPr>
          <w:lang w:val="sr-Cyrl-CS"/>
        </w:rPr>
        <w:t>иса са прописима Европске уније.</w:t>
      </w:r>
    </w:p>
    <w:p w14:paraId="0D043643" w14:textId="77777777" w:rsidR="00101601" w:rsidRDefault="00015E8B" w:rsidP="00161033">
      <w:pPr>
        <w:jc w:val="both"/>
        <w:rPr>
          <w:lang w:val="sr-Cyrl-CS"/>
        </w:rPr>
      </w:pPr>
      <w:r>
        <w:rPr>
          <w:lang w:val="sr-Cyrl-CS"/>
        </w:rPr>
        <w:t xml:space="preserve"> </w:t>
      </w:r>
    </w:p>
    <w:p w14:paraId="75A2730A" w14:textId="77777777" w:rsidR="00015E8B" w:rsidRDefault="00015E8B" w:rsidP="00015E8B">
      <w:pPr>
        <w:jc w:val="both"/>
        <w:rPr>
          <w:rFonts w:eastAsia="Calibri"/>
          <w:bCs/>
          <w:lang w:val="sr-Cyrl-CS" w:eastAsia="en-US"/>
        </w:rPr>
      </w:pPr>
      <w:r>
        <w:rPr>
          <w:rFonts w:eastAsia="Calibri"/>
          <w:bCs/>
          <w:lang w:val="sr-Cyrl-CS" w:eastAsia="en-US"/>
        </w:rPr>
        <w:t>П</w:t>
      </w:r>
      <w:r>
        <w:rPr>
          <w:rFonts w:eastAsia="Calibri"/>
          <w:bCs/>
          <w:lang w:val="en-US" w:eastAsia="en-US"/>
        </w:rPr>
        <w:t>отпуна</w:t>
      </w:r>
      <w:r w:rsidRPr="009B3576">
        <w:rPr>
          <w:rFonts w:eastAsia="Calibri"/>
          <w:bCs/>
          <w:lang w:val="en-US" w:eastAsia="en-US"/>
        </w:rPr>
        <w:t xml:space="preserve"> </w:t>
      </w:r>
      <w:r>
        <w:rPr>
          <w:rFonts w:eastAsia="Calibri"/>
          <w:bCs/>
          <w:lang w:val="sr-Cyrl-CS" w:eastAsia="en-US"/>
        </w:rPr>
        <w:t>усклађеност прописа са прописима Европске уније постићи ће се</w:t>
      </w:r>
      <w:r>
        <w:rPr>
          <w:rFonts w:eastAsia="Calibri"/>
          <w:bCs/>
          <w:lang w:val="en-US" w:eastAsia="en-US"/>
        </w:rPr>
        <w:t xml:space="preserve"> </w:t>
      </w:r>
      <w:r>
        <w:rPr>
          <w:rFonts w:eastAsia="Calibri"/>
          <w:bCs/>
          <w:lang w:val="sr-Cyrl-CS" w:eastAsia="en-US"/>
        </w:rPr>
        <w:t>приступањем Републике Србије Европској унији.</w:t>
      </w:r>
    </w:p>
    <w:p w14:paraId="74244A81" w14:textId="77777777" w:rsidR="00161033" w:rsidRPr="00F73390" w:rsidRDefault="0061797D" w:rsidP="00161033">
      <w:pPr>
        <w:jc w:val="both"/>
        <w:rPr>
          <w:i/>
          <w:lang w:val="sr-Cyrl-CS"/>
        </w:rPr>
      </w:pPr>
      <w:r>
        <w:rPr>
          <w:lang w:val="sr-Cyrl-CS"/>
        </w:rPr>
        <w:t xml:space="preserve">  </w:t>
      </w:r>
      <w:r>
        <w:rPr>
          <w:lang w:val="sr-Cyrl-CS"/>
        </w:rPr>
        <w:tab/>
      </w:r>
      <w:r>
        <w:rPr>
          <w:lang w:val="sr-Cyrl-CS"/>
        </w:rPr>
        <w:tab/>
      </w:r>
      <w:r>
        <w:rPr>
          <w:lang w:val="sr-Cyrl-CS"/>
        </w:rPr>
        <w:tab/>
      </w:r>
      <w:r>
        <w:rPr>
          <w:lang w:val="sr-Cyrl-CS"/>
        </w:rPr>
        <w:tab/>
      </w:r>
      <w:r>
        <w:rPr>
          <w:lang w:val="sr-Cyrl-CS"/>
        </w:rPr>
        <w:tab/>
      </w:r>
      <w:r>
        <w:rPr>
          <w:lang w:val="sr-Cyrl-CS"/>
        </w:rPr>
        <w:tab/>
      </w:r>
    </w:p>
    <w:p w14:paraId="2F4B2B14" w14:textId="77777777" w:rsidR="00161033" w:rsidRPr="00F73390" w:rsidRDefault="00161033" w:rsidP="00161033">
      <w:pPr>
        <w:jc w:val="both"/>
        <w:rPr>
          <w:color w:val="000000"/>
          <w:lang w:val="sr-Cyrl-CS"/>
        </w:rPr>
      </w:pPr>
      <w:r w:rsidRPr="00F73390">
        <w:rPr>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F73390">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71C06D9D" w14:textId="77777777" w:rsidR="00161033" w:rsidRDefault="00D476EA" w:rsidP="00D476EA">
      <w:pPr>
        <w:ind w:left="4320" w:firstLine="720"/>
        <w:jc w:val="both"/>
        <w:rPr>
          <w:lang w:val="sr-Cyrl-CS"/>
        </w:rPr>
      </w:pPr>
      <w:r>
        <w:rPr>
          <w:lang w:val="sr-Cyrl-CS"/>
        </w:rPr>
        <w:t>/</w:t>
      </w:r>
    </w:p>
    <w:p w14:paraId="7E3A0795" w14:textId="77777777" w:rsidR="00161033" w:rsidRDefault="00161033" w:rsidP="00161033">
      <w:pPr>
        <w:jc w:val="both"/>
        <w:rPr>
          <w:lang w:val="sr-Cyrl-CS"/>
        </w:rPr>
      </w:pPr>
      <w:r w:rsidRPr="00F73390">
        <w:rPr>
          <w:lang w:val="sr-Cyrl-CS"/>
        </w:rPr>
        <w:t xml:space="preserve"> </w:t>
      </w:r>
      <w:r w:rsidR="00B12982">
        <w:rPr>
          <w:lang w:val="sr-Cyrl-CS"/>
        </w:rPr>
        <w:t xml:space="preserve">6. </w:t>
      </w:r>
      <w:r w:rsidRPr="00F73390">
        <w:rPr>
          <w:lang w:val="sr-Cyrl-CS"/>
        </w:rPr>
        <w:t>Да ли су претходно наведени извори права Европске уније преведени на српски језик?</w:t>
      </w:r>
    </w:p>
    <w:p w14:paraId="1341E088" w14:textId="77777777" w:rsidR="0061797D" w:rsidRPr="00F73390" w:rsidRDefault="0061797D" w:rsidP="00161033">
      <w:pPr>
        <w:jc w:val="both"/>
        <w:rPr>
          <w:lang w:val="sr-Cyrl-CS"/>
        </w:rPr>
      </w:pPr>
    </w:p>
    <w:p w14:paraId="614F8F8E" w14:textId="77777777" w:rsidR="0061797D" w:rsidRDefault="0061797D" w:rsidP="00513035">
      <w:pPr>
        <w:jc w:val="both"/>
        <w:rPr>
          <w:rFonts w:eastAsia="Calibri"/>
          <w:bCs/>
          <w:lang w:val="sr-Cyrl-CS" w:eastAsia="en-US"/>
        </w:rPr>
      </w:pPr>
      <w:r w:rsidRPr="0061797D">
        <w:rPr>
          <w:rFonts w:eastAsia="Calibri"/>
          <w:bCs/>
          <w:lang w:val="sr-Cyrl-CS" w:eastAsia="en-US"/>
        </w:rPr>
        <w:t>Директива Европског парламента и Савета (ЕУ) бр. 2016/798 од 11. маја 2016. о безбедности у железничком саобраћају, C/2016/798, OJ L 138, 26.5.2016.</w:t>
      </w:r>
      <w:r>
        <w:rPr>
          <w:rFonts w:eastAsia="Calibri"/>
          <w:bCs/>
          <w:lang w:val="sr-Cyrl-CS" w:eastAsia="en-US"/>
        </w:rPr>
        <w:t xml:space="preserve"> преведена је на српски језик</w:t>
      </w:r>
      <w:r w:rsidR="004746C7">
        <w:rPr>
          <w:rFonts w:eastAsia="Calibri"/>
          <w:bCs/>
          <w:lang w:val="sr-Cyrl-CS" w:eastAsia="en-US"/>
        </w:rPr>
        <w:t xml:space="preserve">    </w:t>
      </w:r>
    </w:p>
    <w:p w14:paraId="444325BC" w14:textId="77777777" w:rsidR="00513035" w:rsidRDefault="00513035" w:rsidP="00513035">
      <w:pPr>
        <w:jc w:val="both"/>
        <w:rPr>
          <w:rFonts w:eastAsia="Calibri"/>
          <w:bCs/>
          <w:lang w:val="sr-Cyrl-CS" w:eastAsia="en-US"/>
        </w:rPr>
      </w:pPr>
    </w:p>
    <w:p w14:paraId="5F0B6D65" w14:textId="77777777" w:rsidR="00161033" w:rsidRPr="00F73390" w:rsidRDefault="00161033" w:rsidP="00161033">
      <w:pPr>
        <w:jc w:val="both"/>
        <w:rPr>
          <w:lang w:val="sr-Cyrl-CS"/>
        </w:rPr>
      </w:pPr>
      <w:r w:rsidRPr="00F73390">
        <w:rPr>
          <w:lang w:val="sr-Cyrl-CS"/>
        </w:rPr>
        <w:t>7. Да ли је пропис преведен на неки службени језик Европске уније?</w:t>
      </w:r>
    </w:p>
    <w:p w14:paraId="54709C33" w14:textId="77777777" w:rsidR="00161033" w:rsidRPr="00F73390" w:rsidRDefault="0061797D" w:rsidP="0061797D">
      <w:pPr>
        <w:jc w:val="center"/>
        <w:rPr>
          <w:lang w:val="sr-Cyrl-CS"/>
        </w:rPr>
      </w:pPr>
      <w:r>
        <w:rPr>
          <w:lang w:val="sr-Cyrl-CS"/>
        </w:rPr>
        <w:t>/</w:t>
      </w:r>
    </w:p>
    <w:p w14:paraId="7F252891" w14:textId="77777777" w:rsidR="00161033" w:rsidRPr="00F73390" w:rsidRDefault="00161033" w:rsidP="00161033">
      <w:pPr>
        <w:jc w:val="both"/>
        <w:rPr>
          <w:lang w:val="sr-Cyrl-CS"/>
        </w:rPr>
      </w:pPr>
      <w:r w:rsidRPr="00F73390">
        <w:rPr>
          <w:lang w:val="sr-Cyrl-CS"/>
        </w:rPr>
        <w:t>8. Сарадња са Европском унијом и учешће консултаната у изради прописа и њихово мишљење о усклађености.</w:t>
      </w:r>
    </w:p>
    <w:p w14:paraId="4F922CEC" w14:textId="77777777" w:rsidR="00161033" w:rsidRPr="00F73390" w:rsidRDefault="00161033" w:rsidP="00161033">
      <w:pPr>
        <w:jc w:val="both"/>
        <w:rPr>
          <w:lang w:val="sr-Cyrl-CS"/>
        </w:rPr>
      </w:pPr>
    </w:p>
    <w:p w14:paraId="35D24974" w14:textId="77777777" w:rsidR="00F27715" w:rsidRPr="00B12982" w:rsidRDefault="00B12982" w:rsidP="00CB5BB8">
      <w:pPr>
        <w:ind w:firstLine="708"/>
        <w:jc w:val="both"/>
        <w:rPr>
          <w:lang w:val="sr-Cyrl-CS" w:eastAsia="en-US"/>
        </w:rPr>
      </w:pPr>
      <w:r w:rsidRPr="00B12982">
        <w:rPr>
          <w:lang w:val="sr-Cyrl-CS" w:eastAsia="en-US"/>
        </w:rPr>
        <w:t xml:space="preserve">У изради </w:t>
      </w:r>
      <w:r w:rsidR="00532F25">
        <w:rPr>
          <w:lang w:val="sr-Cyrl-CS" w:eastAsia="en-US"/>
        </w:rPr>
        <w:t>Предлог</w:t>
      </w:r>
      <w:r w:rsidRPr="00B12982">
        <w:rPr>
          <w:lang w:val="sr-Cyrl-CS" w:eastAsia="en-US"/>
        </w:rPr>
        <w:t xml:space="preserve"> зако</w:t>
      </w:r>
      <w:r w:rsidR="00513035">
        <w:rPr>
          <w:lang w:val="sr-Cyrl-CS" w:eastAsia="en-US"/>
        </w:rPr>
        <w:t>на нису учествовали консултанти Европске уније</w:t>
      </w:r>
    </w:p>
    <w:p w14:paraId="5F58BA4F" w14:textId="77777777" w:rsidR="00161033" w:rsidRDefault="00161033" w:rsidP="00161033">
      <w:pPr>
        <w:jc w:val="both"/>
        <w:rPr>
          <w:lang w:val="sr-Cyrl-CS"/>
        </w:rPr>
      </w:pPr>
    </w:p>
    <w:p w14:paraId="69F05A5D" w14:textId="77777777" w:rsidR="00161033" w:rsidRPr="00F73390" w:rsidRDefault="00161033" w:rsidP="00A11C39">
      <w:pPr>
        <w:rPr>
          <w:b/>
          <w:bCs/>
          <w:lang w:val="sr-Cyrl-CS"/>
        </w:rPr>
      </w:pPr>
    </w:p>
    <w:sectPr w:rsidR="00161033" w:rsidRPr="00F73390" w:rsidSect="00086ECB">
      <w:footerReference w:type="even" r:id="rId7"/>
      <w:footerReference w:type="default" r:id="rId8"/>
      <w:pgSz w:w="11906" w:h="16838" w:code="9"/>
      <w:pgMar w:top="1134" w:right="1304" w:bottom="1134"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7E024" w14:textId="77777777" w:rsidR="008D17B2" w:rsidRDefault="008D17B2">
      <w:r>
        <w:separator/>
      </w:r>
    </w:p>
  </w:endnote>
  <w:endnote w:type="continuationSeparator" w:id="0">
    <w:p w14:paraId="6D152664" w14:textId="77777777" w:rsidR="008D17B2" w:rsidRDefault="008D1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C DzComm">
    <w:altName w:val="Impact"/>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02364" w14:textId="77777777" w:rsidR="00000000" w:rsidRDefault="00410D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2A9230" w14:textId="77777777" w:rsidR="00000000"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8D950" w14:textId="77777777" w:rsidR="00000000" w:rsidRDefault="00410D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660EC">
      <w:rPr>
        <w:rStyle w:val="PageNumber"/>
        <w:noProof/>
      </w:rPr>
      <w:t>3</w:t>
    </w:r>
    <w:r>
      <w:rPr>
        <w:rStyle w:val="PageNumber"/>
      </w:rPr>
      <w:fldChar w:fldCharType="end"/>
    </w:r>
  </w:p>
  <w:p w14:paraId="77B59306" w14:textId="77777777" w:rsidR="00000000" w:rsidRDefault="0000000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CE20D" w14:textId="77777777" w:rsidR="008D17B2" w:rsidRDefault="008D17B2">
      <w:r>
        <w:separator/>
      </w:r>
    </w:p>
  </w:footnote>
  <w:footnote w:type="continuationSeparator" w:id="0">
    <w:p w14:paraId="7A85B1A7" w14:textId="77777777" w:rsidR="008D17B2" w:rsidRDefault="008D17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71462"/>
    <w:multiLevelType w:val="hybridMultilevel"/>
    <w:tmpl w:val="EBE2DF92"/>
    <w:lvl w:ilvl="0" w:tplc="96A0087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37D05602"/>
    <w:multiLevelType w:val="hybridMultilevel"/>
    <w:tmpl w:val="4B7C395E"/>
    <w:lvl w:ilvl="0" w:tplc="5CF0E6BC">
      <w:start w:val="2"/>
      <w:numFmt w:val="decimal"/>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3C93091C"/>
    <w:multiLevelType w:val="hybridMultilevel"/>
    <w:tmpl w:val="67DA9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6352619">
    <w:abstractNumId w:val="0"/>
  </w:num>
  <w:num w:numId="2" w16cid:durableId="632059519">
    <w:abstractNumId w:val="1"/>
  </w:num>
  <w:num w:numId="3" w16cid:durableId="350095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033"/>
    <w:rsid w:val="00015E8B"/>
    <w:rsid w:val="00086ECB"/>
    <w:rsid w:val="000A69AB"/>
    <w:rsid w:val="000F4A35"/>
    <w:rsid w:val="00101601"/>
    <w:rsid w:val="00106A88"/>
    <w:rsid w:val="00111873"/>
    <w:rsid w:val="00143AC2"/>
    <w:rsid w:val="0015118B"/>
    <w:rsid w:val="00161033"/>
    <w:rsid w:val="00174E65"/>
    <w:rsid w:val="001B7185"/>
    <w:rsid w:val="0020399B"/>
    <w:rsid w:val="00222FE2"/>
    <w:rsid w:val="002230A5"/>
    <w:rsid w:val="00224EE1"/>
    <w:rsid w:val="00286C63"/>
    <w:rsid w:val="002E4E9F"/>
    <w:rsid w:val="002F5968"/>
    <w:rsid w:val="00320CC6"/>
    <w:rsid w:val="00327030"/>
    <w:rsid w:val="00337527"/>
    <w:rsid w:val="0037635F"/>
    <w:rsid w:val="00397C7A"/>
    <w:rsid w:val="003B02A6"/>
    <w:rsid w:val="00400EA4"/>
    <w:rsid w:val="00410D44"/>
    <w:rsid w:val="00424699"/>
    <w:rsid w:val="004536F9"/>
    <w:rsid w:val="00455724"/>
    <w:rsid w:val="004746C7"/>
    <w:rsid w:val="004E2CA6"/>
    <w:rsid w:val="004E5E5E"/>
    <w:rsid w:val="00503F7A"/>
    <w:rsid w:val="00513035"/>
    <w:rsid w:val="00532F25"/>
    <w:rsid w:val="00537A91"/>
    <w:rsid w:val="005408FB"/>
    <w:rsid w:val="00541792"/>
    <w:rsid w:val="005725B7"/>
    <w:rsid w:val="005E4051"/>
    <w:rsid w:val="0061797D"/>
    <w:rsid w:val="00627C19"/>
    <w:rsid w:val="006340DA"/>
    <w:rsid w:val="00651AA0"/>
    <w:rsid w:val="006879CC"/>
    <w:rsid w:val="006C24C0"/>
    <w:rsid w:val="006C4157"/>
    <w:rsid w:val="006E5E3A"/>
    <w:rsid w:val="00711B01"/>
    <w:rsid w:val="00720AEF"/>
    <w:rsid w:val="007348F5"/>
    <w:rsid w:val="00745CEC"/>
    <w:rsid w:val="0078618B"/>
    <w:rsid w:val="007F00DF"/>
    <w:rsid w:val="007F1C94"/>
    <w:rsid w:val="007F4D68"/>
    <w:rsid w:val="00801421"/>
    <w:rsid w:val="00840F7A"/>
    <w:rsid w:val="00847C5E"/>
    <w:rsid w:val="0086603C"/>
    <w:rsid w:val="008B547F"/>
    <w:rsid w:val="008D17B2"/>
    <w:rsid w:val="008F217B"/>
    <w:rsid w:val="00943EE7"/>
    <w:rsid w:val="00947252"/>
    <w:rsid w:val="00967832"/>
    <w:rsid w:val="00985557"/>
    <w:rsid w:val="009B3576"/>
    <w:rsid w:val="009B4A16"/>
    <w:rsid w:val="009D00C9"/>
    <w:rsid w:val="00A070FF"/>
    <w:rsid w:val="00A11C39"/>
    <w:rsid w:val="00A3361E"/>
    <w:rsid w:val="00A4202D"/>
    <w:rsid w:val="00A44296"/>
    <w:rsid w:val="00A80A04"/>
    <w:rsid w:val="00A832F1"/>
    <w:rsid w:val="00AB6EC7"/>
    <w:rsid w:val="00AD494B"/>
    <w:rsid w:val="00AD5FAB"/>
    <w:rsid w:val="00B03E60"/>
    <w:rsid w:val="00B10E9B"/>
    <w:rsid w:val="00B12982"/>
    <w:rsid w:val="00B304CC"/>
    <w:rsid w:val="00B35803"/>
    <w:rsid w:val="00B430B8"/>
    <w:rsid w:val="00B53459"/>
    <w:rsid w:val="00B54519"/>
    <w:rsid w:val="00B73569"/>
    <w:rsid w:val="00BA39DE"/>
    <w:rsid w:val="00BB4B55"/>
    <w:rsid w:val="00BE012B"/>
    <w:rsid w:val="00C64203"/>
    <w:rsid w:val="00C77357"/>
    <w:rsid w:val="00CB5BB8"/>
    <w:rsid w:val="00CC65B7"/>
    <w:rsid w:val="00D15A6B"/>
    <w:rsid w:val="00D21F65"/>
    <w:rsid w:val="00D35104"/>
    <w:rsid w:val="00D476EA"/>
    <w:rsid w:val="00DB137E"/>
    <w:rsid w:val="00DB68A5"/>
    <w:rsid w:val="00DD43BC"/>
    <w:rsid w:val="00E0243D"/>
    <w:rsid w:val="00E14BF8"/>
    <w:rsid w:val="00E2303B"/>
    <w:rsid w:val="00E358DB"/>
    <w:rsid w:val="00E60B53"/>
    <w:rsid w:val="00E660EC"/>
    <w:rsid w:val="00E74FDB"/>
    <w:rsid w:val="00E9623D"/>
    <w:rsid w:val="00EB6C24"/>
    <w:rsid w:val="00ED7CF6"/>
    <w:rsid w:val="00EF3D8F"/>
    <w:rsid w:val="00F13882"/>
    <w:rsid w:val="00F27715"/>
    <w:rsid w:val="00F33332"/>
    <w:rsid w:val="00F51518"/>
    <w:rsid w:val="00F8013C"/>
    <w:rsid w:val="00FA31EF"/>
    <w:rsid w:val="00FD1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51C90"/>
  <w15:docId w15:val="{64AE8497-D5D5-416F-88E6-25A91FF9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033"/>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61033"/>
    <w:pPr>
      <w:spacing w:line="240" w:lineRule="atLeast"/>
      <w:jc w:val="both"/>
    </w:pPr>
    <w:rPr>
      <w:szCs w:val="20"/>
      <w:lang w:val="hu-HU"/>
    </w:rPr>
  </w:style>
  <w:style w:type="character" w:customStyle="1" w:styleId="FootnoteTextChar">
    <w:name w:val="Footnote Text Char"/>
    <w:basedOn w:val="DefaultParagraphFont"/>
    <w:link w:val="FootnoteText"/>
    <w:semiHidden/>
    <w:rsid w:val="00161033"/>
    <w:rPr>
      <w:rFonts w:ascii="Times New Roman" w:eastAsia="Times New Roman" w:hAnsi="Times New Roman" w:cs="Times New Roman"/>
      <w:sz w:val="24"/>
      <w:szCs w:val="20"/>
      <w:lang w:val="hu-HU" w:eastAsia="hr-HR"/>
    </w:rPr>
  </w:style>
  <w:style w:type="character" w:styleId="PageNumber">
    <w:name w:val="page number"/>
    <w:basedOn w:val="DefaultParagraphFont"/>
    <w:rsid w:val="00161033"/>
  </w:style>
  <w:style w:type="paragraph" w:styleId="Footer">
    <w:name w:val="footer"/>
    <w:basedOn w:val="Normal"/>
    <w:link w:val="FooterChar"/>
    <w:rsid w:val="00161033"/>
    <w:pPr>
      <w:tabs>
        <w:tab w:val="center" w:pos="4536"/>
        <w:tab w:val="right" w:pos="9072"/>
      </w:tabs>
    </w:pPr>
  </w:style>
  <w:style w:type="character" w:customStyle="1" w:styleId="FooterChar">
    <w:name w:val="Footer Char"/>
    <w:basedOn w:val="DefaultParagraphFont"/>
    <w:link w:val="Footer"/>
    <w:rsid w:val="00161033"/>
    <w:rPr>
      <w:rFonts w:ascii="Times New Roman" w:eastAsia="Times New Roman" w:hAnsi="Times New Roman" w:cs="Times New Roman"/>
      <w:sz w:val="24"/>
      <w:szCs w:val="24"/>
      <w:lang w:val="hr-HR" w:eastAsia="hr-HR"/>
    </w:rPr>
  </w:style>
  <w:style w:type="paragraph" w:customStyle="1" w:styleId="HeadCir">
    <w:name w:val="HeadCir"/>
    <w:basedOn w:val="Normal"/>
    <w:rsid w:val="00161033"/>
    <w:rPr>
      <w:rFonts w:ascii="TimesC DzComm" w:eastAsia="MS Mincho" w:hAnsi="TimesC DzComm" w:cs="TimesC DzComm"/>
      <w:lang w:val="en-US" w:eastAsia="en-US"/>
    </w:rPr>
  </w:style>
  <w:style w:type="paragraph" w:styleId="BalloonText">
    <w:name w:val="Balloon Text"/>
    <w:basedOn w:val="Normal"/>
    <w:link w:val="BalloonTextChar"/>
    <w:uiPriority w:val="99"/>
    <w:semiHidden/>
    <w:unhideWhenUsed/>
    <w:rsid w:val="00651A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AA0"/>
    <w:rPr>
      <w:rFonts w:ascii="Segoe UI" w:eastAsia="Times New Roman" w:hAnsi="Segoe UI" w:cs="Segoe UI"/>
      <w:sz w:val="18"/>
      <w:szCs w:val="18"/>
      <w:lang w:val="hr-HR" w:eastAsia="hr-HR"/>
    </w:rPr>
  </w:style>
  <w:style w:type="paragraph" w:customStyle="1" w:styleId="rvps1">
    <w:name w:val="rvps1"/>
    <w:basedOn w:val="Normal"/>
    <w:rsid w:val="00943EE7"/>
    <w:rPr>
      <w:lang w:val="en-US" w:eastAsia="en-US"/>
    </w:rPr>
  </w:style>
  <w:style w:type="character" w:styleId="CommentReference">
    <w:name w:val="annotation reference"/>
    <w:basedOn w:val="DefaultParagraphFont"/>
    <w:uiPriority w:val="99"/>
    <w:semiHidden/>
    <w:unhideWhenUsed/>
    <w:rsid w:val="00174E65"/>
    <w:rPr>
      <w:sz w:val="16"/>
      <w:szCs w:val="16"/>
    </w:rPr>
  </w:style>
  <w:style w:type="paragraph" w:styleId="CommentText">
    <w:name w:val="annotation text"/>
    <w:basedOn w:val="Normal"/>
    <w:link w:val="CommentTextChar"/>
    <w:uiPriority w:val="99"/>
    <w:semiHidden/>
    <w:unhideWhenUsed/>
    <w:rsid w:val="00174E65"/>
    <w:rPr>
      <w:sz w:val="20"/>
      <w:szCs w:val="20"/>
    </w:rPr>
  </w:style>
  <w:style w:type="character" w:customStyle="1" w:styleId="CommentTextChar">
    <w:name w:val="Comment Text Char"/>
    <w:basedOn w:val="DefaultParagraphFont"/>
    <w:link w:val="CommentText"/>
    <w:uiPriority w:val="99"/>
    <w:semiHidden/>
    <w:rsid w:val="00174E65"/>
    <w:rPr>
      <w:rFonts w:ascii="Times New Roman" w:eastAsia="Times New Roman" w:hAnsi="Times New Roman" w:cs="Times New Roman"/>
      <w:sz w:val="20"/>
      <w:szCs w:val="20"/>
      <w:lang w:val="hr-HR" w:eastAsia="hr-HR"/>
    </w:rPr>
  </w:style>
  <w:style w:type="paragraph" w:styleId="CommentSubject">
    <w:name w:val="annotation subject"/>
    <w:basedOn w:val="CommentText"/>
    <w:next w:val="CommentText"/>
    <w:link w:val="CommentSubjectChar"/>
    <w:uiPriority w:val="99"/>
    <w:semiHidden/>
    <w:unhideWhenUsed/>
    <w:rsid w:val="00174E65"/>
    <w:rPr>
      <w:b/>
      <w:bCs/>
    </w:rPr>
  </w:style>
  <w:style w:type="character" w:customStyle="1" w:styleId="CommentSubjectChar">
    <w:name w:val="Comment Subject Char"/>
    <w:basedOn w:val="CommentTextChar"/>
    <w:link w:val="CommentSubject"/>
    <w:uiPriority w:val="99"/>
    <w:semiHidden/>
    <w:rsid w:val="00174E65"/>
    <w:rPr>
      <w:rFonts w:ascii="Times New Roman" w:eastAsia="Times New Roman" w:hAnsi="Times New Roman" w:cs="Times New Roman"/>
      <w:b/>
      <w:bCs/>
      <w:sz w:val="20"/>
      <w:szCs w:val="20"/>
      <w:lang w:val="hr-HR" w:eastAsia="hr-HR"/>
    </w:rPr>
  </w:style>
  <w:style w:type="paragraph" w:customStyle="1" w:styleId="Style13">
    <w:name w:val="Style13"/>
    <w:basedOn w:val="Normal"/>
    <w:rsid w:val="00ED7CF6"/>
    <w:pPr>
      <w:widowControl w:val="0"/>
      <w:suppressAutoHyphens/>
      <w:autoSpaceDE w:val="0"/>
      <w:jc w:val="both"/>
    </w:pPr>
    <w:rPr>
      <w:rFonts w:ascii="Palatino Linotype" w:hAnsi="Palatino Linotype" w:cs="Palatino Linotype"/>
      <w:lang w:val="sr-Cyrl-CS" w:eastAsia="ar-SA"/>
    </w:rPr>
  </w:style>
  <w:style w:type="paragraph" w:styleId="BodyText">
    <w:name w:val="Body Text"/>
    <w:basedOn w:val="Normal"/>
    <w:link w:val="BodyTextChar"/>
    <w:rsid w:val="00F8013C"/>
    <w:pPr>
      <w:jc w:val="both"/>
    </w:pPr>
  </w:style>
  <w:style w:type="character" w:customStyle="1" w:styleId="BodyTextChar">
    <w:name w:val="Body Text Char"/>
    <w:basedOn w:val="DefaultParagraphFont"/>
    <w:link w:val="BodyText"/>
    <w:rsid w:val="00F8013C"/>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DB68A5"/>
    <w:pPr>
      <w:ind w:left="720"/>
    </w:pPr>
    <w:rPr>
      <w:rFonts w:ascii="Calibri" w:eastAsia="Calibri" w:hAnsi="Calibri" w:cs="Calibri"/>
      <w:sz w:val="22"/>
      <w:szCs w:val="22"/>
      <w:lang w:val="en-US" w:eastAsia="en-US"/>
    </w:rPr>
  </w:style>
  <w:style w:type="character" w:styleId="Strong">
    <w:name w:val="Strong"/>
    <w:uiPriority w:val="22"/>
    <w:qFormat/>
    <w:rsid w:val="00DB68A5"/>
    <w:rPr>
      <w:b/>
      <w:bCs/>
    </w:rPr>
  </w:style>
  <w:style w:type="character" w:customStyle="1" w:styleId="hps">
    <w:name w:val="hps"/>
    <w:rsid w:val="00086ECB"/>
  </w:style>
  <w:style w:type="paragraph" w:styleId="Header">
    <w:name w:val="header"/>
    <w:basedOn w:val="Normal"/>
    <w:link w:val="HeaderChar"/>
    <w:uiPriority w:val="99"/>
    <w:unhideWhenUsed/>
    <w:rsid w:val="00086ECB"/>
    <w:pPr>
      <w:tabs>
        <w:tab w:val="center" w:pos="4680"/>
        <w:tab w:val="right" w:pos="9360"/>
      </w:tabs>
    </w:pPr>
  </w:style>
  <w:style w:type="character" w:customStyle="1" w:styleId="HeaderChar">
    <w:name w:val="Header Char"/>
    <w:basedOn w:val="DefaultParagraphFont"/>
    <w:link w:val="Header"/>
    <w:uiPriority w:val="99"/>
    <w:rsid w:val="00086ECB"/>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853960">
      <w:bodyDiv w:val="1"/>
      <w:marLeft w:val="0"/>
      <w:marRight w:val="0"/>
      <w:marTop w:val="0"/>
      <w:marBottom w:val="0"/>
      <w:divBdr>
        <w:top w:val="none" w:sz="0" w:space="0" w:color="auto"/>
        <w:left w:val="none" w:sz="0" w:space="0" w:color="auto"/>
        <w:bottom w:val="none" w:sz="0" w:space="0" w:color="auto"/>
        <w:right w:val="none" w:sz="0" w:space="0" w:color="auto"/>
      </w:divBdr>
    </w:div>
    <w:div w:id="596980201">
      <w:bodyDiv w:val="1"/>
      <w:marLeft w:val="0"/>
      <w:marRight w:val="0"/>
      <w:marTop w:val="0"/>
      <w:marBottom w:val="0"/>
      <w:divBdr>
        <w:top w:val="none" w:sz="0" w:space="0" w:color="auto"/>
        <w:left w:val="none" w:sz="0" w:space="0" w:color="auto"/>
        <w:bottom w:val="none" w:sz="0" w:space="0" w:color="auto"/>
        <w:right w:val="none" w:sz="0" w:space="0" w:color="auto"/>
      </w:divBdr>
    </w:div>
    <w:div w:id="626352828">
      <w:bodyDiv w:val="1"/>
      <w:marLeft w:val="0"/>
      <w:marRight w:val="0"/>
      <w:marTop w:val="0"/>
      <w:marBottom w:val="0"/>
      <w:divBdr>
        <w:top w:val="none" w:sz="0" w:space="0" w:color="auto"/>
        <w:left w:val="none" w:sz="0" w:space="0" w:color="auto"/>
        <w:bottom w:val="none" w:sz="0" w:space="0" w:color="auto"/>
        <w:right w:val="none" w:sz="0" w:space="0" w:color="auto"/>
      </w:divBdr>
    </w:div>
    <w:div w:id="154563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1049</Words>
  <Characters>5981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Vojvodić</dc:creator>
  <cp:lastModifiedBy>Ivana Vojinović</cp:lastModifiedBy>
  <cp:revision>2</cp:revision>
  <cp:lastPrinted>2024-11-15T07:46:00Z</cp:lastPrinted>
  <dcterms:created xsi:type="dcterms:W3CDTF">2024-11-15T16:36:00Z</dcterms:created>
  <dcterms:modified xsi:type="dcterms:W3CDTF">2024-11-15T16:36:00Z</dcterms:modified>
</cp:coreProperties>
</file>