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A96B6A" w14:textId="762E1423" w:rsidR="0052069A" w:rsidRPr="003A4BC8" w:rsidRDefault="0052069A" w:rsidP="0052069A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bookmarkStart w:id="0" w:name="_GoBack"/>
      <w:bookmarkEnd w:id="0"/>
      <w:r w:rsidRPr="003A4BC8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О</w:t>
      </w:r>
      <w:r w:rsidR="003A4BC8" w:rsidRPr="003A4BC8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 w:rsidRPr="003A4BC8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Б</w:t>
      </w:r>
      <w:r w:rsidR="003A4BC8" w:rsidRPr="003A4BC8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 w:rsidRPr="003A4BC8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Р</w:t>
      </w:r>
      <w:r w:rsidR="003A4BC8" w:rsidRPr="003A4BC8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 w:rsidRPr="003A4BC8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</w:t>
      </w:r>
      <w:r w:rsidR="003A4BC8" w:rsidRPr="003A4BC8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 w:rsidRPr="003A4BC8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З</w:t>
      </w:r>
      <w:r w:rsidR="003A4BC8" w:rsidRPr="003A4BC8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 w:rsidRPr="003A4BC8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Л</w:t>
      </w:r>
      <w:r w:rsidR="003A4BC8" w:rsidRPr="003A4BC8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 w:rsidRPr="003A4BC8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О</w:t>
      </w:r>
      <w:r w:rsidR="003A4BC8" w:rsidRPr="003A4BC8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 w:rsidRPr="003A4BC8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Ж</w:t>
      </w:r>
      <w:r w:rsidR="003A4BC8" w:rsidRPr="003A4BC8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 w:rsidRPr="003A4BC8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Е</w:t>
      </w:r>
      <w:r w:rsidR="003A4BC8" w:rsidRPr="003A4BC8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 w:rsidRPr="003A4BC8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Њ</w:t>
      </w:r>
      <w:r w:rsidR="003A4BC8" w:rsidRPr="003A4BC8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 w:rsidRPr="003A4BC8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Е</w:t>
      </w:r>
    </w:p>
    <w:p w14:paraId="228AA9BC" w14:textId="77777777" w:rsidR="0052069A" w:rsidRPr="003A4BC8" w:rsidRDefault="0052069A" w:rsidP="0052069A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14:paraId="3C9E5E40" w14:textId="77777777" w:rsidR="0052069A" w:rsidRPr="003A4BC8" w:rsidRDefault="0052069A" w:rsidP="0052069A">
      <w:pPr>
        <w:spacing w:after="0" w:line="276" w:lineRule="auto"/>
        <w:ind w:firstLine="1440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3A4BC8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I.</w:t>
      </w:r>
      <w:r w:rsidRPr="003A4BC8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ПРАВНИ ОСНОВ</w:t>
      </w:r>
    </w:p>
    <w:p w14:paraId="6A686BEC" w14:textId="3090E6B0" w:rsidR="000171A1" w:rsidRDefault="000171A1" w:rsidP="001C7E7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E285206" w14:textId="2A4F787A" w:rsidR="001C7E72" w:rsidRPr="001C7E72" w:rsidRDefault="000171A1" w:rsidP="00CD46E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171A1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</w:t>
      </w:r>
      <w:r w:rsidR="009D58B8" w:rsidRPr="00CD46EC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323B2C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9D58B8">
        <w:rPr>
          <w:rFonts w:ascii="Times New Roman" w:hAnsi="Times New Roman" w:cs="Times New Roman"/>
          <w:sz w:val="24"/>
          <w:szCs w:val="24"/>
          <w:lang w:val="sr-Cyrl-CS"/>
        </w:rPr>
        <w:t xml:space="preserve"> став 2 </w:t>
      </w:r>
      <w:r w:rsidR="00323B2C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0171A1">
        <w:rPr>
          <w:rFonts w:ascii="Times New Roman" w:hAnsi="Times New Roman" w:cs="Times New Roman"/>
          <w:sz w:val="24"/>
          <w:szCs w:val="24"/>
          <w:lang w:val="sr-Cyrl-CS"/>
        </w:rPr>
        <w:t xml:space="preserve"> Закона о енергетици </w:t>
      </w:r>
      <w:r w:rsidR="005A3B3E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323B2C" w:rsidRPr="000171A1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9D58B8" w:rsidRPr="009D58B8"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</w:t>
      </w:r>
      <w:r w:rsidR="00323B2C" w:rsidRPr="00FD30BD">
        <w:rPr>
          <w:rFonts w:ascii="Times New Roman" w:hAnsi="Times New Roman" w:cs="Times New Roman"/>
          <w:sz w:val="24"/>
          <w:szCs w:val="24"/>
          <w:lang w:val="sr-Cyrl-RS"/>
        </w:rPr>
        <w:t>ˮ</w:t>
      </w:r>
      <w:r w:rsidR="00323B2C">
        <w:rPr>
          <w:rFonts w:ascii="Times New Roman" w:hAnsi="Times New Roman" w:cs="Times New Roman"/>
          <w:sz w:val="24"/>
          <w:szCs w:val="24"/>
          <w:lang w:val="sr-Cyrl-CS"/>
        </w:rPr>
        <w:t>, бр. 145/14, 95/18 - др. закон, 40/21, 35/</w:t>
      </w:r>
      <w:r w:rsidR="009D58B8" w:rsidRPr="009D58B8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964E31">
        <w:rPr>
          <w:rFonts w:ascii="Times New Roman" w:hAnsi="Times New Roman" w:cs="Times New Roman"/>
          <w:sz w:val="24"/>
          <w:szCs w:val="24"/>
          <w:lang w:val="sr-Cyrl-CS"/>
        </w:rPr>
        <w:t>3 - др. з</w:t>
      </w:r>
      <w:r w:rsidR="00323B2C">
        <w:rPr>
          <w:rFonts w:ascii="Times New Roman" w:hAnsi="Times New Roman" w:cs="Times New Roman"/>
          <w:sz w:val="24"/>
          <w:szCs w:val="24"/>
          <w:lang w:val="sr-Cyrl-CS"/>
        </w:rPr>
        <w:t>акон и 62/23),</w:t>
      </w:r>
      <w:r w:rsidR="0078649B">
        <w:rPr>
          <w:rFonts w:ascii="Times New Roman" w:hAnsi="Times New Roman" w:cs="Times New Roman"/>
          <w:sz w:val="24"/>
          <w:szCs w:val="24"/>
          <w:lang w:val="sr-Cyrl-CS"/>
        </w:rPr>
        <w:t xml:space="preserve"> члана</w:t>
      </w:r>
      <w:r w:rsidR="00323B2C">
        <w:rPr>
          <w:rFonts w:ascii="Times New Roman" w:hAnsi="Times New Roman" w:cs="Times New Roman"/>
          <w:sz w:val="24"/>
          <w:szCs w:val="24"/>
          <w:lang w:val="sr-Cyrl-CS"/>
        </w:rPr>
        <w:t xml:space="preserve"> 4. </w:t>
      </w:r>
      <w:r w:rsidR="009D58B8">
        <w:rPr>
          <w:rFonts w:ascii="Times New Roman" w:hAnsi="Times New Roman" w:cs="Times New Roman"/>
          <w:sz w:val="24"/>
          <w:szCs w:val="24"/>
          <w:lang w:val="sr-Cyrl-CS"/>
        </w:rPr>
        <w:t>став 3</w:t>
      </w:r>
      <w:r w:rsidR="00323B2C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9D58B8">
        <w:rPr>
          <w:rFonts w:ascii="Times New Roman" w:hAnsi="Times New Roman" w:cs="Times New Roman"/>
          <w:sz w:val="24"/>
          <w:szCs w:val="24"/>
          <w:lang w:val="sr-Cyrl-CS"/>
        </w:rPr>
        <w:t xml:space="preserve"> Закона о енергетици </w:t>
      </w:r>
      <w:r w:rsidRPr="000171A1">
        <w:rPr>
          <w:rFonts w:ascii="Times New Roman" w:hAnsi="Times New Roman" w:cs="Times New Roman"/>
          <w:sz w:val="24"/>
          <w:szCs w:val="24"/>
          <w:lang w:val="sr-Cyrl-CS"/>
        </w:rPr>
        <w:t xml:space="preserve"> и члана </w:t>
      </w:r>
      <w:r w:rsidR="009D58B8">
        <w:rPr>
          <w:rFonts w:ascii="Times New Roman" w:hAnsi="Times New Roman" w:cs="Times New Roman"/>
          <w:sz w:val="24"/>
          <w:szCs w:val="24"/>
          <w:lang w:val="sr-Cyrl-CS"/>
        </w:rPr>
        <w:t>34</w:t>
      </w:r>
      <w:r w:rsidR="0078649B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CD48D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171A1">
        <w:rPr>
          <w:rFonts w:ascii="Times New Roman" w:hAnsi="Times New Roman" w:cs="Times New Roman"/>
          <w:sz w:val="24"/>
          <w:szCs w:val="24"/>
          <w:lang w:val="sr-Cyrl-CS"/>
        </w:rPr>
        <w:t xml:space="preserve">Закона о Влади </w:t>
      </w:r>
      <w:r w:rsidR="0078649B" w:rsidRPr="0078649B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55/05, 71/05 – исправка, 101/07, 65/08, 16/11, 68/12 – УС, 72/12, 7/14 – УС, 44/14 и 30/18 – др. закон), </w:t>
      </w:r>
      <w:r w:rsidR="001C7E72">
        <w:rPr>
          <w:rFonts w:ascii="Times New Roman" w:hAnsi="Times New Roman" w:cs="Times New Roman"/>
          <w:sz w:val="24"/>
          <w:szCs w:val="24"/>
          <w:lang w:val="sr-Cyrl-CS"/>
        </w:rPr>
        <w:t xml:space="preserve">којим је прописано да Влада </w:t>
      </w:r>
      <w:r w:rsidR="009D58B8">
        <w:rPr>
          <w:rFonts w:ascii="Times New Roman" w:hAnsi="Times New Roman" w:cs="Times New Roman"/>
          <w:sz w:val="24"/>
          <w:szCs w:val="24"/>
          <w:lang w:val="sr-Cyrl-CS"/>
        </w:rPr>
        <w:t>предлаже законе и друге опште акте Народној Скупштини.</w:t>
      </w:r>
      <w:r w:rsidR="001C7E7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249427CF" w14:textId="77777777" w:rsidR="0052069A" w:rsidRPr="00AD73F8" w:rsidRDefault="0052069A" w:rsidP="005206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62C7E47F" w14:textId="2E2584E0" w:rsidR="0052069A" w:rsidRPr="003A4BC8" w:rsidRDefault="0052069A" w:rsidP="0052069A">
      <w:pPr>
        <w:spacing w:after="0" w:line="276" w:lineRule="auto"/>
        <w:ind w:firstLine="1440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3A4BC8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II.</w:t>
      </w:r>
      <w:r w:rsidRPr="003A4BC8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РАЗЛОЗИ ЗА ДОНОШЕЊЕ </w:t>
      </w:r>
      <w:r w:rsidR="009D58B8" w:rsidRPr="003A4BC8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СТРАТЕГИЈЕ</w:t>
      </w:r>
    </w:p>
    <w:p w14:paraId="2995D419" w14:textId="77777777" w:rsidR="0052069A" w:rsidRPr="00AD73F8" w:rsidRDefault="0052069A" w:rsidP="0052069A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4E76F46" w14:textId="6551E480" w:rsidR="005B3D1E" w:rsidRPr="00EC7ECD" w:rsidRDefault="00472FD9" w:rsidP="003A4BC8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1" w:name="_Hlk179528093"/>
      <w:r w:rsidRPr="00225848">
        <w:rPr>
          <w:rFonts w:ascii="Times New Roman" w:hAnsi="Times New Roman" w:cs="Times New Roman"/>
          <w:sz w:val="24"/>
          <w:szCs w:val="24"/>
          <w:lang w:val="sr-Cyrl-CS"/>
        </w:rPr>
        <w:t>Услови који су важили 2015. године, у време када је усвојена Стратегија развоја енергетике до 2025. са пројекцијама до 2030. године</w:t>
      </w:r>
      <w:r w:rsidR="00323B2C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 w:rsidR="00323B2C" w:rsidRPr="000171A1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323B2C" w:rsidRPr="009D58B8"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</w:t>
      </w:r>
      <w:r w:rsidR="00323B2C" w:rsidRPr="00FD30BD">
        <w:rPr>
          <w:rFonts w:ascii="Times New Roman" w:hAnsi="Times New Roman" w:cs="Times New Roman"/>
          <w:sz w:val="24"/>
          <w:szCs w:val="24"/>
          <w:lang w:val="sr-Cyrl-RS"/>
        </w:rPr>
        <w:t>ˮ</w:t>
      </w:r>
      <w:r w:rsidR="00323B2C">
        <w:rPr>
          <w:rFonts w:ascii="Times New Roman" w:hAnsi="Times New Roman" w:cs="Times New Roman"/>
          <w:sz w:val="24"/>
          <w:szCs w:val="24"/>
          <w:lang w:val="sr-Cyrl-CS"/>
        </w:rPr>
        <w:t>, број 101/</w:t>
      </w:r>
      <w:r w:rsidR="003A4BC8" w:rsidRPr="00407D13">
        <w:rPr>
          <w:rFonts w:ascii="Times New Roman" w:hAnsi="Times New Roman" w:cs="Times New Roman"/>
          <w:sz w:val="24"/>
          <w:szCs w:val="24"/>
          <w:lang w:val="sr-Cyrl-CS"/>
        </w:rPr>
        <w:t>15)</w:t>
      </w:r>
      <w:r w:rsidRPr="00225848">
        <w:rPr>
          <w:rFonts w:ascii="Times New Roman" w:hAnsi="Times New Roman" w:cs="Times New Roman"/>
          <w:sz w:val="24"/>
          <w:szCs w:val="24"/>
          <w:lang w:val="sr-Cyrl-CS"/>
        </w:rPr>
        <w:t>, у великој мери су измењени.</w:t>
      </w:r>
      <w:r w:rsidR="005B3D1E" w:rsidRPr="005B3D1E">
        <w:rPr>
          <w:rFonts w:ascii="Times New Roman" w:hAnsi="Times New Roman" w:cs="Times New Roman"/>
          <w:noProof/>
          <w:color w:val="0D0D0D" w:themeColor="text1" w:themeTint="F2"/>
          <w:sz w:val="24"/>
          <w:szCs w:val="24"/>
          <w:lang w:val="sr-Cyrl-CS" w:eastAsia="sr-Latn-RS"/>
        </w:rPr>
        <w:t xml:space="preserve"> </w:t>
      </w:r>
      <w:r w:rsidR="005B3D1E" w:rsidRPr="00EC7ECD">
        <w:rPr>
          <w:rFonts w:ascii="Times New Roman" w:hAnsi="Times New Roman" w:cs="Times New Roman"/>
          <w:noProof/>
          <w:color w:val="0D0D0D" w:themeColor="text1" w:themeTint="F2"/>
          <w:sz w:val="24"/>
          <w:szCs w:val="24"/>
          <w:lang w:val="sr-Cyrl-CS" w:eastAsia="sr-Latn-RS"/>
        </w:rPr>
        <w:t>Европска комисија је у међувремену донела нов</w:t>
      </w:r>
      <w:r w:rsidR="005B3D1E">
        <w:rPr>
          <w:rFonts w:ascii="Times New Roman" w:hAnsi="Times New Roman" w:cs="Times New Roman"/>
          <w:noProof/>
          <w:color w:val="0D0D0D" w:themeColor="text1" w:themeTint="F2"/>
          <w:sz w:val="24"/>
          <w:szCs w:val="24"/>
          <w:lang w:val="sr-Cyrl-CS" w:eastAsia="sr-Latn-RS"/>
        </w:rPr>
        <w:t xml:space="preserve">е </w:t>
      </w:r>
      <w:r w:rsidR="005B3D1E" w:rsidRPr="00EC7ECD">
        <w:rPr>
          <w:rFonts w:ascii="Times New Roman" w:hAnsi="Times New Roman" w:cs="Times New Roman"/>
          <w:noProof/>
          <w:color w:val="0D0D0D" w:themeColor="text1" w:themeTint="F2"/>
          <w:sz w:val="24"/>
          <w:szCs w:val="24"/>
          <w:lang w:val="sr-Cyrl-CS" w:eastAsia="sr-Latn-RS"/>
        </w:rPr>
        <w:t>мер</w:t>
      </w:r>
      <w:r w:rsidR="005B3D1E">
        <w:rPr>
          <w:rFonts w:ascii="Times New Roman" w:hAnsi="Times New Roman" w:cs="Times New Roman"/>
          <w:noProof/>
          <w:color w:val="0D0D0D" w:themeColor="text1" w:themeTint="F2"/>
          <w:sz w:val="24"/>
          <w:szCs w:val="24"/>
          <w:lang w:val="sr-Cyrl-CS" w:eastAsia="sr-Latn-RS"/>
        </w:rPr>
        <w:t>е</w:t>
      </w:r>
      <w:r w:rsidR="005B3D1E" w:rsidRPr="00EC7ECD">
        <w:rPr>
          <w:rFonts w:ascii="Times New Roman" w:hAnsi="Times New Roman" w:cs="Times New Roman"/>
          <w:noProof/>
          <w:color w:val="0D0D0D" w:themeColor="text1" w:themeTint="F2"/>
          <w:sz w:val="24"/>
          <w:szCs w:val="24"/>
          <w:lang w:val="sr-Cyrl-CS" w:eastAsia="sr-Latn-RS"/>
        </w:rPr>
        <w:t xml:space="preserve"> за достизање климатске неутралности у 2050. години</w:t>
      </w:r>
      <w:bookmarkEnd w:id="1"/>
      <w:r w:rsidR="005B3D1E">
        <w:rPr>
          <w:rFonts w:ascii="Times New Roman" w:hAnsi="Times New Roman" w:cs="Times New Roman"/>
          <w:noProof/>
          <w:color w:val="0D0D0D" w:themeColor="text1" w:themeTint="F2"/>
          <w:sz w:val="24"/>
          <w:szCs w:val="24"/>
          <w:lang w:val="sr-Cyrl-CS" w:eastAsia="sr-Latn-RS"/>
        </w:rPr>
        <w:t>, а Савет ЕУ је усвојио више циљеве за зелену енергију и енергетску ефикасност у оквиру новог пакета а то</w:t>
      </w:r>
      <w:r w:rsidR="005B3D1E" w:rsidRPr="00EC7ECD">
        <w:rPr>
          <w:rFonts w:ascii="Times New Roman" w:hAnsi="Times New Roman" w:cs="Times New Roman"/>
          <w:sz w:val="24"/>
          <w:szCs w:val="24"/>
          <w:lang w:val="sr-Cyrl-RS"/>
        </w:rPr>
        <w:t xml:space="preserve"> су:</w:t>
      </w:r>
    </w:p>
    <w:p w14:paraId="0DA4990A" w14:textId="77777777" w:rsidR="005B3D1E" w:rsidRPr="00EC7ECD" w:rsidRDefault="005B3D1E" w:rsidP="005B3D1E">
      <w:pPr>
        <w:pStyle w:val="P68B1DB1-Normal4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C7ECD">
        <w:rPr>
          <w:rFonts w:ascii="Times New Roman" w:hAnsi="Times New Roman" w:cs="Times New Roman"/>
          <w:b/>
          <w:sz w:val="24"/>
          <w:szCs w:val="24"/>
          <w:lang w:val="sr-Cyrl-RS"/>
        </w:rPr>
        <w:t>Нето емисије гасова с ефектом стаклене баште ће бити умањене за најмање 55%</w:t>
      </w:r>
      <w:r w:rsidRPr="00EC7ECD">
        <w:rPr>
          <w:rFonts w:ascii="Times New Roman" w:hAnsi="Times New Roman" w:cs="Times New Roman"/>
          <w:sz w:val="24"/>
          <w:szCs w:val="24"/>
          <w:lang w:val="sr-Cyrl-RS"/>
        </w:rPr>
        <w:t xml:space="preserve"> до 2030. године у поређењу са нивоима из 1990. године. </w:t>
      </w:r>
    </w:p>
    <w:p w14:paraId="7E8FC87B" w14:textId="77777777" w:rsidR="005B3D1E" w:rsidRPr="00EC7ECD" w:rsidRDefault="005B3D1E" w:rsidP="005B3D1E">
      <w:pPr>
        <w:pStyle w:val="P68B1DB1-Normal4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C7ECD">
        <w:rPr>
          <w:rFonts w:ascii="Times New Roman" w:hAnsi="Times New Roman" w:cs="Times New Roman"/>
          <w:sz w:val="24"/>
          <w:szCs w:val="24"/>
          <w:lang w:val="sr-Cyrl-RS"/>
        </w:rPr>
        <w:t xml:space="preserve">Директива о енергији из обновљивих извора поставиће </w:t>
      </w:r>
      <w:r w:rsidRPr="00EC7ECD">
        <w:rPr>
          <w:rFonts w:ascii="Times New Roman" w:hAnsi="Times New Roman" w:cs="Times New Roman"/>
          <w:b/>
          <w:sz w:val="24"/>
          <w:szCs w:val="24"/>
          <w:lang w:val="sr-Cyrl-RS"/>
        </w:rPr>
        <w:t>повећани циљ за добијање 40% енергије из обновљивих извора</w:t>
      </w:r>
      <w:r w:rsidRPr="00EC7ECD">
        <w:rPr>
          <w:rFonts w:ascii="Times New Roman" w:hAnsi="Times New Roman" w:cs="Times New Roman"/>
          <w:sz w:val="24"/>
          <w:szCs w:val="24"/>
          <w:lang w:val="sr-Cyrl-RS"/>
        </w:rPr>
        <w:t xml:space="preserve"> до 2030. године. </w:t>
      </w:r>
    </w:p>
    <w:p w14:paraId="6D0B0B32" w14:textId="77777777" w:rsidR="005B3D1E" w:rsidRPr="00EC7ECD" w:rsidRDefault="005B3D1E" w:rsidP="005B3D1E">
      <w:pPr>
        <w:pStyle w:val="P68B1DB1-Normal4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C7ECD">
        <w:rPr>
          <w:rFonts w:ascii="Times New Roman" w:hAnsi="Times New Roman" w:cs="Times New Roman"/>
          <w:sz w:val="24"/>
          <w:szCs w:val="24"/>
          <w:lang w:val="sr-Cyrl-RS"/>
        </w:rPr>
        <w:t xml:space="preserve">Директива о енергетској ефикасности ће дефинисати </w:t>
      </w:r>
      <w:r w:rsidRPr="00EC7ECD">
        <w:rPr>
          <w:rFonts w:ascii="Times New Roman" w:hAnsi="Times New Roman" w:cs="Times New Roman"/>
          <w:b/>
          <w:sz w:val="24"/>
          <w:szCs w:val="24"/>
          <w:lang w:val="sr-Cyrl-RS"/>
        </w:rPr>
        <w:t>амбициознији обавезујући годишњи циљ за смањење употребе енергије</w:t>
      </w:r>
      <w:r w:rsidRPr="00EC7ECD">
        <w:rPr>
          <w:rFonts w:ascii="Times New Roman" w:hAnsi="Times New Roman" w:cs="Times New Roman"/>
          <w:sz w:val="24"/>
          <w:szCs w:val="24"/>
          <w:lang w:val="sr-Cyrl-RS"/>
        </w:rPr>
        <w:t xml:space="preserve"> на нивоу ЕУ, односно 1,5% годишње уштеде финалне енергије у периоду 2024-2030. </w:t>
      </w:r>
    </w:p>
    <w:p w14:paraId="5BB96863" w14:textId="77777777" w:rsidR="005B3D1E" w:rsidRPr="00EC7ECD" w:rsidRDefault="005B3D1E" w:rsidP="005B3D1E">
      <w:pPr>
        <w:pStyle w:val="P68B1DB1-Normal4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C7ECD">
        <w:rPr>
          <w:rFonts w:ascii="Times New Roman" w:hAnsi="Times New Roman" w:cs="Times New Roman"/>
          <w:sz w:val="24"/>
          <w:szCs w:val="24"/>
          <w:lang w:val="sr-Cyrl-RS"/>
        </w:rPr>
        <w:t xml:space="preserve">Уредба о подели напора додељује </w:t>
      </w:r>
      <w:r w:rsidRPr="00EC7ECD">
        <w:rPr>
          <w:rFonts w:ascii="Times New Roman" w:hAnsi="Times New Roman" w:cs="Times New Roman"/>
          <w:b/>
          <w:sz w:val="24"/>
          <w:szCs w:val="24"/>
          <w:lang w:val="sr-Cyrl-RS"/>
        </w:rPr>
        <w:t>унапређене циљеве за смањење емисија</w:t>
      </w:r>
      <w:r w:rsidRPr="00EC7ECD">
        <w:rPr>
          <w:rFonts w:ascii="Times New Roman" w:hAnsi="Times New Roman" w:cs="Times New Roman"/>
          <w:sz w:val="24"/>
          <w:szCs w:val="24"/>
          <w:lang w:val="sr-Cyrl-RS"/>
        </w:rPr>
        <w:t xml:space="preserve"> свакој држави чланици </w:t>
      </w:r>
      <w:r w:rsidRPr="00EC7ECD">
        <w:rPr>
          <w:rFonts w:ascii="Times New Roman" w:hAnsi="Times New Roman" w:cs="Times New Roman"/>
          <w:b/>
          <w:sz w:val="24"/>
          <w:szCs w:val="24"/>
          <w:lang w:val="sr-Cyrl-RS"/>
        </w:rPr>
        <w:t>за зграде, друмски и домаћи поморски саобраћај, пољопривреду, отпад и мале индустрије</w:t>
      </w:r>
      <w:r w:rsidRPr="00EC7ECD">
        <w:rPr>
          <w:rFonts w:ascii="Times New Roman" w:hAnsi="Times New Roman" w:cs="Times New Roman"/>
          <w:sz w:val="24"/>
          <w:szCs w:val="24"/>
          <w:lang w:val="sr-Cyrl-RS"/>
        </w:rPr>
        <w:t>. Предлог је најмање 40% смањења у 2030. години у поређењу са нивоима из 2005. године..</w:t>
      </w:r>
    </w:p>
    <w:p w14:paraId="72E6751B" w14:textId="77777777" w:rsidR="005B3D1E" w:rsidRPr="00EC7ECD" w:rsidRDefault="005B3D1E" w:rsidP="005B3D1E">
      <w:pPr>
        <w:pStyle w:val="P68B1DB1-Normal4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C7ECD">
        <w:rPr>
          <w:rFonts w:ascii="Times New Roman" w:hAnsi="Times New Roman" w:cs="Times New Roman"/>
          <w:sz w:val="24"/>
          <w:szCs w:val="24"/>
          <w:lang w:val="sr-Cyrl-RS"/>
        </w:rPr>
        <w:t>Увођење ригорознијих стандарда емисија CO</w:t>
      </w:r>
      <w:r w:rsidRPr="00EC7ECD">
        <w:rPr>
          <w:rFonts w:ascii="Times New Roman" w:hAnsi="Times New Roman" w:cs="Times New Roman"/>
          <w:sz w:val="24"/>
          <w:szCs w:val="24"/>
          <w:vertAlign w:val="subscript"/>
          <w:lang w:val="sr-Cyrl-RS"/>
        </w:rPr>
        <w:t>2</w:t>
      </w:r>
      <w:r w:rsidRPr="00EC7ECD">
        <w:rPr>
          <w:rFonts w:ascii="Times New Roman" w:hAnsi="Times New Roman" w:cs="Times New Roman"/>
          <w:sz w:val="24"/>
          <w:szCs w:val="24"/>
          <w:lang w:val="sr-Cyrl-RS"/>
        </w:rPr>
        <w:t xml:space="preserve"> за аутомобиле и комбије убрзаће транзицију ка мобилности с нултом емисијом </w:t>
      </w:r>
      <w:r w:rsidRPr="00EC7ECD">
        <w:rPr>
          <w:rFonts w:ascii="Times New Roman" w:hAnsi="Times New Roman" w:cs="Times New Roman"/>
          <w:b/>
          <w:sz w:val="24"/>
          <w:szCs w:val="24"/>
          <w:lang w:val="sr-Cyrl-RS"/>
        </w:rPr>
        <w:t>захтевом да се просечне емисије из нових аутомобила смање за 55% од 2030. године и 100% од 2035. године</w:t>
      </w:r>
      <w:r w:rsidRPr="00EC7ECD">
        <w:rPr>
          <w:rFonts w:ascii="Times New Roman" w:hAnsi="Times New Roman" w:cs="Times New Roman"/>
          <w:sz w:val="24"/>
          <w:szCs w:val="24"/>
          <w:lang w:val="sr-Cyrl-RS"/>
        </w:rPr>
        <w:t xml:space="preserve"> у поређењу с нивоима из 2021. године.</w:t>
      </w:r>
    </w:p>
    <w:p w14:paraId="0120F774" w14:textId="1C6CA66F" w:rsidR="00407D13" w:rsidRDefault="005B3D1E" w:rsidP="003A4BC8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Европска Унија је донела регулативу 1999/2018 којом се дефинише обавеза израде Интегрисаних националних енергетских и климатских планова за сваку земљу чланицу Европске Уније. Овим документима дефинишу се национални циљеви земаља чланица Европске Уније за 2030.</w:t>
      </w:r>
      <w:r w:rsidR="00964E31">
        <w:rPr>
          <w:rFonts w:ascii="Times New Roman" w:hAnsi="Times New Roman" w:cs="Times New Roman"/>
          <w:sz w:val="24"/>
          <w:szCs w:val="24"/>
          <w:lang w:val="sr-Cyrl-CS"/>
        </w:rPr>
        <w:t xml:space="preserve"> годину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Сагласно томе у оквиру Енергетске заједнице донета је Одлука Министарског савета </w:t>
      </w:r>
      <w:r w:rsidRPr="003814C3">
        <w:rPr>
          <w:rFonts w:ascii="Times New Roman" w:hAnsi="Times New Roman" w:cs="Times New Roman"/>
          <w:sz w:val="24"/>
          <w:szCs w:val="24"/>
          <w:lang w:val="sr-Cyrl-CS"/>
        </w:rPr>
        <w:t>D/2021/14/MC-EnC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којом је усвојена адаптирана регулатива 2018/1999 и прописана обавеза израде наведених планова и за потписнице уговора о Енергетској заједници. </w:t>
      </w:r>
    </w:p>
    <w:p w14:paraId="2B64E146" w14:textId="77777777" w:rsidR="00407D13" w:rsidRDefault="00407D13" w:rsidP="003A4BC8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07D13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Осим тога </w:t>
      </w:r>
      <w:bookmarkStart w:id="2" w:name="_Hlk179528438"/>
      <w:r w:rsidRPr="00407D13">
        <w:rPr>
          <w:rFonts w:ascii="Times New Roman" w:hAnsi="Times New Roman" w:cs="Times New Roman"/>
          <w:sz w:val="24"/>
          <w:szCs w:val="24"/>
          <w:lang w:val="sr-Cyrl-CS"/>
        </w:rPr>
        <w:t xml:space="preserve">Република Србија је потписала </w:t>
      </w:r>
      <w:r w:rsidRPr="00407D13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Споразум из Париза који је ратификован у Народној скупштини Законом о потврђивању Споразума из Париза </w:t>
      </w:r>
      <w:bookmarkStart w:id="3" w:name="_Hlk129383645"/>
      <w:r w:rsidRPr="00407D13">
        <w:rPr>
          <w:rFonts w:ascii="Times New Roman" w:eastAsia="Calibri" w:hAnsi="Times New Roman" w:cs="Times New Roman"/>
          <w:sz w:val="24"/>
          <w:szCs w:val="24"/>
          <w:lang w:val="sr-Cyrl-CS"/>
        </w:rPr>
        <w:t>(„Службени гласник РС- Међународни уговори“, број 4/17)</w:t>
      </w:r>
      <w:r w:rsidRPr="00407D1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као и </w:t>
      </w:r>
      <w:bookmarkEnd w:id="3"/>
      <w:r w:rsidRPr="00407D13">
        <w:rPr>
          <w:rFonts w:ascii="Times New Roman" w:hAnsi="Times New Roman" w:cs="Times New Roman"/>
          <w:sz w:val="24"/>
          <w:szCs w:val="24"/>
          <w:lang w:val="sr-Cyrl-CS"/>
        </w:rPr>
        <w:t>Декларациј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407D13">
        <w:rPr>
          <w:rFonts w:ascii="Times New Roman" w:hAnsi="Times New Roman" w:cs="Times New Roman"/>
          <w:sz w:val="24"/>
          <w:szCs w:val="24"/>
          <w:lang w:val="sr-Cyrl-CS"/>
        </w:rPr>
        <w:t xml:space="preserve"> из Софије о Зеленој Агенди за Западни Балкан </w:t>
      </w:r>
      <w:r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Pr="00407D13">
        <w:rPr>
          <w:rFonts w:ascii="Times New Roman" w:hAnsi="Times New Roman" w:cs="Times New Roman"/>
          <w:sz w:val="24"/>
          <w:szCs w:val="24"/>
          <w:lang w:val="sr-Cyrl-CS"/>
        </w:rPr>
        <w:t>потписан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Pr="00407D13">
        <w:rPr>
          <w:rFonts w:ascii="Times New Roman" w:hAnsi="Times New Roman" w:cs="Times New Roman"/>
          <w:sz w:val="24"/>
          <w:szCs w:val="24"/>
          <w:lang w:val="sr-Cyrl-CS"/>
        </w:rPr>
        <w:t>10.  новембра 2020. године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). </w:t>
      </w:r>
    </w:p>
    <w:bookmarkEnd w:id="2"/>
    <w:p w14:paraId="69C261EC" w14:textId="3ED51EF1" w:rsidR="00407D13" w:rsidRPr="00225848" w:rsidRDefault="00407D13" w:rsidP="00407D13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Стратегија развоја енергетике Републике Србије до 2025.године са пројекцијама до 2030.године дефинише циљеве енергетске политике у области обновљивих извора енергије и енергетске ефикасности  за 2020.</w:t>
      </w:r>
      <w:r w:rsidR="00964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годину и не узима у обзир аспект климатских промена. </w:t>
      </w:r>
    </w:p>
    <w:p w14:paraId="4E435638" w14:textId="65375569" w:rsidR="00407D13" w:rsidRPr="00225848" w:rsidRDefault="00407D13" w:rsidP="00407D13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Имајући у виду претходно наведено </w:t>
      </w:r>
      <w:r w:rsidR="003A4BC8">
        <w:rPr>
          <w:rFonts w:ascii="Times New Roman" w:hAnsi="Times New Roman" w:cs="Times New Roman"/>
          <w:sz w:val="24"/>
          <w:szCs w:val="24"/>
          <w:lang w:val="sr-Cyrl-CS"/>
        </w:rPr>
        <w:t>неопходно је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дефинисање циљева за 2030. годину и дефинисање процеса енергетске транзиције</w:t>
      </w:r>
      <w:r w:rsidR="003A4BC8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407D1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25848">
        <w:rPr>
          <w:rFonts w:ascii="Times New Roman" w:hAnsi="Times New Roman" w:cs="Times New Roman"/>
          <w:sz w:val="24"/>
          <w:szCs w:val="24"/>
          <w:lang w:val="sr-Cyrl-CS"/>
        </w:rPr>
        <w:t xml:space="preserve">Оквир за енергетску транзицију у Србији произилази из Париског споразума, Уговора о </w:t>
      </w:r>
      <w:r w:rsidR="003A4BC8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225848">
        <w:rPr>
          <w:rFonts w:ascii="Times New Roman" w:hAnsi="Times New Roman" w:cs="Times New Roman"/>
          <w:sz w:val="24"/>
          <w:szCs w:val="24"/>
          <w:lang w:val="sr-Cyrl-CS"/>
        </w:rPr>
        <w:t>нергетској заједници и обавеза које се преузимају у процесу интеграције у Европску унију. Србија улази у сложени процес прилагођавања правног и регулаторног оквира енергетској транзицији.</w:t>
      </w:r>
    </w:p>
    <w:p w14:paraId="084F8447" w14:textId="77777777" w:rsidR="00407D13" w:rsidRPr="00225848" w:rsidRDefault="00407D13" w:rsidP="00407D13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25848">
        <w:rPr>
          <w:rFonts w:ascii="Times New Roman" w:hAnsi="Times New Roman" w:cs="Times New Roman"/>
          <w:sz w:val="24"/>
          <w:szCs w:val="24"/>
          <w:lang w:val="sr-Cyrl-CS"/>
        </w:rPr>
        <w:t>Кључни фактор који дефинише комплексност позиције Србије у енергетској транзицији је висок удео угља у енергетском билансу. Око 50% примарне енергије и две трећине електричне енергије у Србији потиче из угља.</w:t>
      </w:r>
    </w:p>
    <w:p w14:paraId="6D925AC7" w14:textId="77777777" w:rsidR="00407D13" w:rsidRPr="00225848" w:rsidRDefault="00407D13" w:rsidP="00407D13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25848">
        <w:rPr>
          <w:rFonts w:ascii="Times New Roman" w:hAnsi="Times New Roman" w:cs="Times New Roman"/>
          <w:sz w:val="24"/>
          <w:szCs w:val="24"/>
          <w:lang w:val="sr-Cyrl-CS"/>
        </w:rPr>
        <w:t>Друга битна одредница садашњег стања је ниска енергетска ефикасност у односу на Европску унију.</w:t>
      </w:r>
    </w:p>
    <w:p w14:paraId="259D06B9" w14:textId="12053D18" w:rsidR="00A751CC" w:rsidRPr="00407D13" w:rsidRDefault="003A4BC8" w:rsidP="003A4BC8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Сагласно наведеном,</w:t>
      </w:r>
      <w:r w:rsidR="00472FD9" w:rsidRPr="00407D1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438B9" w:rsidRPr="00407D13">
        <w:rPr>
          <w:rFonts w:ascii="Times New Roman" w:hAnsi="Times New Roman" w:cs="Times New Roman"/>
          <w:sz w:val="24"/>
          <w:szCs w:val="24"/>
          <w:lang w:val="sr-Cyrl-CS"/>
        </w:rPr>
        <w:t xml:space="preserve">Министарство рударства и енергетике је започело израду </w:t>
      </w:r>
      <w:r w:rsidR="004D5646" w:rsidRPr="00407D13">
        <w:rPr>
          <w:rFonts w:ascii="Times New Roman" w:hAnsi="Times New Roman" w:cs="Times New Roman"/>
          <w:sz w:val="24"/>
          <w:szCs w:val="24"/>
          <w:lang w:val="sr-Cyrl-CS"/>
        </w:rPr>
        <w:t xml:space="preserve">Стратегије развоја енергетике Републике Србије до 2040. године са пројекцијама до 2050. године (у даљем тексту Стратегија) </w:t>
      </w:r>
      <w:r w:rsidR="004438B9" w:rsidRPr="00407D13">
        <w:rPr>
          <w:rFonts w:ascii="Times New Roman" w:hAnsi="Times New Roman" w:cs="Times New Roman"/>
          <w:sz w:val="24"/>
          <w:szCs w:val="24"/>
          <w:lang w:val="sr-Cyrl-CS"/>
        </w:rPr>
        <w:t xml:space="preserve">у оквиру активности којима се промене у енергетици Републике Србије усклађују са правцима и циљевима промена у Европској Унији и глобалним оквирима. </w:t>
      </w:r>
    </w:p>
    <w:p w14:paraId="744A1E32" w14:textId="70A7B0EF" w:rsidR="004D5646" w:rsidRPr="004D5646" w:rsidRDefault="004D5646" w:rsidP="00CD46E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D5646">
        <w:rPr>
          <w:rFonts w:ascii="Times New Roman" w:hAnsi="Times New Roman" w:cs="Times New Roman"/>
          <w:sz w:val="24"/>
          <w:szCs w:val="24"/>
          <w:lang w:val="sr-Cyrl-CS"/>
        </w:rPr>
        <w:t xml:space="preserve">Министарство рударства и енергетике је 2021. године започело израду нове енергетске политике, односно паралелно </w:t>
      </w:r>
      <w:r w:rsidR="004D0F68">
        <w:rPr>
          <w:rFonts w:ascii="Times New Roman" w:hAnsi="Times New Roman" w:cs="Times New Roman"/>
          <w:sz w:val="24"/>
          <w:szCs w:val="24"/>
          <w:lang w:val="sr-Latn-CS"/>
        </w:rPr>
        <w:t xml:space="preserve">je </w:t>
      </w:r>
      <w:r w:rsidR="00A42E7F">
        <w:rPr>
          <w:rFonts w:ascii="Times New Roman" w:hAnsi="Times New Roman" w:cs="Times New Roman"/>
          <w:sz w:val="24"/>
          <w:szCs w:val="24"/>
          <w:lang w:val="sr-Cyrl-CS"/>
        </w:rPr>
        <w:t>припремало</w:t>
      </w:r>
      <w:r w:rsidRPr="004D5646">
        <w:rPr>
          <w:rFonts w:ascii="Times New Roman" w:hAnsi="Times New Roman" w:cs="Times New Roman"/>
          <w:sz w:val="24"/>
          <w:szCs w:val="24"/>
          <w:lang w:val="sr-Cyrl-CS"/>
        </w:rPr>
        <w:t xml:space="preserve"> два стратешка документа:</w:t>
      </w:r>
    </w:p>
    <w:p w14:paraId="5A756530" w14:textId="42ADCBAB" w:rsidR="004D5646" w:rsidRPr="00E4194C" w:rsidRDefault="004D5646" w:rsidP="003A4BC8">
      <w:pPr>
        <w:pStyle w:val="ListParagraph"/>
        <w:numPr>
          <w:ilvl w:val="0"/>
          <w:numId w:val="15"/>
        </w:numPr>
        <w:tabs>
          <w:tab w:val="left" w:pos="720"/>
        </w:tabs>
        <w:spacing w:after="0" w:line="276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4194C">
        <w:rPr>
          <w:rFonts w:ascii="Times New Roman" w:hAnsi="Times New Roman" w:cs="Times New Roman"/>
          <w:sz w:val="24"/>
          <w:szCs w:val="24"/>
          <w:lang w:val="sr-Cyrl-CS"/>
        </w:rPr>
        <w:t>Интегрисани национални енергетски и климатски план Р</w:t>
      </w:r>
      <w:r w:rsidR="00A42E7F">
        <w:rPr>
          <w:rFonts w:ascii="Times New Roman" w:hAnsi="Times New Roman" w:cs="Times New Roman"/>
          <w:sz w:val="24"/>
          <w:szCs w:val="24"/>
          <w:lang w:val="sr-Cyrl-CS"/>
        </w:rPr>
        <w:t xml:space="preserve">епублике </w:t>
      </w:r>
      <w:r w:rsidRPr="00E4194C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A42E7F">
        <w:rPr>
          <w:rFonts w:ascii="Times New Roman" w:hAnsi="Times New Roman" w:cs="Times New Roman"/>
          <w:sz w:val="24"/>
          <w:szCs w:val="24"/>
          <w:lang w:val="sr-Cyrl-CS"/>
        </w:rPr>
        <w:t>рбије</w:t>
      </w:r>
      <w:r w:rsidRPr="00E4194C">
        <w:rPr>
          <w:rFonts w:ascii="Times New Roman" w:hAnsi="Times New Roman" w:cs="Times New Roman"/>
          <w:sz w:val="24"/>
          <w:szCs w:val="24"/>
          <w:lang w:val="sr-Cyrl-CS"/>
        </w:rPr>
        <w:t xml:space="preserve"> до 2030 године са визијом до 2050. године</w:t>
      </w:r>
      <w:r w:rsidR="00A42E7F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64B7DA8C" w14:textId="3CD3D438" w:rsidR="004D5646" w:rsidRPr="00E4194C" w:rsidRDefault="004D5646" w:rsidP="003A4BC8">
      <w:pPr>
        <w:pStyle w:val="ListParagraph"/>
        <w:numPr>
          <w:ilvl w:val="0"/>
          <w:numId w:val="15"/>
        </w:numPr>
        <w:tabs>
          <w:tab w:val="left" w:pos="720"/>
        </w:tabs>
        <w:spacing w:after="0" w:line="276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4194C">
        <w:rPr>
          <w:rFonts w:ascii="Times New Roman" w:hAnsi="Times New Roman" w:cs="Times New Roman"/>
          <w:sz w:val="24"/>
          <w:szCs w:val="24"/>
          <w:lang w:val="sr-Cyrl-CS"/>
        </w:rPr>
        <w:t xml:space="preserve">Стратегија развоја енергетике Републике Србије до 2040. године са пројекцијама до 2050. године. </w:t>
      </w:r>
    </w:p>
    <w:p w14:paraId="29C83C5C" w14:textId="75486A0B" w:rsidR="004438B9" w:rsidRDefault="004D5646" w:rsidP="00CD46E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D5646">
        <w:rPr>
          <w:rFonts w:ascii="Times New Roman" w:hAnsi="Times New Roman" w:cs="Times New Roman"/>
          <w:sz w:val="24"/>
          <w:szCs w:val="24"/>
          <w:lang w:val="sr-Cyrl-CS"/>
        </w:rPr>
        <w:t>Интегрисани национални енергетски и климатски план РС до 2030</w:t>
      </w:r>
      <w:r w:rsidR="00964E31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4D5646">
        <w:rPr>
          <w:rFonts w:ascii="Times New Roman" w:hAnsi="Times New Roman" w:cs="Times New Roman"/>
          <w:sz w:val="24"/>
          <w:szCs w:val="24"/>
          <w:lang w:val="sr-Cyrl-CS"/>
        </w:rPr>
        <w:t xml:space="preserve"> године са визијом до 2050. године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A3B3E">
        <w:rPr>
          <w:rFonts w:ascii="Times New Roman" w:hAnsi="Times New Roman" w:cs="Times New Roman"/>
          <w:sz w:val="24"/>
          <w:szCs w:val="24"/>
          <w:lang w:val="sr-Cyrl-CS"/>
        </w:rPr>
        <w:t>је припремљен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сагласно </w:t>
      </w:r>
      <w:r w:rsidR="004438B9" w:rsidRPr="004438B9">
        <w:rPr>
          <w:rFonts w:ascii="Times New Roman" w:hAnsi="Times New Roman" w:cs="Times New Roman"/>
          <w:sz w:val="24"/>
          <w:szCs w:val="24"/>
          <w:lang w:val="sr-Cyrl-CS"/>
        </w:rPr>
        <w:t xml:space="preserve">члану 8а став 1. Закона о енергетици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а којим је дефинисано </w:t>
      </w:r>
      <w:r w:rsidR="004438B9" w:rsidRPr="004438B9">
        <w:rPr>
          <w:rFonts w:ascii="Times New Roman" w:hAnsi="Times New Roman" w:cs="Times New Roman"/>
          <w:sz w:val="24"/>
          <w:szCs w:val="24"/>
          <w:lang w:val="sr-Cyrl-CS"/>
        </w:rPr>
        <w:t>да у складу са преузетим обавезама које проистичу из међународног уговора, министарство надлежно за послове енергетике припрема Интегрисани национални енергетски и климатски план у сарадњи са другим релевантним министарствима.</w:t>
      </w:r>
    </w:p>
    <w:p w14:paraId="1A8545AB" w14:textId="0417677F" w:rsidR="004D5646" w:rsidRDefault="002817D0" w:rsidP="00CD46E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Садржај</w:t>
      </w:r>
      <w:r w:rsidRPr="002817D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Интегрисаног националног енергетског и климатског</w:t>
      </w:r>
      <w:r w:rsidRPr="004D5646">
        <w:rPr>
          <w:rFonts w:ascii="Times New Roman" w:hAnsi="Times New Roman" w:cs="Times New Roman"/>
          <w:sz w:val="24"/>
          <w:szCs w:val="24"/>
          <w:lang w:val="sr-Cyrl-CS"/>
        </w:rPr>
        <w:t xml:space="preserve"> план</w:t>
      </w:r>
      <w:r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4D5646">
        <w:rPr>
          <w:rFonts w:ascii="Times New Roman" w:hAnsi="Times New Roman" w:cs="Times New Roman"/>
          <w:sz w:val="24"/>
          <w:szCs w:val="24"/>
          <w:lang w:val="sr-Cyrl-CS"/>
        </w:rPr>
        <w:t xml:space="preserve"> Р</w:t>
      </w:r>
      <w:r w:rsidR="005A3B3E">
        <w:rPr>
          <w:rFonts w:ascii="Times New Roman" w:hAnsi="Times New Roman" w:cs="Times New Roman"/>
          <w:sz w:val="24"/>
          <w:szCs w:val="24"/>
          <w:lang w:val="sr-Cyrl-CS"/>
        </w:rPr>
        <w:t>епублике Ср</w:t>
      </w:r>
      <w:r w:rsidR="00A42E7F">
        <w:rPr>
          <w:rFonts w:ascii="Times New Roman" w:hAnsi="Times New Roman" w:cs="Times New Roman"/>
          <w:sz w:val="24"/>
          <w:szCs w:val="24"/>
          <w:lang w:val="sr-Cyrl-CS"/>
        </w:rPr>
        <w:t>бије</w:t>
      </w:r>
      <w:r w:rsidRPr="004D5646">
        <w:rPr>
          <w:rFonts w:ascii="Times New Roman" w:hAnsi="Times New Roman" w:cs="Times New Roman"/>
          <w:sz w:val="24"/>
          <w:szCs w:val="24"/>
          <w:lang w:val="sr-Cyrl-CS"/>
        </w:rPr>
        <w:t xml:space="preserve"> до 2030</w:t>
      </w:r>
      <w:r w:rsidR="00964E31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4D5646">
        <w:rPr>
          <w:rFonts w:ascii="Times New Roman" w:hAnsi="Times New Roman" w:cs="Times New Roman"/>
          <w:sz w:val="24"/>
          <w:szCs w:val="24"/>
          <w:lang w:val="sr-Cyrl-CS"/>
        </w:rPr>
        <w:t xml:space="preserve"> године са визијом до 2050. године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је прописан Одлуком Министарског савета </w:t>
      </w:r>
      <w:r w:rsidRPr="003814C3">
        <w:rPr>
          <w:rFonts w:ascii="Times New Roman" w:hAnsi="Times New Roman" w:cs="Times New Roman"/>
          <w:sz w:val="24"/>
          <w:szCs w:val="24"/>
          <w:lang w:val="sr-Cyrl-CS"/>
        </w:rPr>
        <w:t>D/2021/14/MC-EnC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којом је усвојена адаптирана регулатива 2018/1999. Сагласно томе </w:t>
      </w:r>
      <w:r w:rsidRPr="004D5646">
        <w:rPr>
          <w:rFonts w:ascii="Times New Roman" w:hAnsi="Times New Roman" w:cs="Times New Roman"/>
          <w:sz w:val="24"/>
          <w:szCs w:val="24"/>
          <w:lang w:val="sr-Cyrl-CS"/>
        </w:rPr>
        <w:t>Интегрисани национални енергетски и климатски план РС до 2030 године са визијом до 2050. године</w:t>
      </w:r>
      <w:r w:rsidR="00225848" w:rsidRPr="003814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848" w:rsidRPr="003814C3">
        <w:rPr>
          <w:rFonts w:ascii="Times New Roman" w:hAnsi="Times New Roman" w:cs="Times New Roman"/>
          <w:sz w:val="24"/>
          <w:szCs w:val="24"/>
          <w:lang w:val="sr-Cyrl-CS"/>
        </w:rPr>
        <w:t>дефинише нове циљеве</w:t>
      </w:r>
      <w:r w:rsidR="004D5646" w:rsidRPr="003814C3">
        <w:rPr>
          <w:rFonts w:ascii="Times New Roman" w:hAnsi="Times New Roman" w:cs="Times New Roman"/>
          <w:sz w:val="24"/>
          <w:szCs w:val="24"/>
          <w:lang w:val="sr-Cyrl-CS"/>
        </w:rPr>
        <w:t xml:space="preserve"> у области енергетске ефикасности, обновљивих извора енергије и смањења емисија гасова са ефектом стаклене баште за 2</w:t>
      </w:r>
      <w:r w:rsidR="00225848" w:rsidRPr="003814C3">
        <w:rPr>
          <w:rFonts w:ascii="Times New Roman" w:hAnsi="Times New Roman" w:cs="Times New Roman"/>
          <w:sz w:val="24"/>
          <w:szCs w:val="24"/>
          <w:lang w:val="sr-Cyrl-CS"/>
        </w:rPr>
        <w:t>030. са визијом до 2050. године као и процес енергетске транзиције.</w:t>
      </w:r>
    </w:p>
    <w:p w14:paraId="52F3AA83" w14:textId="664F83DF" w:rsidR="003A4BC8" w:rsidRPr="003814C3" w:rsidRDefault="003A4BC8" w:rsidP="00CD46E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Интегрисани национални енергетски и климатски план Републике Србије до 2030.</w:t>
      </w:r>
      <w:r w:rsidR="00964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године за период до 2050.</w:t>
      </w:r>
      <w:r w:rsidR="00964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године је усвојила Влада у јулу 2024.године </w:t>
      </w:r>
      <w:r w:rsidR="00323B2C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323B2C" w:rsidRPr="000171A1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323B2C" w:rsidRPr="009D58B8"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</w:t>
      </w:r>
      <w:r w:rsidR="00323B2C" w:rsidRPr="00FD30BD">
        <w:rPr>
          <w:rFonts w:ascii="Times New Roman" w:hAnsi="Times New Roman" w:cs="Times New Roman"/>
          <w:sz w:val="24"/>
          <w:szCs w:val="24"/>
          <w:lang w:val="sr-Cyrl-RS"/>
        </w:rPr>
        <w:t>ˮ</w:t>
      </w:r>
      <w:r w:rsidR="00323B2C">
        <w:rPr>
          <w:rFonts w:ascii="Times New Roman" w:hAnsi="Times New Roman" w:cs="Times New Roman"/>
          <w:sz w:val="24"/>
          <w:szCs w:val="24"/>
          <w:lang w:val="sr-Cyrl-CS"/>
        </w:rPr>
        <w:t>, број 74/</w:t>
      </w:r>
      <w:r>
        <w:rPr>
          <w:rFonts w:ascii="Times New Roman" w:hAnsi="Times New Roman" w:cs="Times New Roman"/>
          <w:sz w:val="24"/>
          <w:szCs w:val="24"/>
          <w:lang w:val="sr-Cyrl-CS"/>
        </w:rPr>
        <w:t>24).</w:t>
      </w:r>
    </w:p>
    <w:p w14:paraId="7FFEBC57" w14:textId="60EE90D9" w:rsidR="00225848" w:rsidRPr="00225848" w:rsidRDefault="00225848" w:rsidP="00CD46E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Важно је напоменути да су</w:t>
      </w:r>
      <w:r w:rsidR="006B5B5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анализе за дефинисање сценарија и</w:t>
      </w:r>
      <w:r w:rsidR="006B5B5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нових циљева </w:t>
      </w:r>
      <w:r w:rsidR="006B5B5A">
        <w:rPr>
          <w:rFonts w:ascii="Times New Roman" w:hAnsi="Times New Roman" w:cs="Times New Roman"/>
          <w:sz w:val="24"/>
          <w:szCs w:val="24"/>
          <w:lang w:val="sr-Cyrl-CS"/>
        </w:rPr>
        <w:t>ене</w:t>
      </w:r>
      <w:r>
        <w:rPr>
          <w:rFonts w:ascii="Times New Roman" w:hAnsi="Times New Roman" w:cs="Times New Roman"/>
          <w:sz w:val="24"/>
          <w:szCs w:val="24"/>
          <w:lang w:val="sr-Cyrl-CS"/>
        </w:rPr>
        <w:t>ргетске политике</w:t>
      </w:r>
      <w:r w:rsidR="006B5B5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A4BC8">
        <w:rPr>
          <w:rFonts w:ascii="Times New Roman" w:hAnsi="Times New Roman" w:cs="Times New Roman"/>
          <w:sz w:val="24"/>
          <w:szCs w:val="24"/>
          <w:lang w:val="sr-Cyrl-CS"/>
        </w:rPr>
        <w:t xml:space="preserve">као и макроекономске и финансијске анализе </w:t>
      </w:r>
      <w:r w:rsidR="006B5B5A">
        <w:rPr>
          <w:rFonts w:ascii="Times New Roman" w:hAnsi="Times New Roman" w:cs="Times New Roman"/>
          <w:sz w:val="24"/>
          <w:szCs w:val="24"/>
          <w:lang w:val="sr-Cyrl-CS"/>
        </w:rPr>
        <w:t>урађене у окви</w:t>
      </w:r>
      <w:r>
        <w:rPr>
          <w:rFonts w:ascii="Times New Roman" w:hAnsi="Times New Roman" w:cs="Times New Roman"/>
          <w:sz w:val="24"/>
          <w:szCs w:val="24"/>
          <w:lang w:val="sr-Cyrl-CS"/>
        </w:rPr>
        <w:t>ру про</w:t>
      </w:r>
      <w:r w:rsidR="006B5B5A">
        <w:rPr>
          <w:rFonts w:ascii="Times New Roman" w:hAnsi="Times New Roman" w:cs="Times New Roman"/>
          <w:sz w:val="24"/>
          <w:szCs w:val="24"/>
          <w:lang w:val="sr-Cyrl-CS"/>
        </w:rPr>
        <w:t>цеса из</w:t>
      </w:r>
      <w:r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6B5B5A">
        <w:rPr>
          <w:rFonts w:ascii="Times New Roman" w:hAnsi="Times New Roman" w:cs="Times New Roman"/>
          <w:sz w:val="24"/>
          <w:szCs w:val="24"/>
          <w:lang w:val="sr-Cyrl-CS"/>
        </w:rPr>
        <w:t>а</w:t>
      </w:r>
      <w:r>
        <w:rPr>
          <w:rFonts w:ascii="Times New Roman" w:hAnsi="Times New Roman" w:cs="Times New Roman"/>
          <w:sz w:val="24"/>
          <w:szCs w:val="24"/>
          <w:lang w:val="sr-Cyrl-CS"/>
        </w:rPr>
        <w:t>де Интегрисаног националног енергетског и климатског</w:t>
      </w:r>
      <w:r w:rsidRPr="004D5646">
        <w:rPr>
          <w:rFonts w:ascii="Times New Roman" w:hAnsi="Times New Roman" w:cs="Times New Roman"/>
          <w:sz w:val="24"/>
          <w:szCs w:val="24"/>
          <w:lang w:val="sr-Cyrl-CS"/>
        </w:rPr>
        <w:t xml:space="preserve"> план</w:t>
      </w:r>
      <w:r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4D5646">
        <w:rPr>
          <w:rFonts w:ascii="Times New Roman" w:hAnsi="Times New Roman" w:cs="Times New Roman"/>
          <w:sz w:val="24"/>
          <w:szCs w:val="24"/>
          <w:lang w:val="sr-Cyrl-CS"/>
        </w:rPr>
        <w:t xml:space="preserve"> РС до 2030</w:t>
      </w:r>
      <w:r w:rsidR="00964E31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4D5646">
        <w:rPr>
          <w:rFonts w:ascii="Times New Roman" w:hAnsi="Times New Roman" w:cs="Times New Roman"/>
          <w:sz w:val="24"/>
          <w:szCs w:val="24"/>
          <w:lang w:val="sr-Cyrl-CS"/>
        </w:rPr>
        <w:t xml:space="preserve"> године са визијом до 2050. године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 да су коришћене </w:t>
      </w:r>
      <w:r w:rsidR="003A4BC8">
        <w:rPr>
          <w:rFonts w:ascii="Times New Roman" w:hAnsi="Times New Roman" w:cs="Times New Roman"/>
          <w:sz w:val="24"/>
          <w:szCs w:val="24"/>
          <w:lang w:val="sr-Cyrl-CS"/>
        </w:rPr>
        <w:t>као подлога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за израду Стратегије. Такође је важно поменути да чланови Радне групе за израду Страт</w:t>
      </w:r>
      <w:r w:rsidR="00EF1F61">
        <w:rPr>
          <w:rFonts w:ascii="Times New Roman" w:hAnsi="Times New Roman" w:cs="Times New Roman"/>
          <w:sz w:val="24"/>
          <w:szCs w:val="24"/>
          <w:lang w:val="sr-Cyrl-CS"/>
        </w:rPr>
        <w:t>егије</w:t>
      </w:r>
      <w:r w:rsidR="006B5B5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F1F61">
        <w:rPr>
          <w:rFonts w:ascii="Times New Roman" w:hAnsi="Times New Roman" w:cs="Times New Roman"/>
          <w:sz w:val="24"/>
          <w:szCs w:val="24"/>
          <w:lang w:val="sr-Cyrl-CS"/>
        </w:rPr>
        <w:t>су и чланови Радне групе з</w:t>
      </w:r>
      <w:r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EF1F6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израду Интегрисаног националног енергетског и климатског</w:t>
      </w:r>
      <w:r w:rsidRPr="004D5646">
        <w:rPr>
          <w:rFonts w:ascii="Times New Roman" w:hAnsi="Times New Roman" w:cs="Times New Roman"/>
          <w:sz w:val="24"/>
          <w:szCs w:val="24"/>
          <w:lang w:val="sr-Cyrl-CS"/>
        </w:rPr>
        <w:t xml:space="preserve"> план</w:t>
      </w:r>
      <w:r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4D5646">
        <w:rPr>
          <w:rFonts w:ascii="Times New Roman" w:hAnsi="Times New Roman" w:cs="Times New Roman"/>
          <w:sz w:val="24"/>
          <w:szCs w:val="24"/>
          <w:lang w:val="sr-Cyrl-CS"/>
        </w:rPr>
        <w:t xml:space="preserve"> РС до 2030</w:t>
      </w:r>
      <w:r w:rsidR="00E12102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4D5646">
        <w:rPr>
          <w:rFonts w:ascii="Times New Roman" w:hAnsi="Times New Roman" w:cs="Times New Roman"/>
          <w:sz w:val="24"/>
          <w:szCs w:val="24"/>
          <w:lang w:val="sr-Cyrl-CS"/>
        </w:rPr>
        <w:t xml:space="preserve"> године са визијом до 2050. године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3DC1771" w14:textId="6593E772" w:rsidR="00E96A75" w:rsidRDefault="00E96A75" w:rsidP="00CD46E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814C3">
        <w:rPr>
          <w:rFonts w:ascii="Times New Roman" w:hAnsi="Times New Roman" w:cs="Times New Roman"/>
          <w:sz w:val="24"/>
          <w:szCs w:val="24"/>
          <w:lang w:val="sr-Cyrl-CS"/>
        </w:rPr>
        <w:t xml:space="preserve">Радна група ангажована на изради </w:t>
      </w:r>
      <w:r w:rsidR="004D5646">
        <w:rPr>
          <w:rFonts w:ascii="Times New Roman" w:hAnsi="Times New Roman" w:cs="Times New Roman"/>
          <w:sz w:val="24"/>
          <w:szCs w:val="24"/>
          <w:lang w:val="sr-Cyrl-CS"/>
        </w:rPr>
        <w:t>Стратегије</w:t>
      </w:r>
      <w:r w:rsidR="004D5646" w:rsidRPr="004D564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814C3">
        <w:rPr>
          <w:rFonts w:ascii="Times New Roman" w:hAnsi="Times New Roman" w:cs="Times New Roman"/>
          <w:sz w:val="24"/>
          <w:szCs w:val="24"/>
          <w:lang w:val="sr-Cyrl-CS"/>
        </w:rPr>
        <w:t xml:space="preserve">се састоји од релевантних министарстава и институција, јавних и приватних предузећа, организација цивилног друштва, који дају значајан допринос путем ефикасне сарадње чланова, достављања мишљења, као и потребних података за потребе анализе резултата моделирања у поступку израде нацрта. </w:t>
      </w:r>
    </w:p>
    <w:p w14:paraId="7622FB38" w14:textId="50508A29" w:rsidR="006B5B5A" w:rsidRPr="003814C3" w:rsidRDefault="006B5B5A" w:rsidP="00CD46E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процесу израде нацрт</w:t>
      </w:r>
      <w:r w:rsidR="00916C35">
        <w:rPr>
          <w:rFonts w:ascii="Times New Roman" w:hAnsi="Times New Roman" w:cs="Times New Roman"/>
          <w:sz w:val="24"/>
          <w:szCs w:val="24"/>
          <w:lang w:val="sr-Cyrl-CS"/>
        </w:rPr>
        <w:t>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Стратегије одржани су бројни састанци, састанци са Радном групом на којима су презентовани Извештаји</w:t>
      </w:r>
      <w:r w:rsidR="00A42E7F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резултати, консултације са консултантима ангажовани</w:t>
      </w:r>
      <w:r w:rsidR="00A42E7F">
        <w:rPr>
          <w:rFonts w:ascii="Times New Roman" w:hAnsi="Times New Roman" w:cs="Times New Roman"/>
          <w:sz w:val="24"/>
          <w:szCs w:val="24"/>
          <w:lang w:val="sr-Cyrl-CS"/>
        </w:rPr>
        <w:t>м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на изради Интегрисаног националног енергетског и климатског плана као и са норвешким експертима ангажованим за дефинисање реформе енергетског сектора Републике Србије.</w:t>
      </w:r>
    </w:p>
    <w:p w14:paraId="771C7E1C" w14:textId="49F27703" w:rsidR="003814C3" w:rsidRPr="003814C3" w:rsidRDefault="003814C3" w:rsidP="00CD46E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814C3">
        <w:rPr>
          <w:rFonts w:ascii="Times New Roman" w:hAnsi="Times New Roman" w:cs="Times New Roman"/>
          <w:sz w:val="24"/>
          <w:szCs w:val="24"/>
          <w:lang w:val="sr-Cyrl-CS"/>
        </w:rPr>
        <w:t xml:space="preserve">Сагласно преузетим међународним обавезама неопходно је дефинисати што је могуће пре нову енергетску политику и усвојити релевантна стратешка документа неопходна за спровођење те политике а у циљу обезбеђења </w:t>
      </w:r>
      <w:r w:rsidR="006B5B5A">
        <w:rPr>
          <w:rFonts w:ascii="Times New Roman" w:hAnsi="Times New Roman" w:cs="Times New Roman"/>
          <w:sz w:val="24"/>
          <w:szCs w:val="24"/>
          <w:lang w:val="sr-Cyrl-CS"/>
        </w:rPr>
        <w:t xml:space="preserve">и спровођења </w:t>
      </w:r>
      <w:r w:rsidRPr="003814C3">
        <w:rPr>
          <w:rFonts w:ascii="Times New Roman" w:hAnsi="Times New Roman" w:cs="Times New Roman"/>
          <w:sz w:val="24"/>
          <w:szCs w:val="24"/>
          <w:lang w:val="sr-Cyrl-CS"/>
        </w:rPr>
        <w:t xml:space="preserve">релевантних финансијских и других мера неопходних за испуњење обавеза. </w:t>
      </w:r>
    </w:p>
    <w:p w14:paraId="73F69580" w14:textId="23B8D092" w:rsidR="00AF51AB" w:rsidRDefault="004438B9" w:rsidP="00CD46E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38B9">
        <w:rPr>
          <w:rFonts w:ascii="Times New Roman" w:hAnsi="Times New Roman" w:cs="Times New Roman"/>
          <w:sz w:val="24"/>
          <w:szCs w:val="24"/>
          <w:lang w:val="sr-Cyrl-CS"/>
        </w:rPr>
        <w:t xml:space="preserve">Из свих наведених разлога предлаже се Влади </w:t>
      </w:r>
      <w:r w:rsidR="005E3838">
        <w:rPr>
          <w:rFonts w:ascii="Times New Roman" w:hAnsi="Times New Roman" w:cs="Times New Roman"/>
          <w:sz w:val="24"/>
          <w:szCs w:val="24"/>
          <w:lang w:val="sr-Cyrl-CS"/>
        </w:rPr>
        <w:t>да донесе</w:t>
      </w:r>
      <w:r w:rsidR="000171A1" w:rsidRPr="003814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F1F61" w:rsidRPr="003814C3">
        <w:rPr>
          <w:rFonts w:ascii="Times New Roman" w:hAnsi="Times New Roman" w:cs="Times New Roman"/>
          <w:sz w:val="24"/>
          <w:szCs w:val="24"/>
          <w:lang w:val="sr-Cyrl-CS"/>
        </w:rPr>
        <w:t>Предлог Стратегије</w:t>
      </w:r>
      <w:r w:rsidR="003814C3" w:rsidRPr="003814C3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D6212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26DF23B5" w14:textId="015E6EDB" w:rsidR="00D62125" w:rsidRDefault="00D62125" w:rsidP="004438B9">
      <w:pPr>
        <w:spacing w:after="0" w:line="276" w:lineRule="auto"/>
        <w:ind w:firstLine="144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49F54267" w14:textId="77777777" w:rsidR="005E3838" w:rsidRPr="003A4BC8" w:rsidRDefault="005E3838" w:rsidP="00FB046F">
      <w:pPr>
        <w:spacing w:after="0" w:line="240" w:lineRule="auto"/>
        <w:ind w:left="720" w:firstLine="720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3A4BC8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 xml:space="preserve">III. </w:t>
      </w:r>
      <w:r w:rsidRPr="003A4BC8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ОБЈАШЊЕЊА ОСНОВНИХ ПРАВНИХ ИНСТИТУТА И</w:t>
      </w:r>
    </w:p>
    <w:p w14:paraId="61014C3F" w14:textId="523AE642" w:rsidR="005E3838" w:rsidRPr="003A4BC8" w:rsidRDefault="00FB046F" w:rsidP="00FB046F">
      <w:pPr>
        <w:spacing w:after="0" w:line="240" w:lineRule="auto"/>
        <w:ind w:left="1440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3A4BC8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     </w:t>
      </w:r>
      <w:r w:rsidR="005E3838" w:rsidRPr="003A4BC8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ПОЈЕДИНАЧНИХ РЕШЕЊА</w:t>
      </w:r>
    </w:p>
    <w:p w14:paraId="09D6FD22" w14:textId="77777777" w:rsidR="005E3838" w:rsidRPr="0030518E" w:rsidRDefault="005E3838" w:rsidP="005E383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DFD8B3D" w14:textId="4376EB52" w:rsidR="00914D89" w:rsidRPr="00127FEE" w:rsidRDefault="00FB046F" w:rsidP="00127FEE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27FEE">
        <w:rPr>
          <w:rFonts w:ascii="Times New Roman" w:hAnsi="Times New Roman" w:cs="Times New Roman"/>
          <w:sz w:val="24"/>
          <w:szCs w:val="24"/>
          <w:lang w:val="sr-Cyrl-CS"/>
        </w:rPr>
        <w:t xml:space="preserve">Стратегија садржи следеће основне </w:t>
      </w:r>
      <w:r w:rsidR="001B7278">
        <w:rPr>
          <w:rFonts w:ascii="Times New Roman" w:hAnsi="Times New Roman" w:cs="Times New Roman"/>
          <w:sz w:val="24"/>
          <w:szCs w:val="24"/>
          <w:lang w:val="sr-Cyrl-CS"/>
        </w:rPr>
        <w:t>информације</w:t>
      </w:r>
      <w:r w:rsidR="00127FEE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4910D83E" w14:textId="77777777" w:rsidR="000B2E5A" w:rsidRDefault="000B2E5A" w:rsidP="00CD46E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D172079" w14:textId="4144FCA6" w:rsidR="00AC33EA" w:rsidRPr="00FE52BD" w:rsidRDefault="00AC33EA" w:rsidP="005B3D1E">
      <w:pPr>
        <w:pStyle w:val="ListParagraph"/>
        <w:numPr>
          <w:ilvl w:val="0"/>
          <w:numId w:val="17"/>
        </w:numPr>
        <w:spacing w:after="0" w:line="276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52BD">
        <w:rPr>
          <w:rFonts w:ascii="Times New Roman" w:hAnsi="Times New Roman" w:cs="Times New Roman"/>
          <w:sz w:val="24"/>
          <w:szCs w:val="24"/>
          <w:lang w:val="sr-Cyrl-CS"/>
        </w:rPr>
        <w:t>Уводна разматрања која садрже информације о међународном окружењу и околн</w:t>
      </w:r>
      <w:r w:rsidR="00F974A6" w:rsidRPr="00FE52BD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FE52BD">
        <w:rPr>
          <w:rFonts w:ascii="Times New Roman" w:hAnsi="Times New Roman" w:cs="Times New Roman"/>
          <w:sz w:val="24"/>
          <w:szCs w:val="24"/>
          <w:lang w:val="sr-Cyrl-CS"/>
        </w:rPr>
        <w:t>стима које су</w:t>
      </w:r>
      <w:r w:rsidR="00F974A6" w:rsidRPr="00FE52B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E52BD">
        <w:rPr>
          <w:rFonts w:ascii="Times New Roman" w:hAnsi="Times New Roman" w:cs="Times New Roman"/>
          <w:sz w:val="24"/>
          <w:szCs w:val="24"/>
          <w:lang w:val="sr-Cyrl-CS"/>
        </w:rPr>
        <w:t>утицале да се приступи изради Стратегије</w:t>
      </w:r>
      <w:r w:rsidR="00FE52BD" w:rsidRPr="00FE52BD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Pr="00FE52BD">
        <w:rPr>
          <w:rFonts w:ascii="Times New Roman" w:hAnsi="Times New Roman" w:cs="Times New Roman"/>
          <w:sz w:val="24"/>
          <w:szCs w:val="24"/>
          <w:lang w:val="sr-Cyrl-CS"/>
        </w:rPr>
        <w:t>правни оквир за доношење Стратегије.</w:t>
      </w:r>
    </w:p>
    <w:p w14:paraId="6F645C7C" w14:textId="4014E815" w:rsidR="00B620BD" w:rsidRPr="00B620BD" w:rsidRDefault="00F974A6" w:rsidP="005B3D1E">
      <w:pPr>
        <w:pStyle w:val="ListParagraph"/>
        <w:numPr>
          <w:ilvl w:val="0"/>
          <w:numId w:val="17"/>
        </w:numPr>
        <w:spacing w:after="0" w:line="276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620BD">
        <w:rPr>
          <w:rFonts w:ascii="Times New Roman" w:hAnsi="Times New Roman" w:cs="Times New Roman"/>
          <w:sz w:val="24"/>
          <w:szCs w:val="24"/>
          <w:lang w:val="sr-Cyrl-CS"/>
        </w:rPr>
        <w:t xml:space="preserve">Карактеристике производње и потрошње енергије у Републици Србији, односно анализу </w:t>
      </w:r>
      <w:r w:rsidR="00B620BD" w:rsidRPr="00B620BD">
        <w:rPr>
          <w:rFonts w:ascii="Times New Roman" w:hAnsi="Times New Roman" w:cs="Times New Roman"/>
          <w:sz w:val="24"/>
          <w:szCs w:val="24"/>
          <w:lang w:val="sr-Cyrl-CS"/>
        </w:rPr>
        <w:t>снабдевања енергијом и енергентима у претходном периоду.</w:t>
      </w:r>
    </w:p>
    <w:p w14:paraId="1C08B6CF" w14:textId="27C554E8" w:rsidR="00127FEE" w:rsidRPr="00B620BD" w:rsidRDefault="00127FEE" w:rsidP="005B3D1E">
      <w:pPr>
        <w:pStyle w:val="ListParagraph"/>
        <w:numPr>
          <w:ilvl w:val="0"/>
          <w:numId w:val="17"/>
        </w:numPr>
        <w:spacing w:after="0" w:line="276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620BD">
        <w:rPr>
          <w:rFonts w:ascii="Times New Roman" w:hAnsi="Times New Roman" w:cs="Times New Roman"/>
          <w:sz w:val="24"/>
          <w:szCs w:val="24"/>
          <w:lang w:val="sr-Cyrl-CS"/>
        </w:rPr>
        <w:t xml:space="preserve">Реализацију </w:t>
      </w:r>
      <w:r w:rsidR="001B7278" w:rsidRPr="00B620BD">
        <w:rPr>
          <w:rFonts w:ascii="Times New Roman" w:hAnsi="Times New Roman" w:cs="Times New Roman"/>
          <w:sz w:val="24"/>
          <w:szCs w:val="24"/>
          <w:lang w:val="sr-Cyrl-CS"/>
        </w:rPr>
        <w:t>основиних</w:t>
      </w:r>
      <w:r w:rsidRPr="00B620BD">
        <w:rPr>
          <w:rFonts w:ascii="Times New Roman" w:hAnsi="Times New Roman" w:cs="Times New Roman"/>
          <w:sz w:val="24"/>
          <w:szCs w:val="24"/>
          <w:lang w:val="sr-Cyrl-CS"/>
        </w:rPr>
        <w:t xml:space="preserve"> стратешких циљева из </w:t>
      </w:r>
      <w:r w:rsidR="001B7278" w:rsidRPr="00B620BD">
        <w:rPr>
          <w:rFonts w:ascii="Times New Roman" w:hAnsi="Times New Roman" w:cs="Times New Roman"/>
          <w:sz w:val="24"/>
          <w:szCs w:val="24"/>
          <w:lang w:val="sr-Cyrl-CS"/>
        </w:rPr>
        <w:t>Стратегије</w:t>
      </w:r>
      <w:r w:rsidRPr="00B620BD">
        <w:rPr>
          <w:rFonts w:ascii="Times New Roman" w:hAnsi="Times New Roman" w:cs="Times New Roman"/>
          <w:sz w:val="24"/>
          <w:szCs w:val="24"/>
          <w:lang w:val="sr-Cyrl-CS"/>
        </w:rPr>
        <w:t xml:space="preserve"> развоја енергетике Републике Србије до 2025. године са пројекцијама до 2030. године. </w:t>
      </w:r>
    </w:p>
    <w:p w14:paraId="31212828" w14:textId="5111C3E8" w:rsidR="001B7278" w:rsidRPr="00B620BD" w:rsidRDefault="001B7278" w:rsidP="005B3D1E">
      <w:pPr>
        <w:pStyle w:val="ListParagraph"/>
        <w:spacing w:after="0" w:line="276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620BD">
        <w:rPr>
          <w:rFonts w:ascii="Times New Roman" w:hAnsi="Times New Roman" w:cs="Times New Roman"/>
          <w:sz w:val="24"/>
          <w:szCs w:val="24"/>
          <w:lang w:val="sr-Cyrl-CS"/>
        </w:rPr>
        <w:t xml:space="preserve">Ово поглавље садржи информације о реализацији основних приоритета развоја енергетског сектора: енергетска безбедност, развој тржишта енергије и </w:t>
      </w:r>
      <w:r w:rsidR="00916C35" w:rsidRPr="00B620BD">
        <w:rPr>
          <w:rFonts w:ascii="Times New Roman" w:hAnsi="Times New Roman" w:cs="Times New Roman"/>
          <w:sz w:val="24"/>
          <w:szCs w:val="24"/>
          <w:lang w:val="sr-Cyrl-CS"/>
        </w:rPr>
        <w:t>транзиција</w:t>
      </w:r>
      <w:r w:rsidRPr="00B620BD">
        <w:rPr>
          <w:rFonts w:ascii="Times New Roman" w:hAnsi="Times New Roman" w:cs="Times New Roman"/>
          <w:sz w:val="24"/>
          <w:szCs w:val="24"/>
          <w:lang w:val="sr-Cyrl-CS"/>
        </w:rPr>
        <w:t xml:space="preserve"> ка </w:t>
      </w:r>
      <w:r w:rsidRPr="00B620BD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одрживој енергетици, дефинисаних у Стратегији развоја енергетике Републике Србије до 2025. године са пројекцијама до 2030. године</w:t>
      </w:r>
      <w:r w:rsidR="00B620BD" w:rsidRPr="00B620B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4C2FB29" w14:textId="26A011C1" w:rsidR="005E7A40" w:rsidRPr="00FE52BD" w:rsidRDefault="00127FEE" w:rsidP="005B3D1E">
      <w:pPr>
        <w:pStyle w:val="ListParagraph"/>
        <w:numPr>
          <w:ilvl w:val="0"/>
          <w:numId w:val="17"/>
        </w:numPr>
        <w:spacing w:after="0" w:line="276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52BD">
        <w:rPr>
          <w:rFonts w:ascii="Times New Roman" w:hAnsi="Times New Roman" w:cs="Times New Roman"/>
          <w:sz w:val="24"/>
          <w:szCs w:val="24"/>
          <w:lang w:val="sr-Cyrl-CS"/>
        </w:rPr>
        <w:t>Преглед расположивих ресурса и потенцијала</w:t>
      </w:r>
      <w:r w:rsidR="00FE52BD" w:rsidRPr="00FE52BD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FE52B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620BD" w:rsidRPr="00FE52BD">
        <w:rPr>
          <w:rFonts w:ascii="Times New Roman" w:hAnsi="Times New Roman" w:cs="Times New Roman"/>
          <w:sz w:val="24"/>
          <w:szCs w:val="24"/>
          <w:lang w:val="sr-Cyrl-CS"/>
        </w:rPr>
        <w:t>У поглављу је приказана</w:t>
      </w:r>
      <w:r w:rsidR="001B7278" w:rsidRPr="00FE52BD">
        <w:rPr>
          <w:rFonts w:ascii="Times New Roman" w:hAnsi="Times New Roman" w:cs="Times New Roman"/>
          <w:sz w:val="24"/>
          <w:szCs w:val="24"/>
          <w:lang w:val="sr-Cyrl-CS"/>
        </w:rPr>
        <w:t xml:space="preserve"> расположивост основних енергетских ресурса угља, нафте и природног гаса. Поред тога даје информације и могућности коришћења уљних шејлова и нуклеарних минералних сировина.</w:t>
      </w:r>
      <w:r w:rsidR="00FE52B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B7278" w:rsidRPr="00FE52BD">
        <w:rPr>
          <w:rFonts w:ascii="Times New Roman" w:hAnsi="Times New Roman" w:cs="Times New Roman"/>
          <w:sz w:val="24"/>
          <w:szCs w:val="24"/>
          <w:lang w:val="sr-Cyrl-CS"/>
        </w:rPr>
        <w:t>Посебно су сагледавани и анализирани потенцијали коришћења обновљивих извора енергије биомасе, хидроенергије, енергије ветра, енергије сунца, геотермалне енергије.</w:t>
      </w:r>
      <w:r w:rsidR="005E7A40" w:rsidRPr="00FE52B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03AAAC18" w14:textId="24AF538A" w:rsidR="001B7278" w:rsidRPr="00FE52BD" w:rsidRDefault="00127FEE" w:rsidP="005B3D1E">
      <w:pPr>
        <w:pStyle w:val="ListParagraph"/>
        <w:numPr>
          <w:ilvl w:val="0"/>
          <w:numId w:val="17"/>
        </w:numPr>
        <w:spacing w:after="0" w:line="276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52BD">
        <w:rPr>
          <w:rFonts w:ascii="Times New Roman" w:hAnsi="Times New Roman" w:cs="Times New Roman"/>
          <w:sz w:val="24"/>
          <w:szCs w:val="24"/>
          <w:lang w:val="sr-Cyrl-CS"/>
        </w:rPr>
        <w:t>Развој енергетике Републике Србије до 2040.</w:t>
      </w:r>
      <w:r w:rsidR="00964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E52BD">
        <w:rPr>
          <w:rFonts w:ascii="Times New Roman" w:hAnsi="Times New Roman" w:cs="Times New Roman"/>
          <w:sz w:val="24"/>
          <w:szCs w:val="24"/>
          <w:lang w:val="sr-Cyrl-CS"/>
        </w:rPr>
        <w:t>године</w:t>
      </w:r>
      <w:r w:rsidR="00FE52BD" w:rsidRPr="00FE52B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E52BD">
        <w:rPr>
          <w:rFonts w:ascii="Times New Roman" w:hAnsi="Times New Roman" w:cs="Times New Roman"/>
          <w:sz w:val="24"/>
          <w:szCs w:val="24"/>
          <w:lang w:val="sr-Cyrl-CS"/>
        </w:rPr>
        <w:t>односно</w:t>
      </w:r>
      <w:r w:rsidR="00916C35" w:rsidRPr="00FE52BD">
        <w:rPr>
          <w:rFonts w:ascii="Times New Roman" w:hAnsi="Times New Roman" w:cs="Times New Roman"/>
          <w:sz w:val="24"/>
          <w:szCs w:val="24"/>
          <w:lang w:val="sr-Cyrl-CS"/>
        </w:rPr>
        <w:t xml:space="preserve"> визиј</w:t>
      </w:r>
      <w:r w:rsidR="00FE52BD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916C35" w:rsidRPr="00FE52B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E52BD">
        <w:rPr>
          <w:rFonts w:ascii="Times New Roman" w:hAnsi="Times New Roman" w:cs="Times New Roman"/>
          <w:sz w:val="24"/>
          <w:szCs w:val="24"/>
          <w:lang w:val="sr-Cyrl-CS"/>
        </w:rPr>
        <w:t xml:space="preserve">развоја </w:t>
      </w:r>
      <w:r w:rsidR="00916C35" w:rsidRPr="00FE52BD">
        <w:rPr>
          <w:rFonts w:ascii="Times New Roman" w:hAnsi="Times New Roman" w:cs="Times New Roman"/>
          <w:sz w:val="24"/>
          <w:szCs w:val="24"/>
          <w:lang w:val="sr-Cyrl-CS"/>
        </w:rPr>
        <w:t>и главних циљева развоја енергетског сектора. Дефини</w:t>
      </w:r>
      <w:r w:rsidR="00FE52BD">
        <w:rPr>
          <w:rFonts w:ascii="Times New Roman" w:hAnsi="Times New Roman" w:cs="Times New Roman"/>
          <w:sz w:val="24"/>
          <w:szCs w:val="24"/>
          <w:lang w:val="sr-Cyrl-CS"/>
        </w:rPr>
        <w:t xml:space="preserve">сани су </w:t>
      </w:r>
      <w:r w:rsidR="00916C35" w:rsidRPr="00FE52BD">
        <w:rPr>
          <w:rFonts w:ascii="Times New Roman" w:hAnsi="Times New Roman" w:cs="Times New Roman"/>
          <w:sz w:val="24"/>
          <w:szCs w:val="24"/>
          <w:lang w:val="sr-Cyrl-CS"/>
        </w:rPr>
        <w:t>главн</w:t>
      </w:r>
      <w:r w:rsidR="00FE52BD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916C35" w:rsidRPr="00FE52BD">
        <w:rPr>
          <w:rFonts w:ascii="Times New Roman" w:hAnsi="Times New Roman" w:cs="Times New Roman"/>
          <w:sz w:val="24"/>
          <w:szCs w:val="24"/>
          <w:lang w:val="sr-Cyrl-CS"/>
        </w:rPr>
        <w:t xml:space="preserve"> приоритет</w:t>
      </w:r>
      <w:r w:rsidR="00FE52BD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415004" w:rsidRPr="00FE52B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B7278" w:rsidRPr="00FE52BD">
        <w:rPr>
          <w:rFonts w:ascii="Times New Roman" w:hAnsi="Times New Roman" w:cs="Times New Roman"/>
          <w:sz w:val="24"/>
          <w:szCs w:val="24"/>
          <w:lang w:val="sr-Cyrl-CS"/>
        </w:rPr>
        <w:t>енергетске политике у периоду до 2040.</w:t>
      </w:r>
      <w:r w:rsidR="00964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B7278" w:rsidRPr="00FE52BD">
        <w:rPr>
          <w:rFonts w:ascii="Times New Roman" w:hAnsi="Times New Roman" w:cs="Times New Roman"/>
          <w:sz w:val="24"/>
          <w:szCs w:val="24"/>
          <w:lang w:val="sr-Cyrl-CS"/>
        </w:rPr>
        <w:t>године имајући у виду Зелену Агенду и процес енергетске транзиције</w:t>
      </w:r>
      <w:r w:rsidR="00F55246" w:rsidRPr="00FE52BD">
        <w:rPr>
          <w:rFonts w:ascii="Times New Roman" w:hAnsi="Times New Roman" w:cs="Times New Roman"/>
          <w:sz w:val="24"/>
          <w:szCs w:val="24"/>
          <w:lang w:val="sr-Cyrl-CS"/>
        </w:rPr>
        <w:t xml:space="preserve">. То су безбедност, конкурентност, декарбонизација. </w:t>
      </w:r>
    </w:p>
    <w:p w14:paraId="6C583333" w14:textId="4027E3A2" w:rsidR="00F55246" w:rsidRPr="00B620BD" w:rsidRDefault="00FE52BD" w:rsidP="005B3D1E">
      <w:pPr>
        <w:pStyle w:val="ListParagraph"/>
        <w:numPr>
          <w:ilvl w:val="0"/>
          <w:numId w:val="17"/>
        </w:numPr>
        <w:spacing w:after="0" w:line="276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Основни сценарији развоја енергетског сектора Републике Србије. Наведене су основне претпоставке које су коришћене у анализи сценарија. Представљена су </w:t>
      </w:r>
      <w:r w:rsidR="006D7752" w:rsidRPr="00B620BD">
        <w:rPr>
          <w:rFonts w:ascii="Times New Roman" w:hAnsi="Times New Roman" w:cs="Times New Roman"/>
          <w:sz w:val="24"/>
          <w:szCs w:val="24"/>
          <w:lang w:val="sr-Cyrl-CS"/>
        </w:rPr>
        <w:t>два сценарија : референтни</w:t>
      </w:r>
      <w:r w:rsidR="00F55246" w:rsidRPr="00B620B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8236A" w:rsidRPr="00B620BD">
        <w:rPr>
          <w:rFonts w:ascii="Times New Roman" w:hAnsi="Times New Roman" w:cs="Times New Roman"/>
          <w:sz w:val="24"/>
          <w:szCs w:val="24"/>
          <w:lang w:val="sr-Cyrl-CS"/>
        </w:rPr>
        <w:t xml:space="preserve">или БАУ сценарио </w:t>
      </w:r>
      <w:r w:rsidR="00F55246" w:rsidRPr="00B620BD">
        <w:rPr>
          <w:rFonts w:ascii="Times New Roman" w:hAnsi="Times New Roman" w:cs="Times New Roman"/>
          <w:sz w:val="24"/>
          <w:szCs w:val="24"/>
          <w:lang w:val="sr-Cyrl-CS"/>
        </w:rPr>
        <w:t>и напредни сценарио С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са подваријантом која укључује могућност коришћења нуклеарне енергије</w:t>
      </w:r>
      <w:r w:rsidR="00F55246" w:rsidRPr="00B620BD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7F5529A9" w14:textId="77777777" w:rsidR="00FF0577" w:rsidRPr="00B620BD" w:rsidRDefault="00FF0577" w:rsidP="005B3D1E">
      <w:pPr>
        <w:pStyle w:val="ListParagraph"/>
        <w:spacing w:after="0" w:line="276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620BD">
        <w:rPr>
          <w:rFonts w:ascii="Times New Roman" w:hAnsi="Times New Roman" w:cs="Times New Roman"/>
          <w:sz w:val="24"/>
          <w:szCs w:val="24"/>
          <w:lang w:val="sr-Cyrl-CS"/>
        </w:rPr>
        <w:t xml:space="preserve">Сценарио БАУ (од енглеског ”Business as Usual - BAU”) односи се на наставак постојеће праксе у производњи и потрошњи енергије. Сценарио БАУ није пожељан сценарио енергетског развоја, али се у процесу стратешког планирања уобичајено користи за референцирање, односно праћење напретка у реализацији појединих активности или примени различитих мера преко интензитета и структуре потрошње или коришћења појединих облика енергије. </w:t>
      </w:r>
    </w:p>
    <w:p w14:paraId="309801CE" w14:textId="6E8B5E3C" w:rsidR="00FF0577" w:rsidRPr="00B620BD" w:rsidRDefault="00FF0577" w:rsidP="005B3D1E">
      <w:pPr>
        <w:pStyle w:val="ListParagraph"/>
        <w:spacing w:after="0" w:line="276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620BD">
        <w:rPr>
          <w:rFonts w:ascii="Times New Roman" w:hAnsi="Times New Roman" w:cs="Times New Roman"/>
          <w:sz w:val="24"/>
          <w:szCs w:val="24"/>
          <w:lang w:val="sr-Cyrl-CS"/>
        </w:rPr>
        <w:t>Сценарио С представља енергетски развој који ова Стратегија промовише. Промене интензитета и структуре енергетске производње и потрошње према трајекторијама које дефинише Сценарио С обезбеђују у пуној мери испуњење циљева енергетског развоја Републике Србије до 2040. године. Све мере и активности предложене Стратегијом суштински за циљ имају трансформацију енергетског сектора према овом сценарију.</w:t>
      </w:r>
      <w:r w:rsidR="00FE52BD">
        <w:rPr>
          <w:rFonts w:ascii="Times New Roman" w:hAnsi="Times New Roman" w:cs="Times New Roman"/>
          <w:sz w:val="24"/>
          <w:szCs w:val="24"/>
          <w:lang w:val="sr-Cyrl-CS"/>
        </w:rPr>
        <w:t xml:space="preserve"> Разматрана је подваријанта овог сценарија са </w:t>
      </w:r>
      <w:r w:rsidR="00750256">
        <w:rPr>
          <w:rFonts w:ascii="Times New Roman" w:hAnsi="Times New Roman" w:cs="Times New Roman"/>
          <w:sz w:val="24"/>
          <w:szCs w:val="24"/>
          <w:lang w:val="sr-Cyrl-CS"/>
        </w:rPr>
        <w:t xml:space="preserve">нуклеарном енергијом као </w:t>
      </w:r>
      <w:r w:rsidR="00750256" w:rsidRPr="00750256">
        <w:rPr>
          <w:rFonts w:ascii="Times New Roman" w:hAnsi="Times New Roman" w:cs="Times New Roman"/>
          <w:sz w:val="24"/>
          <w:szCs w:val="24"/>
          <w:lang w:val="sr-Cyrl-CS"/>
        </w:rPr>
        <w:t>алтернатив</w:t>
      </w:r>
      <w:r w:rsidR="00750256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750256" w:rsidRPr="00750256">
        <w:rPr>
          <w:rFonts w:ascii="Times New Roman" w:hAnsi="Times New Roman" w:cs="Times New Roman"/>
          <w:sz w:val="24"/>
          <w:szCs w:val="24"/>
          <w:lang w:val="sr-Cyrl-CS"/>
        </w:rPr>
        <w:t xml:space="preserve"> и могућност коришћења нуклеарне енергије за производњу електричне енергије након 2040. године</w:t>
      </w:r>
      <w:r w:rsidR="005B3D1E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750256" w:rsidRPr="0075025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6E9AF6A6" w14:textId="2D8E35D6" w:rsidR="005E3838" w:rsidRPr="00750256" w:rsidRDefault="00127FEE" w:rsidP="005B3D1E">
      <w:pPr>
        <w:pStyle w:val="ListParagraph"/>
        <w:numPr>
          <w:ilvl w:val="0"/>
          <w:numId w:val="17"/>
        </w:numPr>
        <w:spacing w:after="0" w:line="276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50256">
        <w:rPr>
          <w:rFonts w:ascii="Times New Roman" w:hAnsi="Times New Roman" w:cs="Times New Roman"/>
          <w:sz w:val="24"/>
          <w:szCs w:val="24"/>
          <w:lang w:val="sr-Cyrl-CS"/>
        </w:rPr>
        <w:t>Развој енергетских сектора до 2040. године</w:t>
      </w:r>
      <w:r w:rsidR="00750256" w:rsidRPr="00750256">
        <w:rPr>
          <w:rFonts w:ascii="Times New Roman" w:hAnsi="Times New Roman" w:cs="Times New Roman"/>
          <w:sz w:val="24"/>
          <w:szCs w:val="24"/>
          <w:lang w:val="sr-Cyrl-CS"/>
        </w:rPr>
        <w:t xml:space="preserve"> дефинише</w:t>
      </w:r>
      <w:r w:rsidR="00F55246" w:rsidRPr="00750256">
        <w:rPr>
          <w:rFonts w:ascii="Times New Roman" w:hAnsi="Times New Roman" w:cs="Times New Roman"/>
          <w:sz w:val="24"/>
          <w:szCs w:val="24"/>
          <w:lang w:val="sr-Cyrl-CS"/>
        </w:rPr>
        <w:t xml:space="preserve"> циљев</w:t>
      </w:r>
      <w:r w:rsidR="00750256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F55246" w:rsidRPr="00750256">
        <w:rPr>
          <w:rFonts w:ascii="Times New Roman" w:hAnsi="Times New Roman" w:cs="Times New Roman"/>
          <w:sz w:val="24"/>
          <w:szCs w:val="24"/>
          <w:lang w:val="sr-Cyrl-CS"/>
        </w:rPr>
        <w:t>, мере, индикатор</w:t>
      </w:r>
      <w:r w:rsidR="00750256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F55246" w:rsidRPr="00750256">
        <w:rPr>
          <w:rFonts w:ascii="Times New Roman" w:hAnsi="Times New Roman" w:cs="Times New Roman"/>
          <w:sz w:val="24"/>
          <w:szCs w:val="24"/>
          <w:lang w:val="sr-Cyrl-CS"/>
        </w:rPr>
        <w:t xml:space="preserve"> и потребне инвестиције и то </w:t>
      </w:r>
      <w:r w:rsidR="00916C35" w:rsidRPr="00750256">
        <w:rPr>
          <w:rFonts w:ascii="Times New Roman" w:hAnsi="Times New Roman" w:cs="Times New Roman"/>
          <w:sz w:val="24"/>
          <w:szCs w:val="24"/>
          <w:lang w:val="sr-Cyrl-CS"/>
        </w:rPr>
        <w:t>за све области: електрична енергија, топлотна енергија, обновљиви извори енергије, енергетска ефикасност , природни гас, нафта и угаљ.</w:t>
      </w:r>
    </w:p>
    <w:p w14:paraId="6137FA44" w14:textId="16CE64EB" w:rsidR="006D7752" w:rsidRPr="00B620BD" w:rsidRDefault="006D7752" w:rsidP="005B3D1E">
      <w:pPr>
        <w:pStyle w:val="ListParagraph"/>
        <w:numPr>
          <w:ilvl w:val="0"/>
          <w:numId w:val="17"/>
        </w:numPr>
        <w:spacing w:after="0" w:line="276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620BD">
        <w:rPr>
          <w:rFonts w:ascii="Times New Roman" w:hAnsi="Times New Roman" w:cs="Times New Roman"/>
          <w:sz w:val="24"/>
          <w:szCs w:val="24"/>
          <w:lang w:val="sr-Cyrl-CS"/>
        </w:rPr>
        <w:t>Поред тога представљене су и информације о могућности коришћења водоника у енергетској транзицији као и могућност коришћења и значај нуклеарне енергије за процес декарбонизације.</w:t>
      </w:r>
    </w:p>
    <w:p w14:paraId="1F1A5B80" w14:textId="68E42CB3" w:rsidR="00D12B25" w:rsidRPr="00750256" w:rsidRDefault="00127FEE" w:rsidP="005B3D1E">
      <w:pPr>
        <w:pStyle w:val="ListParagraph"/>
        <w:numPr>
          <w:ilvl w:val="0"/>
          <w:numId w:val="17"/>
        </w:numPr>
        <w:spacing w:after="0" w:line="276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50256">
        <w:rPr>
          <w:rFonts w:ascii="Times New Roman" w:hAnsi="Times New Roman" w:cs="Times New Roman"/>
          <w:sz w:val="24"/>
          <w:szCs w:val="24"/>
          <w:lang w:val="sr-Cyrl-CS"/>
        </w:rPr>
        <w:t>Оквир и оцена утицаја могућих промена међународне позиције Србије и интеграционих процеса на енергетски развој</w:t>
      </w:r>
      <w:r w:rsidR="00750256" w:rsidRPr="00750256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964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D7752" w:rsidRPr="00750256">
        <w:rPr>
          <w:rFonts w:ascii="Times New Roman" w:hAnsi="Times New Roman" w:cs="Times New Roman"/>
          <w:sz w:val="24"/>
          <w:szCs w:val="24"/>
          <w:lang w:val="sr-Cyrl-CS"/>
        </w:rPr>
        <w:t>У оквиру овог поглавља сагледане су међународне обавезе и њихов утицај на развој енергетског сектора Србије, међу којима је свакако највећи утицај примена система трговине емисионим јединицама</w:t>
      </w:r>
      <w:r w:rsidR="003555FE" w:rsidRPr="00750256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305C650B" w14:textId="6CC6AD57" w:rsidR="003555FE" w:rsidRPr="00750256" w:rsidRDefault="00127FEE" w:rsidP="005B3D1E">
      <w:pPr>
        <w:pStyle w:val="ListParagraph"/>
        <w:numPr>
          <w:ilvl w:val="0"/>
          <w:numId w:val="14"/>
        </w:numPr>
        <w:spacing w:after="0" w:line="276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50256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Анализа ефеката спровођења Стратегије</w:t>
      </w:r>
      <w:r w:rsidR="00750256" w:rsidRPr="00750256">
        <w:rPr>
          <w:rFonts w:ascii="Times New Roman" w:hAnsi="Times New Roman" w:cs="Times New Roman"/>
          <w:sz w:val="24"/>
          <w:szCs w:val="24"/>
          <w:lang w:val="sr-Cyrl-CS"/>
        </w:rPr>
        <w:t xml:space="preserve"> која је </w:t>
      </w:r>
      <w:r w:rsidR="003555FE" w:rsidRPr="00750256">
        <w:rPr>
          <w:rFonts w:ascii="Times New Roman" w:hAnsi="Times New Roman" w:cs="Times New Roman"/>
          <w:sz w:val="24"/>
          <w:szCs w:val="24"/>
          <w:lang w:val="sr-Cyrl-CS"/>
        </w:rPr>
        <w:t xml:space="preserve"> приказана је кроз релевантне информације које се односе на</w:t>
      </w:r>
      <w:r w:rsidR="00750256" w:rsidRPr="00750256">
        <w:rPr>
          <w:rFonts w:ascii="Times New Roman" w:hAnsi="Times New Roman" w:cs="Times New Roman"/>
          <w:sz w:val="24"/>
          <w:szCs w:val="24"/>
          <w:lang w:val="sr-Cyrl-CS"/>
        </w:rPr>
        <w:t xml:space="preserve"> м</w:t>
      </w:r>
      <w:r w:rsidR="006B5B5A" w:rsidRPr="00750256">
        <w:rPr>
          <w:rFonts w:ascii="Times New Roman" w:hAnsi="Times New Roman" w:cs="Times New Roman"/>
          <w:sz w:val="24"/>
          <w:szCs w:val="24"/>
          <w:lang w:val="sr-Cyrl-CS"/>
        </w:rPr>
        <w:t>акроекономске индикаторе</w:t>
      </w:r>
      <w:r w:rsidR="00750256" w:rsidRPr="00750256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3A4BC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50256" w:rsidRPr="00750256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3555FE" w:rsidRPr="00750256">
        <w:rPr>
          <w:rFonts w:ascii="Times New Roman" w:hAnsi="Times New Roman" w:cs="Times New Roman"/>
          <w:sz w:val="24"/>
          <w:szCs w:val="24"/>
          <w:lang w:val="sr-Cyrl-CS"/>
        </w:rPr>
        <w:t>егионални развој</w:t>
      </w:r>
      <w:r w:rsidR="00750256" w:rsidRPr="00750256">
        <w:rPr>
          <w:rFonts w:ascii="Times New Roman" w:hAnsi="Times New Roman" w:cs="Times New Roman"/>
          <w:sz w:val="24"/>
          <w:szCs w:val="24"/>
          <w:lang w:val="sr-Cyrl-CS"/>
        </w:rPr>
        <w:t>, т</w:t>
      </w:r>
      <w:r w:rsidR="003555FE" w:rsidRPr="00750256">
        <w:rPr>
          <w:rFonts w:ascii="Times New Roman" w:hAnsi="Times New Roman" w:cs="Times New Roman"/>
          <w:sz w:val="24"/>
          <w:szCs w:val="24"/>
          <w:lang w:val="sr-Cyrl-CS"/>
        </w:rPr>
        <w:t>ехнолошки и научно-истраживачки развој и иновације</w:t>
      </w:r>
      <w:r w:rsidR="00750256" w:rsidRPr="00750256">
        <w:rPr>
          <w:rFonts w:ascii="Times New Roman" w:hAnsi="Times New Roman" w:cs="Times New Roman"/>
          <w:sz w:val="24"/>
          <w:szCs w:val="24"/>
          <w:lang w:val="sr-Cyrl-CS"/>
        </w:rPr>
        <w:t>, с</w:t>
      </w:r>
      <w:r w:rsidR="003555FE" w:rsidRPr="00750256">
        <w:rPr>
          <w:rFonts w:ascii="Times New Roman" w:hAnsi="Times New Roman" w:cs="Times New Roman"/>
          <w:sz w:val="24"/>
          <w:szCs w:val="24"/>
          <w:lang w:val="sr-Cyrl-CS"/>
        </w:rPr>
        <w:t>оцијалн</w:t>
      </w:r>
      <w:r w:rsidR="00750256" w:rsidRPr="00750256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3555FE" w:rsidRPr="00750256">
        <w:rPr>
          <w:rFonts w:ascii="Times New Roman" w:hAnsi="Times New Roman" w:cs="Times New Roman"/>
          <w:sz w:val="24"/>
          <w:szCs w:val="24"/>
          <w:lang w:val="sr-Cyrl-CS"/>
        </w:rPr>
        <w:t xml:space="preserve"> димензиј</w:t>
      </w:r>
      <w:r w:rsidR="00750256" w:rsidRPr="00750256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3555FE" w:rsidRPr="00750256">
        <w:rPr>
          <w:rFonts w:ascii="Times New Roman" w:hAnsi="Times New Roman" w:cs="Times New Roman"/>
          <w:sz w:val="24"/>
          <w:szCs w:val="24"/>
          <w:lang w:val="sr-Cyrl-CS"/>
        </w:rPr>
        <w:t xml:space="preserve"> нове енергетске стратегије</w:t>
      </w:r>
      <w:r w:rsidR="00750256" w:rsidRPr="00750256">
        <w:rPr>
          <w:rFonts w:ascii="Times New Roman" w:hAnsi="Times New Roman" w:cs="Times New Roman"/>
          <w:sz w:val="24"/>
          <w:szCs w:val="24"/>
          <w:lang w:val="sr-Cyrl-CS"/>
        </w:rPr>
        <w:t>, ц</w:t>
      </w:r>
      <w:r w:rsidR="003555FE" w:rsidRPr="00750256">
        <w:rPr>
          <w:rFonts w:ascii="Times New Roman" w:hAnsi="Times New Roman" w:cs="Times New Roman"/>
          <w:sz w:val="24"/>
          <w:szCs w:val="24"/>
          <w:lang w:val="sr-Cyrl-CS"/>
        </w:rPr>
        <w:t>ене енергије и њихова социјална подношљивост</w:t>
      </w:r>
      <w:r w:rsidR="00750256" w:rsidRPr="00750256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750256">
        <w:rPr>
          <w:rFonts w:ascii="Times New Roman" w:hAnsi="Times New Roman" w:cs="Times New Roman"/>
          <w:sz w:val="24"/>
          <w:szCs w:val="24"/>
          <w:lang w:val="sr-Cyrl-CS"/>
        </w:rPr>
        <w:t>аспект праведне енергетске транзиције.</w:t>
      </w:r>
    </w:p>
    <w:p w14:paraId="5CC01073" w14:textId="7C736A61" w:rsidR="003555FE" w:rsidRPr="00392241" w:rsidRDefault="00127FEE" w:rsidP="005B3D1E">
      <w:pPr>
        <w:pStyle w:val="ListParagraph"/>
        <w:numPr>
          <w:ilvl w:val="0"/>
          <w:numId w:val="14"/>
        </w:numPr>
        <w:tabs>
          <w:tab w:val="left" w:pos="810"/>
          <w:tab w:val="left" w:pos="1080"/>
        </w:tabs>
        <w:spacing w:after="0" w:line="276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92241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3555FE" w:rsidRPr="00392241">
        <w:rPr>
          <w:rFonts w:ascii="Times New Roman" w:hAnsi="Times New Roman" w:cs="Times New Roman"/>
          <w:sz w:val="24"/>
          <w:szCs w:val="24"/>
          <w:lang w:val="sr-Cyrl-CS"/>
        </w:rPr>
        <w:t>изија енергетике Републике  Србије нак</w:t>
      </w:r>
      <w:r w:rsidRPr="00392241">
        <w:rPr>
          <w:rFonts w:ascii="Times New Roman" w:hAnsi="Times New Roman" w:cs="Times New Roman"/>
          <w:sz w:val="24"/>
          <w:szCs w:val="24"/>
          <w:lang w:val="sr-Cyrl-CS"/>
        </w:rPr>
        <w:t>он 2040. године</w:t>
      </w:r>
      <w:r w:rsidR="00392241" w:rsidRPr="00392241">
        <w:rPr>
          <w:rFonts w:ascii="Times New Roman" w:hAnsi="Times New Roman" w:cs="Times New Roman"/>
          <w:sz w:val="24"/>
          <w:szCs w:val="24"/>
          <w:lang w:val="sr-Cyrl-CS"/>
        </w:rPr>
        <w:t xml:space="preserve"> указује на </w:t>
      </w:r>
      <w:r w:rsidR="003555FE" w:rsidRPr="00392241">
        <w:rPr>
          <w:rFonts w:ascii="Times New Roman" w:hAnsi="Times New Roman" w:cs="Times New Roman"/>
          <w:sz w:val="24"/>
          <w:szCs w:val="24"/>
          <w:lang w:val="sr-Cyrl-CS"/>
        </w:rPr>
        <w:t xml:space="preserve"> активност и мер</w:t>
      </w:r>
      <w:r w:rsidR="00392241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="003555FE" w:rsidRPr="00392241">
        <w:rPr>
          <w:rFonts w:ascii="Times New Roman" w:hAnsi="Times New Roman" w:cs="Times New Roman"/>
          <w:sz w:val="24"/>
          <w:szCs w:val="24"/>
          <w:lang w:val="sr-Cyrl-CS"/>
        </w:rPr>
        <w:t>које је потребно предузети за даљи развој енергетског сектора у циљу достизања климатске неутралности.</w:t>
      </w:r>
    </w:p>
    <w:p w14:paraId="4E063ADB" w14:textId="3D695F1E" w:rsidR="00127FEE" w:rsidRPr="00BB3AEB" w:rsidRDefault="00127FEE" w:rsidP="005B3D1E">
      <w:pPr>
        <w:pStyle w:val="ListParagraph"/>
        <w:numPr>
          <w:ilvl w:val="0"/>
          <w:numId w:val="14"/>
        </w:numPr>
        <w:spacing w:after="0" w:line="276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B3AEB">
        <w:rPr>
          <w:rFonts w:ascii="Times New Roman" w:hAnsi="Times New Roman" w:cs="Times New Roman"/>
          <w:sz w:val="24"/>
          <w:szCs w:val="24"/>
          <w:lang w:val="sr-Cyrl-CS"/>
        </w:rPr>
        <w:t>Пројекције Енергетског биланса Републике Србије</w:t>
      </w:r>
      <w:r w:rsidR="00BB3AE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E136248" w14:textId="77035D7F" w:rsidR="00D12B25" w:rsidRDefault="00D12B25" w:rsidP="00CD46E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5FEA77F" w14:textId="77777777" w:rsidR="00FB046F" w:rsidRPr="007C1A32" w:rsidRDefault="00FB046F" w:rsidP="00E96A7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1FB9D79" w14:textId="650B1CF0" w:rsidR="0052069A" w:rsidRPr="003A4BC8" w:rsidRDefault="003555FE" w:rsidP="00FB046F">
      <w:pPr>
        <w:spacing w:after="0" w:line="276" w:lineRule="auto"/>
        <w:ind w:left="1440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3A4BC8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I</w:t>
      </w:r>
      <w:r w:rsidRPr="003A4BC8"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="0052069A" w:rsidRPr="003A4BC8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 xml:space="preserve">. </w:t>
      </w:r>
      <w:r w:rsidR="0052069A" w:rsidRPr="003A4BC8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ПРОЦЕНА ФИНАНСИЈСКИХ СРЕДСТАВА ПОТРЕБНИХ ЗА СПРОВОЂЕЊЕ </w:t>
      </w:r>
      <w:r w:rsidR="00CC6BB2" w:rsidRPr="003A4BC8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СТРАТЕГИЈЕ</w:t>
      </w:r>
    </w:p>
    <w:p w14:paraId="0B4217A8" w14:textId="77777777" w:rsidR="00FF0577" w:rsidRPr="003A4BC8" w:rsidRDefault="00FF0577" w:rsidP="003555FE">
      <w:pPr>
        <w:spacing w:after="0" w:line="276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14:paraId="6135A514" w14:textId="79AD4536" w:rsidR="00FF0577" w:rsidRDefault="00FF0577" w:rsidP="003555FE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оквиру анализе ефеката спровођења Стратегије посебан осврт је дат на Иневстиције у </w:t>
      </w:r>
      <w:r w:rsidR="00916C35">
        <w:rPr>
          <w:rFonts w:ascii="Times New Roman" w:hAnsi="Times New Roman" w:cs="Times New Roman"/>
          <w:sz w:val="24"/>
          <w:szCs w:val="24"/>
          <w:lang w:val="sr-Cyrl-CS"/>
        </w:rPr>
        <w:t>енергетски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сектор Републике Србије. Потребне су </w:t>
      </w:r>
      <w:r w:rsidRPr="00CD46EC">
        <w:rPr>
          <w:rFonts w:ascii="Times New Roman" w:hAnsi="Times New Roman" w:cs="Times New Roman"/>
          <w:sz w:val="24"/>
          <w:szCs w:val="24"/>
          <w:lang w:val="sr-Cyrl-CS"/>
        </w:rPr>
        <w:t>значајне инвестиције у енергетски сектор, како у нове капацитете производње, преноса и коришћења енергије из обновљивих извора, тако и у пројекте енергетске инфраструктуре, преносних система, паметних система енергетског умрежавања, урбане енергетике, саобраћаја, зградарства, итд. Уз одговарајуће планове енергетског реструктурирања, демонополизације и економизације енергетског сектора, ти пројекти би могли да донесу по једну милијарду евра страних, и једну милијарду евра домаћих инвестиција у енергетски сектор годишње, до краја треће деценије 21. века, а касније и више од тога. Реч је о улагањима, са једне стране у уређаје за пречишћавање (одсумпоравање и денитрификацију) постојећих и још активних термо капацитета, заштиту земљишта, неутрализацију и обезбеђивање пепелишта, рекултивацију јаловишта и др, као и у нове капацитете ОИЕ (хидроелектране и реверзибилне хидроелектране, соларне електране, ветрогенераторе), односно у модернизацију система даљинског грејања.</w:t>
      </w:r>
    </w:p>
    <w:p w14:paraId="0722FB1C" w14:textId="620AE1B5" w:rsidR="003555FE" w:rsidRDefault="00914D89" w:rsidP="003555FE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поглављу </w:t>
      </w:r>
      <w:r w:rsidR="003555FE" w:rsidRPr="00CD46EC">
        <w:rPr>
          <w:rFonts w:ascii="Times New Roman" w:hAnsi="Times New Roman" w:cs="Times New Roman"/>
          <w:sz w:val="24"/>
          <w:szCs w:val="24"/>
          <w:lang w:val="sr-Cyrl-CS"/>
        </w:rPr>
        <w:t xml:space="preserve">Развој енергетских сектора до 2040. године представљени су главни циљеви и правци развоја </w:t>
      </w:r>
      <w:r w:rsidR="003555FE">
        <w:rPr>
          <w:rFonts w:ascii="Times New Roman" w:hAnsi="Times New Roman" w:cs="Times New Roman"/>
          <w:sz w:val="24"/>
          <w:szCs w:val="24"/>
          <w:lang w:val="sr-Cyrl-CS"/>
        </w:rPr>
        <w:t>за област електричне енергије, област топлотне енергије, област обновљивих извора енергије, област угља, област нафте и нафтних деривата, област енергетске ефикасности.</w:t>
      </w:r>
    </w:p>
    <w:p w14:paraId="7CB92414" w14:textId="23549C69" w:rsidR="003555FE" w:rsidRPr="00CD46EC" w:rsidRDefault="003555FE" w:rsidP="00CD46E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F0577">
        <w:rPr>
          <w:rFonts w:ascii="Times New Roman" w:hAnsi="Times New Roman" w:cs="Times New Roman"/>
          <w:sz w:val="24"/>
          <w:szCs w:val="24"/>
          <w:lang w:val="sr-Cyrl-CS"/>
        </w:rPr>
        <w:t xml:space="preserve">За сваку од наведених области </w:t>
      </w:r>
      <w:r w:rsidR="00FF0577" w:rsidRPr="00CD46EC">
        <w:rPr>
          <w:rFonts w:ascii="Times New Roman" w:hAnsi="Times New Roman" w:cs="Times New Roman"/>
          <w:sz w:val="24"/>
          <w:szCs w:val="24"/>
          <w:lang w:val="sr-Cyrl-CS"/>
        </w:rPr>
        <w:t xml:space="preserve">приказана је процена финансијских средстава потребних за реализацију </w:t>
      </w:r>
      <w:r w:rsidR="00FF0577">
        <w:rPr>
          <w:rFonts w:ascii="Times New Roman" w:hAnsi="Times New Roman" w:cs="Times New Roman"/>
          <w:sz w:val="24"/>
          <w:szCs w:val="24"/>
          <w:lang w:val="sr-Cyrl-CS"/>
        </w:rPr>
        <w:t xml:space="preserve">наведених </w:t>
      </w:r>
      <w:r w:rsidR="00FF0577" w:rsidRPr="00CD46EC">
        <w:rPr>
          <w:rFonts w:ascii="Times New Roman" w:hAnsi="Times New Roman" w:cs="Times New Roman"/>
          <w:sz w:val="24"/>
          <w:szCs w:val="24"/>
          <w:lang w:val="sr-Cyrl-CS"/>
        </w:rPr>
        <w:t>циљева.</w:t>
      </w:r>
      <w:r w:rsidR="00CC6BB2" w:rsidRPr="00CC6BB2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 w:rsidR="00CC6BB2" w:rsidRPr="005A4F6A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Планирана средства за реализацију ов</w:t>
      </w:r>
      <w:r w:rsidR="00CC6BB2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е</w:t>
      </w:r>
      <w:r w:rsidR="00CC6BB2" w:rsidRPr="005A4F6A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 w:rsidR="00CC6BB2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Стратегије</w:t>
      </w:r>
      <w:r w:rsidR="00CC6BB2" w:rsidRPr="005A4F6A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обезбедиће се у складу са билансним могућностима буџета РС</w:t>
      </w:r>
      <w:r w:rsidR="00CC6BB2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.</w:t>
      </w:r>
    </w:p>
    <w:p w14:paraId="331B38CC" w14:textId="071A03E3" w:rsidR="00FF0577" w:rsidRPr="00CD46EC" w:rsidRDefault="00FF0577" w:rsidP="00CD46E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D46EC">
        <w:rPr>
          <w:rFonts w:ascii="Times New Roman" w:hAnsi="Times New Roman" w:cs="Times New Roman"/>
          <w:sz w:val="24"/>
          <w:szCs w:val="24"/>
          <w:lang w:val="sr-Cyrl-CS"/>
        </w:rPr>
        <w:t>Степен остварења циљева ће у великој мери зависити од интеграције енергетског тржишта Републике Србије у међународно и ЕУ тржиште енергије, технологија, истраживања и услуга, али и од приступа фондовима Европске уније намењеним енергетској транзицији.</w:t>
      </w:r>
    </w:p>
    <w:p w14:paraId="3D45A016" w14:textId="77777777" w:rsidR="00FF0577" w:rsidRPr="00FF0577" w:rsidRDefault="00FF0577" w:rsidP="00CD46E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8F08C12" w14:textId="306EAB61" w:rsidR="00CD46EC" w:rsidRPr="00CD46EC" w:rsidRDefault="00CD46EC" w:rsidP="00CD46EC">
      <w:pPr>
        <w:pStyle w:val="Caption"/>
        <w:keepNext/>
        <w:tabs>
          <w:tab w:val="left" w:pos="810"/>
        </w:tabs>
        <w:ind w:left="810" w:hanging="810"/>
        <w:rPr>
          <w:rFonts w:ascii="Times New Roman" w:hAnsi="Times New Roman"/>
          <w:b w:val="0"/>
          <w:bCs w:val="0"/>
          <w:color w:val="auto"/>
          <w:sz w:val="24"/>
          <w:szCs w:val="24"/>
          <w:lang w:val="sr-Cyrl-CS"/>
        </w:rPr>
      </w:pPr>
      <w:r w:rsidRPr="00CD46EC">
        <w:rPr>
          <w:rFonts w:ascii="Times New Roman" w:hAnsi="Times New Roman"/>
          <w:b w:val="0"/>
          <w:bCs w:val="0"/>
          <w:color w:val="auto"/>
          <w:sz w:val="24"/>
          <w:szCs w:val="24"/>
          <w:lang w:val="sr-Cyrl-CS"/>
        </w:rPr>
        <w:lastRenderedPageBreak/>
        <w:t>Потребне инвестиције у област електричне енергије:</w:t>
      </w:r>
    </w:p>
    <w:tbl>
      <w:tblPr>
        <w:tblStyle w:val="TableGrid1"/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965"/>
        <w:gridCol w:w="4501"/>
        <w:gridCol w:w="1888"/>
      </w:tblGrid>
      <w:tr w:rsidR="00FD346C" w:rsidRPr="00BB3AEB" w14:paraId="15A4EB82" w14:textId="77777777" w:rsidTr="003D10DA">
        <w:trPr>
          <w:tblHeader/>
        </w:trPr>
        <w:tc>
          <w:tcPr>
            <w:tcW w:w="1585" w:type="pct"/>
            <w:vAlign w:val="center"/>
          </w:tcPr>
          <w:p w14:paraId="1C4E084C" w14:textId="77777777" w:rsidR="00FD346C" w:rsidRPr="00BB3AEB" w:rsidRDefault="00FD346C" w:rsidP="00FD346C">
            <w:pPr>
              <w:keepNext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BB3AEB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Подобласт</w:t>
            </w:r>
          </w:p>
        </w:tc>
        <w:tc>
          <w:tcPr>
            <w:tcW w:w="2406" w:type="pct"/>
            <w:vAlign w:val="center"/>
          </w:tcPr>
          <w:p w14:paraId="78A11782" w14:textId="77777777" w:rsidR="00FD346C" w:rsidRPr="00BB3AEB" w:rsidRDefault="00FD346C" w:rsidP="00FD346C">
            <w:pPr>
              <w:keepNext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BB3AEB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Активности</w:t>
            </w:r>
          </w:p>
        </w:tc>
        <w:tc>
          <w:tcPr>
            <w:tcW w:w="1009" w:type="pct"/>
            <w:vAlign w:val="center"/>
          </w:tcPr>
          <w:p w14:paraId="570FD681" w14:textId="77777777" w:rsidR="00FD346C" w:rsidRPr="00BB3AEB" w:rsidRDefault="00FD346C" w:rsidP="00FD346C">
            <w:pPr>
              <w:keepNext/>
              <w:jc w:val="center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BB3AEB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Инвестиција</w:t>
            </w:r>
            <w:r w:rsidRPr="00BB3AEB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br/>
              <w:t>(милиона ЕУР)</w:t>
            </w:r>
          </w:p>
        </w:tc>
      </w:tr>
      <w:tr w:rsidR="00FD346C" w:rsidRPr="00BB3AEB" w14:paraId="0DAB639F" w14:textId="77777777" w:rsidTr="003D10DA">
        <w:trPr>
          <w:trHeight w:val="1064"/>
        </w:trPr>
        <w:tc>
          <w:tcPr>
            <w:tcW w:w="1585" w:type="pct"/>
            <w:vAlign w:val="center"/>
          </w:tcPr>
          <w:p w14:paraId="72EB8921" w14:textId="77777777" w:rsidR="00FD346C" w:rsidRPr="00BB3AEB" w:rsidRDefault="00FD346C" w:rsidP="00FD346C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BB3AEB">
              <w:rPr>
                <w:rFonts w:ascii="Times New Roman" w:eastAsia="Calibri" w:hAnsi="Times New Roman" w:cs="Times New Roman"/>
                <w:lang w:val="sr-Cyrl-RS"/>
              </w:rPr>
              <w:t>Ревитализација свих 10 агрегата у ХЕ Ђердап 2</w:t>
            </w:r>
          </w:p>
        </w:tc>
        <w:tc>
          <w:tcPr>
            <w:tcW w:w="2406" w:type="pct"/>
            <w:vAlign w:val="center"/>
          </w:tcPr>
          <w:p w14:paraId="50F8ABF3" w14:textId="77777777" w:rsidR="00FD346C" w:rsidRPr="00BB3AEB" w:rsidRDefault="00FD346C" w:rsidP="00FD346C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BB3AEB">
              <w:rPr>
                <w:rFonts w:ascii="Times New Roman" w:eastAsia="Calibri" w:hAnsi="Times New Roman" w:cs="Times New Roman"/>
                <w:lang w:val="sr-Cyrl-RS"/>
              </w:rPr>
              <w:t>Ревитализација свих агрегата у периоду од 2025 – 2037. године, при чему ће снага сваког агрегата бити повећана са 27 MW на 32 MW</w:t>
            </w:r>
          </w:p>
        </w:tc>
        <w:tc>
          <w:tcPr>
            <w:tcW w:w="1009" w:type="pct"/>
            <w:vAlign w:val="center"/>
          </w:tcPr>
          <w:p w14:paraId="6EE977F2" w14:textId="77777777" w:rsidR="00FD346C" w:rsidRPr="00BB3AEB" w:rsidRDefault="00FD346C" w:rsidP="00FD346C">
            <w:pPr>
              <w:jc w:val="right"/>
              <w:rPr>
                <w:rFonts w:ascii="Times New Roman" w:eastAsia="Times New Roman" w:hAnsi="Times New Roman" w:cs="Times New Roman"/>
                <w:lang w:val="sr-Cyrl-RS"/>
              </w:rPr>
            </w:pPr>
            <w:r w:rsidRPr="00BB3AEB">
              <w:rPr>
                <w:rFonts w:ascii="Times New Roman" w:eastAsia="Times New Roman" w:hAnsi="Times New Roman" w:cs="Times New Roman"/>
                <w:lang w:val="sr-Cyrl-RS"/>
              </w:rPr>
              <w:t>213</w:t>
            </w:r>
          </w:p>
        </w:tc>
      </w:tr>
      <w:tr w:rsidR="00FD346C" w:rsidRPr="00BB3AEB" w14:paraId="0BA77EC4" w14:textId="77777777" w:rsidTr="003D10DA">
        <w:trPr>
          <w:trHeight w:val="711"/>
        </w:trPr>
        <w:tc>
          <w:tcPr>
            <w:tcW w:w="1585" w:type="pct"/>
            <w:vAlign w:val="center"/>
          </w:tcPr>
          <w:p w14:paraId="03198309" w14:textId="77777777" w:rsidR="00FD346C" w:rsidRPr="00BB3AEB" w:rsidRDefault="00FD346C" w:rsidP="00FD346C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BB3AEB">
              <w:rPr>
                <w:rFonts w:ascii="Times New Roman" w:eastAsia="Calibri" w:hAnsi="Times New Roman" w:cs="Times New Roman"/>
                <w:lang w:val="sr-Cyrl-RS"/>
              </w:rPr>
              <w:t>Ревитализација Власинских ХЕ</w:t>
            </w:r>
          </w:p>
        </w:tc>
        <w:tc>
          <w:tcPr>
            <w:tcW w:w="2406" w:type="pct"/>
            <w:vAlign w:val="center"/>
          </w:tcPr>
          <w:p w14:paraId="04C4B38F" w14:textId="77777777" w:rsidR="00FD346C" w:rsidRPr="00BB3AEB" w:rsidRDefault="00FD346C" w:rsidP="00FD346C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BB3AEB">
              <w:rPr>
                <w:rFonts w:ascii="Times New Roman" w:eastAsia="Calibri" w:hAnsi="Times New Roman" w:cs="Times New Roman"/>
                <w:lang w:val="sr-Cyrl-RS"/>
              </w:rPr>
              <w:t xml:space="preserve">Ревитализација свих агрегата у периоду од 2025 – 2028. године, </w:t>
            </w:r>
            <w:proofErr w:type="spellStart"/>
            <w:r w:rsidRPr="00BB3AEB">
              <w:rPr>
                <w:rFonts w:ascii="Times New Roman" w:eastAsia="Times New Roman" w:hAnsi="Times New Roman" w:cs="Times New Roman"/>
              </w:rPr>
              <w:t>при</w:t>
            </w:r>
            <w:proofErr w:type="spellEnd"/>
            <w:r w:rsidRPr="00BB3AE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B3AEB">
              <w:rPr>
                <w:rFonts w:ascii="Times New Roman" w:eastAsia="Times New Roman" w:hAnsi="Times New Roman" w:cs="Times New Roman"/>
              </w:rPr>
              <w:t>чему</w:t>
            </w:r>
            <w:proofErr w:type="spellEnd"/>
            <w:r w:rsidRPr="00BB3AE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B3AEB">
              <w:rPr>
                <w:rFonts w:ascii="Times New Roman" w:eastAsia="Times New Roman" w:hAnsi="Times New Roman" w:cs="Times New Roman"/>
              </w:rPr>
              <w:t>ће</w:t>
            </w:r>
            <w:proofErr w:type="spellEnd"/>
            <w:r w:rsidRPr="00BB3AE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B3AEB">
              <w:rPr>
                <w:rFonts w:ascii="Times New Roman" w:eastAsia="Times New Roman" w:hAnsi="Times New Roman" w:cs="Times New Roman"/>
              </w:rPr>
              <w:t>укупна</w:t>
            </w:r>
            <w:proofErr w:type="spellEnd"/>
            <w:r w:rsidRPr="00BB3AE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B3AEB">
              <w:rPr>
                <w:rFonts w:ascii="Times New Roman" w:eastAsia="Times New Roman" w:hAnsi="Times New Roman" w:cs="Times New Roman"/>
              </w:rPr>
              <w:t>снага</w:t>
            </w:r>
            <w:proofErr w:type="spellEnd"/>
            <w:r w:rsidRPr="00BB3AE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B3AEB">
              <w:rPr>
                <w:rFonts w:ascii="Times New Roman" w:eastAsia="Times New Roman" w:hAnsi="Times New Roman" w:cs="Times New Roman"/>
              </w:rPr>
              <w:t>бити</w:t>
            </w:r>
            <w:proofErr w:type="spellEnd"/>
            <w:r w:rsidRPr="00BB3AE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B3AEB">
              <w:rPr>
                <w:rFonts w:ascii="Times New Roman" w:eastAsia="Times New Roman" w:hAnsi="Times New Roman" w:cs="Times New Roman"/>
              </w:rPr>
              <w:t>повећана</w:t>
            </w:r>
            <w:proofErr w:type="spellEnd"/>
            <w:r w:rsidRPr="00BB3AE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B3AEB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BB3AE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B3AEB">
              <w:rPr>
                <w:rFonts w:ascii="Times New Roman" w:eastAsia="Times New Roman" w:hAnsi="Times New Roman" w:cs="Times New Roman"/>
              </w:rPr>
              <w:t>око</w:t>
            </w:r>
            <w:proofErr w:type="spellEnd"/>
            <w:r w:rsidRPr="00BB3AEB">
              <w:rPr>
                <w:rFonts w:ascii="Times New Roman" w:eastAsia="Times New Roman" w:hAnsi="Times New Roman" w:cs="Times New Roman"/>
              </w:rPr>
              <w:t xml:space="preserve"> 8 MW</w:t>
            </w:r>
          </w:p>
        </w:tc>
        <w:tc>
          <w:tcPr>
            <w:tcW w:w="1009" w:type="pct"/>
            <w:vAlign w:val="center"/>
          </w:tcPr>
          <w:p w14:paraId="09292CC7" w14:textId="77777777" w:rsidR="00FD346C" w:rsidRPr="00BB3AEB" w:rsidRDefault="00FD346C" w:rsidP="00FD346C">
            <w:pPr>
              <w:jc w:val="right"/>
              <w:rPr>
                <w:rFonts w:ascii="Times New Roman" w:eastAsia="Times New Roman" w:hAnsi="Times New Roman" w:cs="Times New Roman"/>
                <w:lang w:val="sr-Cyrl-RS"/>
              </w:rPr>
            </w:pPr>
            <w:r w:rsidRPr="00BB3AEB">
              <w:rPr>
                <w:rFonts w:ascii="Times New Roman" w:eastAsia="Times New Roman" w:hAnsi="Times New Roman" w:cs="Times New Roman"/>
                <w:lang w:val="sr-Cyrl-RS"/>
              </w:rPr>
              <w:t>77,50</w:t>
            </w:r>
          </w:p>
        </w:tc>
      </w:tr>
      <w:tr w:rsidR="00FD346C" w:rsidRPr="00BB3AEB" w14:paraId="32761DD5" w14:textId="77777777" w:rsidTr="003D10DA">
        <w:trPr>
          <w:trHeight w:val="711"/>
        </w:trPr>
        <w:tc>
          <w:tcPr>
            <w:tcW w:w="1585" w:type="pct"/>
            <w:vAlign w:val="center"/>
          </w:tcPr>
          <w:p w14:paraId="33B6DD6E" w14:textId="77777777" w:rsidR="00FD346C" w:rsidRPr="00BB3AEB" w:rsidRDefault="00FD346C" w:rsidP="00FD346C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BB3AEB">
              <w:rPr>
                <w:rFonts w:ascii="Times New Roman" w:eastAsia="Calibri" w:hAnsi="Times New Roman" w:cs="Times New Roman"/>
                <w:lang w:val="sr-Cyrl-RS"/>
              </w:rPr>
              <w:t>Адаптација и инвестиционо одражавање ХЕ Бистрица</w:t>
            </w:r>
            <w:r w:rsidRPr="00BB3AEB" w:rsidDel="006D6E21">
              <w:rPr>
                <w:rFonts w:ascii="Times New Roman" w:eastAsia="Calibri" w:hAnsi="Times New Roman" w:cs="Times New Roman"/>
                <w:lang w:val="sr-Cyrl-RS"/>
              </w:rPr>
              <w:t xml:space="preserve"> </w:t>
            </w:r>
          </w:p>
        </w:tc>
        <w:tc>
          <w:tcPr>
            <w:tcW w:w="2406" w:type="pct"/>
            <w:vAlign w:val="center"/>
          </w:tcPr>
          <w:p w14:paraId="095988B1" w14:textId="77777777" w:rsidR="00FD346C" w:rsidRPr="00BB3AEB" w:rsidRDefault="00FD346C" w:rsidP="00FD346C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BB3AEB">
              <w:rPr>
                <w:rFonts w:ascii="Times New Roman" w:eastAsia="Calibri" w:hAnsi="Times New Roman" w:cs="Times New Roman"/>
                <w:lang w:val="sr-Cyrl-RS"/>
              </w:rPr>
              <w:t>Адаптација и инвестиционо одржавање хидромеханичке, машинске и електро опреме, без повећања инсталисане снаге</w:t>
            </w:r>
          </w:p>
        </w:tc>
        <w:tc>
          <w:tcPr>
            <w:tcW w:w="1009" w:type="pct"/>
            <w:vAlign w:val="center"/>
          </w:tcPr>
          <w:p w14:paraId="4ADD9A52" w14:textId="77777777" w:rsidR="00FD346C" w:rsidRPr="00BB3AEB" w:rsidRDefault="00FD346C" w:rsidP="00FD346C">
            <w:pPr>
              <w:jc w:val="right"/>
              <w:rPr>
                <w:rFonts w:ascii="Times New Roman" w:eastAsia="Times New Roman" w:hAnsi="Times New Roman" w:cs="Times New Roman"/>
                <w:lang w:val="sr-Cyrl-RS"/>
              </w:rPr>
            </w:pPr>
            <w:r w:rsidRPr="00BB3AEB">
              <w:rPr>
                <w:rFonts w:ascii="Times New Roman" w:eastAsia="Times New Roman" w:hAnsi="Times New Roman" w:cs="Times New Roman"/>
                <w:lang w:val="sr-Cyrl-RS"/>
              </w:rPr>
              <w:t>36,1</w:t>
            </w:r>
          </w:p>
        </w:tc>
      </w:tr>
      <w:tr w:rsidR="00FD346C" w:rsidRPr="00BB3AEB" w14:paraId="0984E505" w14:textId="77777777" w:rsidTr="003D10DA">
        <w:trPr>
          <w:trHeight w:val="390"/>
        </w:trPr>
        <w:tc>
          <w:tcPr>
            <w:tcW w:w="1585" w:type="pct"/>
            <w:vMerge w:val="restart"/>
            <w:vAlign w:val="center"/>
          </w:tcPr>
          <w:p w14:paraId="78635509" w14:textId="77777777" w:rsidR="00FD346C" w:rsidRPr="00BB3AEB" w:rsidRDefault="00FD346C" w:rsidP="00FD346C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BB3AEB">
              <w:rPr>
                <w:rFonts w:ascii="Times New Roman" w:eastAsia="Calibri" w:hAnsi="Times New Roman" w:cs="Times New Roman"/>
                <w:lang w:val="sr-Cyrl-RS"/>
              </w:rPr>
              <w:t>Изградња ХЕ</w:t>
            </w:r>
          </w:p>
        </w:tc>
        <w:tc>
          <w:tcPr>
            <w:tcW w:w="2406" w:type="pct"/>
            <w:vAlign w:val="center"/>
          </w:tcPr>
          <w:p w14:paraId="15C22040" w14:textId="77777777" w:rsidR="00FD346C" w:rsidRPr="00BB3AEB" w:rsidRDefault="00FD346C" w:rsidP="00FD346C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BB3AEB">
              <w:rPr>
                <w:rFonts w:ascii="Times New Roman" w:eastAsia="Calibri" w:hAnsi="Times New Roman" w:cs="Times New Roman"/>
                <w:lang w:val="sr-Cyrl-RS"/>
              </w:rPr>
              <w:t>Изградња ХЕ на Ибру (121 MW)</w:t>
            </w:r>
          </w:p>
        </w:tc>
        <w:tc>
          <w:tcPr>
            <w:tcW w:w="1009" w:type="pct"/>
            <w:vAlign w:val="center"/>
          </w:tcPr>
          <w:p w14:paraId="535BF2F8" w14:textId="77777777" w:rsidR="00FD346C" w:rsidRPr="00BB3AEB" w:rsidRDefault="00FD346C" w:rsidP="00FD346C">
            <w:pPr>
              <w:jc w:val="right"/>
              <w:rPr>
                <w:rFonts w:ascii="Times New Roman" w:eastAsia="Times New Roman" w:hAnsi="Times New Roman" w:cs="Times New Roman"/>
                <w:lang w:val="sr-Cyrl-RS"/>
              </w:rPr>
            </w:pPr>
            <w:r w:rsidRPr="00BB3AEB">
              <w:rPr>
                <w:rFonts w:ascii="Times New Roman" w:eastAsia="Times New Roman" w:hAnsi="Times New Roman" w:cs="Times New Roman"/>
                <w:lang w:val="sr-Cyrl-RS"/>
              </w:rPr>
              <w:t>350</w:t>
            </w:r>
          </w:p>
        </w:tc>
      </w:tr>
      <w:tr w:rsidR="00FD346C" w:rsidRPr="00BB3AEB" w14:paraId="6A319AE8" w14:textId="77777777" w:rsidTr="003D10DA">
        <w:trPr>
          <w:trHeight w:val="396"/>
        </w:trPr>
        <w:tc>
          <w:tcPr>
            <w:tcW w:w="1585" w:type="pct"/>
            <w:vMerge/>
            <w:vAlign w:val="center"/>
          </w:tcPr>
          <w:p w14:paraId="4A52AAE3" w14:textId="77777777" w:rsidR="00FD346C" w:rsidRPr="00BB3AEB" w:rsidRDefault="00FD346C" w:rsidP="00FD346C">
            <w:pPr>
              <w:rPr>
                <w:rFonts w:ascii="Times New Roman" w:eastAsia="Calibri" w:hAnsi="Times New Roman" w:cs="Times New Roman"/>
                <w:lang w:val="sr-Cyrl-RS"/>
              </w:rPr>
            </w:pPr>
          </w:p>
        </w:tc>
        <w:tc>
          <w:tcPr>
            <w:tcW w:w="2406" w:type="pct"/>
            <w:vAlign w:val="center"/>
          </w:tcPr>
          <w:p w14:paraId="60729789" w14:textId="77777777" w:rsidR="00FD346C" w:rsidRPr="00BB3AEB" w:rsidRDefault="00FD346C" w:rsidP="00FD346C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BB3AEB">
              <w:rPr>
                <w:rFonts w:ascii="Times New Roman" w:eastAsia="Calibri" w:hAnsi="Times New Roman" w:cs="Times New Roman"/>
                <w:lang w:val="sr-Cyrl-RS"/>
              </w:rPr>
              <w:t>Изградња ХЕ на Морави (146 MW)</w:t>
            </w:r>
          </w:p>
        </w:tc>
        <w:tc>
          <w:tcPr>
            <w:tcW w:w="1009" w:type="pct"/>
            <w:vAlign w:val="center"/>
          </w:tcPr>
          <w:p w14:paraId="272C5124" w14:textId="77777777" w:rsidR="00FD346C" w:rsidRPr="00BB3AEB" w:rsidRDefault="00FD346C" w:rsidP="00FD346C">
            <w:pPr>
              <w:jc w:val="right"/>
              <w:rPr>
                <w:rFonts w:ascii="Times New Roman" w:eastAsia="Calibri" w:hAnsi="Times New Roman" w:cs="Times New Roman"/>
                <w:lang w:val="sr-Cyrl-RS"/>
              </w:rPr>
            </w:pPr>
            <w:r w:rsidRPr="00BB3AEB">
              <w:rPr>
                <w:rFonts w:ascii="Times New Roman" w:eastAsia="Calibri" w:hAnsi="Times New Roman" w:cs="Times New Roman"/>
                <w:lang w:val="sr-Cyrl-RS"/>
              </w:rPr>
              <w:t>400</w:t>
            </w:r>
          </w:p>
        </w:tc>
      </w:tr>
      <w:tr w:rsidR="00FD346C" w:rsidRPr="00BB3AEB" w14:paraId="694E3DDD" w14:textId="77777777" w:rsidTr="003D10DA">
        <w:trPr>
          <w:trHeight w:val="543"/>
        </w:trPr>
        <w:tc>
          <w:tcPr>
            <w:tcW w:w="1585" w:type="pct"/>
            <w:vMerge/>
            <w:vAlign w:val="center"/>
          </w:tcPr>
          <w:p w14:paraId="0C10A567" w14:textId="77777777" w:rsidR="00FD346C" w:rsidRPr="00BB3AEB" w:rsidRDefault="00FD346C" w:rsidP="00FD346C">
            <w:pPr>
              <w:rPr>
                <w:rFonts w:ascii="Times New Roman" w:eastAsia="Calibri" w:hAnsi="Times New Roman" w:cs="Times New Roman"/>
                <w:lang w:val="sr-Cyrl-RS"/>
              </w:rPr>
            </w:pPr>
          </w:p>
        </w:tc>
        <w:tc>
          <w:tcPr>
            <w:tcW w:w="2406" w:type="pct"/>
            <w:vAlign w:val="center"/>
          </w:tcPr>
          <w:p w14:paraId="75A62234" w14:textId="77777777" w:rsidR="00FD346C" w:rsidRPr="00BB3AEB" w:rsidRDefault="00FD346C" w:rsidP="00FD346C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BB3AEB">
              <w:rPr>
                <w:rFonts w:ascii="Times New Roman" w:eastAsia="Calibri" w:hAnsi="Times New Roman" w:cs="Times New Roman"/>
                <w:lang w:val="sr-Cyrl-RS"/>
              </w:rPr>
              <w:t>Изградња хидроелектроенергетског система Горња Дрина (212 MW – удео ЕПС-а 51%)</w:t>
            </w:r>
          </w:p>
        </w:tc>
        <w:tc>
          <w:tcPr>
            <w:tcW w:w="1009" w:type="pct"/>
            <w:vAlign w:val="center"/>
          </w:tcPr>
          <w:p w14:paraId="017B112B" w14:textId="77777777" w:rsidR="00FD346C" w:rsidRPr="00BB3AEB" w:rsidRDefault="00FD346C" w:rsidP="00FD346C">
            <w:pPr>
              <w:jc w:val="right"/>
              <w:rPr>
                <w:rFonts w:ascii="Times New Roman" w:eastAsia="Calibri" w:hAnsi="Times New Roman" w:cs="Times New Roman"/>
                <w:lang w:val="sr-Cyrl-RS"/>
              </w:rPr>
            </w:pPr>
            <w:r w:rsidRPr="00BB3AEB">
              <w:rPr>
                <w:rFonts w:ascii="Times New Roman" w:eastAsia="Calibri" w:hAnsi="Times New Roman" w:cs="Times New Roman"/>
                <w:lang w:val="sr-Cyrl-RS"/>
              </w:rPr>
              <w:t>529 (удео ЕПС-а 265)</w:t>
            </w:r>
          </w:p>
        </w:tc>
      </w:tr>
      <w:tr w:rsidR="00FD346C" w:rsidRPr="00BB3AEB" w14:paraId="2E5F87C1" w14:textId="77777777" w:rsidTr="003D10DA">
        <w:trPr>
          <w:trHeight w:val="341"/>
        </w:trPr>
        <w:tc>
          <w:tcPr>
            <w:tcW w:w="1585" w:type="pct"/>
            <w:vAlign w:val="center"/>
          </w:tcPr>
          <w:p w14:paraId="79A83DAB" w14:textId="77777777" w:rsidR="00FD346C" w:rsidRPr="00BB3AEB" w:rsidRDefault="00FD346C" w:rsidP="00FD346C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BB3AEB">
              <w:rPr>
                <w:rFonts w:ascii="Times New Roman" w:eastAsia="Calibri" w:hAnsi="Times New Roman" w:cs="Times New Roman"/>
                <w:lang w:val="sr-Cyrl-RS"/>
              </w:rPr>
              <w:t>Изградња новог агрегата уз ревитализацију постојећих у ХЕ Потпећ</w:t>
            </w:r>
          </w:p>
        </w:tc>
        <w:tc>
          <w:tcPr>
            <w:tcW w:w="2406" w:type="pct"/>
            <w:vAlign w:val="center"/>
          </w:tcPr>
          <w:p w14:paraId="4652D47D" w14:textId="77777777" w:rsidR="00FD346C" w:rsidRPr="00BB3AEB" w:rsidRDefault="00FD346C" w:rsidP="00FD346C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BB3AEB">
              <w:rPr>
                <w:rFonts w:ascii="Times New Roman" w:eastAsia="Calibri" w:hAnsi="Times New Roman" w:cs="Times New Roman"/>
                <w:lang w:val="sr-Cyrl-RS"/>
              </w:rPr>
              <w:t>Ревитализација постојећа три агрегата (уз укупно повећање инсталисане снаге за 6 MW на овим агрегатима) и изградња агрегата број 4 у ХЕ Потпећ (14 MW)</w:t>
            </w:r>
          </w:p>
        </w:tc>
        <w:tc>
          <w:tcPr>
            <w:tcW w:w="1009" w:type="pct"/>
            <w:vAlign w:val="center"/>
          </w:tcPr>
          <w:p w14:paraId="72AE938D" w14:textId="77777777" w:rsidR="00FD346C" w:rsidRPr="00BB3AEB" w:rsidRDefault="00FD346C" w:rsidP="00FD346C">
            <w:pPr>
              <w:jc w:val="right"/>
              <w:rPr>
                <w:rFonts w:ascii="Times New Roman" w:eastAsia="Calibri" w:hAnsi="Times New Roman" w:cs="Times New Roman"/>
                <w:lang w:val="sr-Cyrl-RS"/>
              </w:rPr>
            </w:pPr>
            <w:r w:rsidRPr="00BB3AEB">
              <w:rPr>
                <w:rFonts w:ascii="Times New Roman" w:eastAsia="Calibri" w:hAnsi="Times New Roman" w:cs="Times New Roman"/>
                <w:lang w:val="sr-Cyrl-RS"/>
              </w:rPr>
              <w:t>65</w:t>
            </w:r>
          </w:p>
        </w:tc>
      </w:tr>
      <w:tr w:rsidR="00FD346C" w:rsidRPr="00BB3AEB" w14:paraId="2D550FB0" w14:textId="77777777" w:rsidTr="003D10DA">
        <w:trPr>
          <w:trHeight w:val="341"/>
        </w:trPr>
        <w:tc>
          <w:tcPr>
            <w:tcW w:w="3991" w:type="pct"/>
            <w:gridSpan w:val="2"/>
            <w:vAlign w:val="center"/>
          </w:tcPr>
          <w:p w14:paraId="21E7B096" w14:textId="77777777" w:rsidR="00FD346C" w:rsidRPr="00BB3AEB" w:rsidRDefault="00FD346C" w:rsidP="00FD346C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BB3AEB">
              <w:rPr>
                <w:rFonts w:ascii="Times New Roman" w:eastAsia="Calibri" w:hAnsi="Times New Roman" w:cs="Times New Roman"/>
                <w:lang w:val="sr-Cyrl-RS"/>
              </w:rPr>
              <w:t>Изградња ветроелектрана (3,2 GW)</w:t>
            </w:r>
          </w:p>
        </w:tc>
        <w:tc>
          <w:tcPr>
            <w:tcW w:w="1009" w:type="pct"/>
            <w:vAlign w:val="center"/>
          </w:tcPr>
          <w:p w14:paraId="506E2A2E" w14:textId="77777777" w:rsidR="00FD346C" w:rsidRPr="00BB3AEB" w:rsidRDefault="00FD346C" w:rsidP="00FD346C">
            <w:pPr>
              <w:jc w:val="right"/>
              <w:rPr>
                <w:rFonts w:ascii="Times New Roman" w:eastAsia="Calibri" w:hAnsi="Times New Roman" w:cs="Times New Roman"/>
                <w:lang w:val="sr-Cyrl-RS"/>
              </w:rPr>
            </w:pPr>
            <w:r w:rsidRPr="00BB3AEB">
              <w:rPr>
                <w:rFonts w:ascii="Times New Roman" w:eastAsia="Calibri" w:hAnsi="Times New Roman" w:cs="Times New Roman"/>
                <w:lang w:val="sr-Cyrl-RS"/>
              </w:rPr>
              <w:t>4.480</w:t>
            </w:r>
          </w:p>
        </w:tc>
      </w:tr>
      <w:tr w:rsidR="00FD346C" w:rsidRPr="00BB3AEB" w14:paraId="4BB2AF50" w14:textId="77777777" w:rsidTr="003D10DA">
        <w:trPr>
          <w:trHeight w:val="398"/>
        </w:trPr>
        <w:tc>
          <w:tcPr>
            <w:tcW w:w="3991" w:type="pct"/>
            <w:gridSpan w:val="2"/>
            <w:vAlign w:val="center"/>
          </w:tcPr>
          <w:p w14:paraId="334798C6" w14:textId="77777777" w:rsidR="00FD346C" w:rsidRPr="00BB3AEB" w:rsidRDefault="00FD346C" w:rsidP="00FD346C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BB3AEB">
              <w:rPr>
                <w:rFonts w:ascii="Times New Roman" w:eastAsia="Calibri" w:hAnsi="Times New Roman" w:cs="Times New Roman"/>
                <w:lang w:val="sr-Cyrl-RS"/>
              </w:rPr>
              <w:t>Изградња соларних електрана (7,3 GW)</w:t>
            </w:r>
          </w:p>
        </w:tc>
        <w:tc>
          <w:tcPr>
            <w:tcW w:w="1009" w:type="pct"/>
            <w:vAlign w:val="center"/>
          </w:tcPr>
          <w:p w14:paraId="5CBCA27E" w14:textId="77777777" w:rsidR="00FD346C" w:rsidRPr="00BB3AEB" w:rsidRDefault="00FD346C" w:rsidP="00FD346C">
            <w:pPr>
              <w:jc w:val="right"/>
              <w:rPr>
                <w:rFonts w:ascii="Times New Roman" w:eastAsia="Calibri" w:hAnsi="Times New Roman" w:cs="Times New Roman"/>
                <w:lang w:val="sr-Cyrl-RS"/>
              </w:rPr>
            </w:pPr>
            <w:r w:rsidRPr="00BB3AEB">
              <w:rPr>
                <w:rFonts w:ascii="Times New Roman" w:eastAsia="Calibri" w:hAnsi="Times New Roman" w:cs="Times New Roman"/>
                <w:lang w:val="sr-Cyrl-RS"/>
              </w:rPr>
              <w:t>8.760</w:t>
            </w:r>
          </w:p>
        </w:tc>
      </w:tr>
      <w:tr w:rsidR="00FD346C" w:rsidRPr="00BB3AEB" w14:paraId="62F32E70" w14:textId="77777777" w:rsidTr="003D10DA">
        <w:trPr>
          <w:trHeight w:val="430"/>
        </w:trPr>
        <w:tc>
          <w:tcPr>
            <w:tcW w:w="1585" w:type="pct"/>
            <w:vMerge w:val="restart"/>
            <w:vAlign w:val="center"/>
          </w:tcPr>
          <w:p w14:paraId="20FC6D5A" w14:textId="77777777" w:rsidR="00FD346C" w:rsidRPr="00BB3AEB" w:rsidRDefault="00FD346C" w:rsidP="00FD346C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BB3AEB">
              <w:rPr>
                <w:rFonts w:ascii="Times New Roman" w:eastAsia="Calibri" w:hAnsi="Times New Roman" w:cs="Times New Roman"/>
                <w:lang w:val="sr-Cyrl-RS"/>
              </w:rPr>
              <w:t>Изградња РХЕ</w:t>
            </w:r>
          </w:p>
        </w:tc>
        <w:tc>
          <w:tcPr>
            <w:tcW w:w="2406" w:type="pct"/>
            <w:vAlign w:val="center"/>
          </w:tcPr>
          <w:p w14:paraId="0EFBCEA5" w14:textId="39A05839" w:rsidR="00FD346C" w:rsidRPr="00BB3AEB" w:rsidRDefault="00943626" w:rsidP="00FD346C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BB3AEB">
              <w:rPr>
                <w:rFonts w:ascii="Times New Roman" w:eastAsia="Calibri" w:hAnsi="Times New Roman" w:cs="Times New Roman"/>
                <w:lang w:val="sr-Cyrl-RS"/>
              </w:rPr>
              <w:t>РХЕ Бистрица (628</w:t>
            </w:r>
            <w:r w:rsidR="00FD346C" w:rsidRPr="00BB3AEB">
              <w:rPr>
                <w:rFonts w:ascii="Times New Roman" w:eastAsia="Calibri" w:hAnsi="Times New Roman" w:cs="Times New Roman"/>
                <w:lang w:val="sr-Cyrl-RS"/>
              </w:rPr>
              <w:t> MW)</w:t>
            </w:r>
          </w:p>
        </w:tc>
        <w:tc>
          <w:tcPr>
            <w:tcW w:w="1009" w:type="pct"/>
            <w:vAlign w:val="center"/>
          </w:tcPr>
          <w:p w14:paraId="6D334537" w14:textId="77F9EC4B" w:rsidR="00FD346C" w:rsidRPr="00BB3AEB" w:rsidRDefault="00646D24" w:rsidP="00FD346C">
            <w:pPr>
              <w:jc w:val="right"/>
              <w:rPr>
                <w:rFonts w:ascii="Times New Roman" w:eastAsia="Calibri" w:hAnsi="Times New Roman" w:cs="Times New Roman"/>
                <w:lang w:val="sr-Cyrl-RS"/>
              </w:rPr>
            </w:pPr>
            <w:r w:rsidRPr="00BB3AEB">
              <w:rPr>
                <w:rFonts w:ascii="Times New Roman" w:eastAsia="Calibri" w:hAnsi="Times New Roman" w:cs="Times New Roman"/>
                <w:lang w:val="sr-Cyrl-RS"/>
              </w:rPr>
              <w:t>1 100</w:t>
            </w:r>
          </w:p>
        </w:tc>
      </w:tr>
      <w:tr w:rsidR="00FD346C" w:rsidRPr="00BB3AEB" w14:paraId="693CD939" w14:textId="77777777" w:rsidTr="003D10DA">
        <w:trPr>
          <w:trHeight w:val="422"/>
        </w:trPr>
        <w:tc>
          <w:tcPr>
            <w:tcW w:w="1585" w:type="pct"/>
            <w:vMerge/>
            <w:vAlign w:val="center"/>
          </w:tcPr>
          <w:p w14:paraId="2649686A" w14:textId="77777777" w:rsidR="00FD346C" w:rsidRPr="00BB3AEB" w:rsidRDefault="00FD346C" w:rsidP="00FD346C">
            <w:pPr>
              <w:rPr>
                <w:rFonts w:ascii="Times New Roman" w:eastAsia="Calibri" w:hAnsi="Times New Roman" w:cs="Times New Roman"/>
                <w:lang w:val="sr-Cyrl-RS"/>
              </w:rPr>
            </w:pPr>
          </w:p>
        </w:tc>
        <w:tc>
          <w:tcPr>
            <w:tcW w:w="2406" w:type="pct"/>
            <w:vAlign w:val="center"/>
          </w:tcPr>
          <w:p w14:paraId="6937694C" w14:textId="77777777" w:rsidR="00FD346C" w:rsidRPr="00BB3AEB" w:rsidRDefault="00FD346C" w:rsidP="00FD346C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BB3AEB">
              <w:rPr>
                <w:rFonts w:ascii="Times New Roman" w:eastAsia="Calibri" w:hAnsi="Times New Roman" w:cs="Times New Roman"/>
                <w:lang w:val="sr-Cyrl-RS"/>
              </w:rPr>
              <w:t>РХЕ Ђердап 3 (1.400 MW)</w:t>
            </w:r>
          </w:p>
        </w:tc>
        <w:tc>
          <w:tcPr>
            <w:tcW w:w="1009" w:type="pct"/>
            <w:vAlign w:val="center"/>
          </w:tcPr>
          <w:p w14:paraId="0DCF6AB2" w14:textId="77777777" w:rsidR="00FD346C" w:rsidRPr="00BB3AEB" w:rsidRDefault="00FD346C" w:rsidP="00FD346C">
            <w:pPr>
              <w:jc w:val="right"/>
              <w:rPr>
                <w:rFonts w:ascii="Times New Roman" w:eastAsia="Calibri" w:hAnsi="Times New Roman" w:cs="Times New Roman"/>
                <w:lang w:val="sr-Cyrl-RS"/>
              </w:rPr>
            </w:pPr>
            <w:r w:rsidRPr="00BB3AEB">
              <w:rPr>
                <w:rFonts w:ascii="Times New Roman" w:eastAsia="Calibri" w:hAnsi="Times New Roman" w:cs="Times New Roman"/>
                <w:lang w:val="sr-Cyrl-RS"/>
              </w:rPr>
              <w:t>1.400</w:t>
            </w:r>
          </w:p>
        </w:tc>
      </w:tr>
      <w:tr w:rsidR="00FD346C" w:rsidRPr="00BB3AEB" w14:paraId="2BC14D2E" w14:textId="77777777" w:rsidTr="003D10DA">
        <w:trPr>
          <w:trHeight w:val="422"/>
        </w:trPr>
        <w:tc>
          <w:tcPr>
            <w:tcW w:w="1585" w:type="pct"/>
            <w:vMerge w:val="restart"/>
            <w:vAlign w:val="center"/>
          </w:tcPr>
          <w:p w14:paraId="5E664023" w14:textId="77777777" w:rsidR="00FD346C" w:rsidRPr="00BB3AEB" w:rsidRDefault="00FD346C" w:rsidP="00FD346C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BB3AEB">
              <w:rPr>
                <w:rFonts w:ascii="Times New Roman" w:eastAsia="Calibri" w:hAnsi="Times New Roman" w:cs="Times New Roman"/>
                <w:lang w:val="sr-Cyrl-RS"/>
              </w:rPr>
              <w:t>Преносна мрежа</w:t>
            </w:r>
          </w:p>
        </w:tc>
        <w:tc>
          <w:tcPr>
            <w:tcW w:w="2406" w:type="pct"/>
            <w:vAlign w:val="center"/>
          </w:tcPr>
          <w:p w14:paraId="13B77627" w14:textId="77777777" w:rsidR="00FD346C" w:rsidRPr="00BB3AEB" w:rsidRDefault="00FD346C" w:rsidP="00FD346C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BB3AEB">
              <w:rPr>
                <w:rFonts w:ascii="Times New Roman" w:eastAsia="Calibri" w:hAnsi="Times New Roman" w:cs="Times New Roman"/>
                <w:lang w:val="sr-Cyrl-RS"/>
              </w:rPr>
              <w:t xml:space="preserve">Изградња и реконструкција интерне 400, 220 и 110 </w:t>
            </w:r>
            <w:r w:rsidRPr="00BB3AEB">
              <w:rPr>
                <w:rFonts w:ascii="Times New Roman" w:eastAsia="Calibri" w:hAnsi="Times New Roman" w:cs="Times New Roman"/>
                <w:lang w:val="sr-Latn-RS"/>
              </w:rPr>
              <w:t xml:space="preserve">kV </w:t>
            </w:r>
            <w:r w:rsidRPr="00BB3AEB">
              <w:rPr>
                <w:rFonts w:ascii="Times New Roman" w:eastAsia="Calibri" w:hAnsi="Times New Roman" w:cs="Times New Roman"/>
                <w:lang w:val="sr-Cyrl-RS"/>
              </w:rPr>
              <w:t>мреже</w:t>
            </w:r>
          </w:p>
        </w:tc>
        <w:tc>
          <w:tcPr>
            <w:tcW w:w="1009" w:type="pct"/>
            <w:vAlign w:val="center"/>
          </w:tcPr>
          <w:p w14:paraId="003C7E2E" w14:textId="77777777" w:rsidR="00FD346C" w:rsidRPr="00BB3AEB" w:rsidRDefault="00FD346C" w:rsidP="00FD346C">
            <w:pPr>
              <w:jc w:val="right"/>
              <w:rPr>
                <w:rFonts w:ascii="Times New Roman" w:eastAsia="Calibri" w:hAnsi="Times New Roman" w:cs="Times New Roman"/>
                <w:lang w:val="sr-Cyrl-RS"/>
              </w:rPr>
            </w:pPr>
            <w:r w:rsidRPr="00BB3AEB">
              <w:rPr>
                <w:rFonts w:ascii="Times New Roman" w:eastAsia="Calibri" w:hAnsi="Times New Roman" w:cs="Times New Roman"/>
                <w:lang w:val="sr-Cyrl-RS"/>
              </w:rPr>
              <w:t>439,81</w:t>
            </w:r>
          </w:p>
        </w:tc>
      </w:tr>
      <w:tr w:rsidR="00FD346C" w:rsidRPr="00BB3AEB" w14:paraId="5847F621" w14:textId="77777777" w:rsidTr="003D10DA">
        <w:trPr>
          <w:trHeight w:val="422"/>
        </w:trPr>
        <w:tc>
          <w:tcPr>
            <w:tcW w:w="1585" w:type="pct"/>
            <w:vMerge/>
            <w:vAlign w:val="center"/>
          </w:tcPr>
          <w:p w14:paraId="31BAA678" w14:textId="77777777" w:rsidR="00FD346C" w:rsidRPr="00BB3AEB" w:rsidRDefault="00FD346C" w:rsidP="00FD346C">
            <w:pPr>
              <w:rPr>
                <w:rFonts w:ascii="Times New Roman" w:eastAsia="Calibri" w:hAnsi="Times New Roman" w:cs="Times New Roman"/>
                <w:lang w:val="sr-Cyrl-RS"/>
              </w:rPr>
            </w:pPr>
          </w:p>
        </w:tc>
        <w:tc>
          <w:tcPr>
            <w:tcW w:w="2406" w:type="pct"/>
            <w:vAlign w:val="center"/>
          </w:tcPr>
          <w:p w14:paraId="609119C4" w14:textId="77777777" w:rsidR="00FD346C" w:rsidRPr="00BB3AEB" w:rsidRDefault="00FD346C" w:rsidP="00FD346C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BB3AEB">
              <w:rPr>
                <w:rFonts w:ascii="Times New Roman" w:eastAsia="Calibri" w:hAnsi="Times New Roman" w:cs="Times New Roman"/>
                <w:lang w:val="sr-Cyrl-RS"/>
              </w:rPr>
              <w:t>Завршетак прве фазе Трансбалканског коридора</w:t>
            </w:r>
          </w:p>
        </w:tc>
        <w:tc>
          <w:tcPr>
            <w:tcW w:w="1009" w:type="pct"/>
            <w:vAlign w:val="center"/>
          </w:tcPr>
          <w:p w14:paraId="39965BAE" w14:textId="77777777" w:rsidR="00FD346C" w:rsidRPr="00BB3AEB" w:rsidRDefault="00FD346C" w:rsidP="00FD346C">
            <w:pPr>
              <w:jc w:val="right"/>
              <w:rPr>
                <w:rFonts w:ascii="Times New Roman" w:eastAsia="Calibri" w:hAnsi="Times New Roman" w:cs="Times New Roman"/>
                <w:lang w:val="sr-Cyrl-RS"/>
              </w:rPr>
            </w:pPr>
            <w:r w:rsidRPr="00BB3AEB">
              <w:rPr>
                <w:rFonts w:ascii="Times New Roman" w:eastAsia="Calibri" w:hAnsi="Times New Roman" w:cs="Times New Roman"/>
                <w:lang w:val="sr-Cyrl-RS"/>
              </w:rPr>
              <w:t>144,4</w:t>
            </w:r>
          </w:p>
        </w:tc>
      </w:tr>
      <w:tr w:rsidR="00FD346C" w:rsidRPr="00BB3AEB" w14:paraId="5DFFDA29" w14:textId="77777777" w:rsidTr="003D10DA">
        <w:trPr>
          <w:trHeight w:val="197"/>
        </w:trPr>
        <w:tc>
          <w:tcPr>
            <w:tcW w:w="1585" w:type="pct"/>
            <w:vMerge/>
            <w:vAlign w:val="center"/>
          </w:tcPr>
          <w:p w14:paraId="5BBA3A9C" w14:textId="77777777" w:rsidR="00FD346C" w:rsidRPr="00BB3AEB" w:rsidRDefault="00FD346C" w:rsidP="00FD346C">
            <w:pPr>
              <w:rPr>
                <w:rFonts w:ascii="Times New Roman" w:eastAsia="Calibri" w:hAnsi="Times New Roman" w:cs="Times New Roman"/>
                <w:lang w:val="sr-Cyrl-RS"/>
              </w:rPr>
            </w:pPr>
          </w:p>
        </w:tc>
        <w:tc>
          <w:tcPr>
            <w:tcW w:w="2406" w:type="pct"/>
            <w:vAlign w:val="center"/>
          </w:tcPr>
          <w:p w14:paraId="12675EB9" w14:textId="77777777" w:rsidR="00FD346C" w:rsidRPr="00BB3AEB" w:rsidRDefault="00FD346C" w:rsidP="00FD346C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BB3AEB">
              <w:rPr>
                <w:rFonts w:ascii="Times New Roman" w:eastAsia="Calibri" w:hAnsi="Times New Roman" w:cs="Times New Roman"/>
                <w:lang w:val="sr-Cyrl-RS"/>
              </w:rPr>
              <w:t>Реализација пројекта BeoGrid2025</w:t>
            </w:r>
          </w:p>
        </w:tc>
        <w:tc>
          <w:tcPr>
            <w:tcW w:w="1009" w:type="pct"/>
            <w:vAlign w:val="center"/>
          </w:tcPr>
          <w:p w14:paraId="22A98FD6" w14:textId="77777777" w:rsidR="00FD346C" w:rsidRPr="00BB3AEB" w:rsidRDefault="00FD346C" w:rsidP="00FD346C">
            <w:pPr>
              <w:jc w:val="right"/>
              <w:rPr>
                <w:rFonts w:ascii="Times New Roman" w:eastAsia="Calibri" w:hAnsi="Times New Roman" w:cs="Times New Roman"/>
                <w:lang w:val="sr-Cyrl-RS"/>
              </w:rPr>
            </w:pPr>
            <w:r w:rsidRPr="00BB3AEB">
              <w:rPr>
                <w:rFonts w:ascii="Times New Roman" w:eastAsia="Calibri" w:hAnsi="Times New Roman" w:cs="Times New Roman"/>
                <w:lang w:val="sr-Cyrl-RS"/>
              </w:rPr>
              <w:t>81</w:t>
            </w:r>
          </w:p>
        </w:tc>
      </w:tr>
      <w:tr w:rsidR="00FD346C" w:rsidRPr="00BB3AEB" w14:paraId="5ED55692" w14:textId="77777777" w:rsidTr="003D10DA">
        <w:trPr>
          <w:trHeight w:val="422"/>
        </w:trPr>
        <w:tc>
          <w:tcPr>
            <w:tcW w:w="1585" w:type="pct"/>
            <w:vMerge/>
            <w:vAlign w:val="center"/>
          </w:tcPr>
          <w:p w14:paraId="3B61336E" w14:textId="77777777" w:rsidR="00FD346C" w:rsidRPr="00BB3AEB" w:rsidRDefault="00FD346C" w:rsidP="00FD346C">
            <w:pPr>
              <w:rPr>
                <w:rFonts w:ascii="Times New Roman" w:eastAsia="Calibri" w:hAnsi="Times New Roman" w:cs="Times New Roman"/>
                <w:lang w:val="sr-Cyrl-RS"/>
              </w:rPr>
            </w:pPr>
          </w:p>
        </w:tc>
        <w:tc>
          <w:tcPr>
            <w:tcW w:w="2406" w:type="pct"/>
            <w:vAlign w:val="center"/>
          </w:tcPr>
          <w:p w14:paraId="1AFEE951" w14:textId="77777777" w:rsidR="00FD346C" w:rsidRPr="00BB3AEB" w:rsidRDefault="00FD346C" w:rsidP="00FD346C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BB3AEB">
              <w:rPr>
                <w:rFonts w:ascii="Times New Roman" w:eastAsia="Calibri" w:hAnsi="Times New Roman" w:cs="Times New Roman"/>
                <w:lang w:val="sr-Cyrl-RS"/>
              </w:rPr>
              <w:t>Изградња Панонског коридора за пренос електричне енергије</w:t>
            </w:r>
          </w:p>
        </w:tc>
        <w:tc>
          <w:tcPr>
            <w:tcW w:w="1009" w:type="pct"/>
            <w:vAlign w:val="center"/>
          </w:tcPr>
          <w:p w14:paraId="4049808C" w14:textId="77777777" w:rsidR="00FD346C" w:rsidRPr="00BB3AEB" w:rsidRDefault="00FD346C" w:rsidP="00FD346C">
            <w:pPr>
              <w:jc w:val="right"/>
              <w:rPr>
                <w:rFonts w:ascii="Times New Roman" w:eastAsia="Calibri" w:hAnsi="Times New Roman" w:cs="Times New Roman"/>
                <w:lang w:val="sr-Cyrl-RS"/>
              </w:rPr>
            </w:pPr>
            <w:r w:rsidRPr="00BB3AEB">
              <w:rPr>
                <w:rFonts w:ascii="Times New Roman" w:eastAsia="Calibri" w:hAnsi="Times New Roman" w:cs="Times New Roman"/>
                <w:lang w:val="sr-Cyrl-RS"/>
              </w:rPr>
              <w:t>108,5</w:t>
            </w:r>
          </w:p>
        </w:tc>
      </w:tr>
      <w:tr w:rsidR="00FD346C" w:rsidRPr="00BB3AEB" w14:paraId="3F27820F" w14:textId="77777777" w:rsidTr="003D10DA">
        <w:trPr>
          <w:trHeight w:val="422"/>
        </w:trPr>
        <w:tc>
          <w:tcPr>
            <w:tcW w:w="1585" w:type="pct"/>
            <w:vMerge w:val="restart"/>
            <w:vAlign w:val="center"/>
          </w:tcPr>
          <w:p w14:paraId="39670577" w14:textId="77777777" w:rsidR="00FD346C" w:rsidRPr="00BB3AEB" w:rsidRDefault="00FD346C" w:rsidP="00FD346C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BB3AEB">
              <w:rPr>
                <w:rFonts w:ascii="Times New Roman" w:eastAsia="Calibri" w:hAnsi="Times New Roman" w:cs="Times New Roman"/>
                <w:lang w:val="sr-Cyrl-RS"/>
              </w:rPr>
              <w:t>Дистрибутивна мрежа</w:t>
            </w:r>
          </w:p>
        </w:tc>
        <w:tc>
          <w:tcPr>
            <w:tcW w:w="2406" w:type="pct"/>
            <w:vAlign w:val="center"/>
          </w:tcPr>
          <w:p w14:paraId="40498BAF" w14:textId="77777777" w:rsidR="00FD346C" w:rsidRPr="00BB3AEB" w:rsidRDefault="00FD346C" w:rsidP="00FD346C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BB3AEB">
              <w:rPr>
                <w:rFonts w:ascii="Times New Roman" w:eastAsia="Calibri" w:hAnsi="Times New Roman" w:cs="Times New Roman"/>
                <w:lang w:val="sr-Cyrl-RS"/>
              </w:rPr>
              <w:t>Изградња и реконструкција дистрибутивног система</w:t>
            </w:r>
          </w:p>
        </w:tc>
        <w:tc>
          <w:tcPr>
            <w:tcW w:w="1009" w:type="pct"/>
            <w:vAlign w:val="center"/>
          </w:tcPr>
          <w:p w14:paraId="6080902A" w14:textId="77777777" w:rsidR="00FD346C" w:rsidRPr="00BB3AEB" w:rsidRDefault="00FD346C" w:rsidP="00FD346C">
            <w:pPr>
              <w:jc w:val="right"/>
              <w:rPr>
                <w:rFonts w:ascii="Times New Roman" w:eastAsia="Calibri" w:hAnsi="Times New Roman" w:cs="Times New Roman"/>
                <w:lang w:val="sr-Cyrl-RS"/>
              </w:rPr>
            </w:pPr>
            <w:r w:rsidRPr="00BB3AEB">
              <w:rPr>
                <w:rFonts w:ascii="Times New Roman" w:eastAsia="Calibri" w:hAnsi="Times New Roman" w:cs="Times New Roman"/>
                <w:lang w:val="sr-Cyrl-RS"/>
              </w:rPr>
              <w:t>492,5</w:t>
            </w:r>
          </w:p>
        </w:tc>
      </w:tr>
      <w:tr w:rsidR="00FD346C" w:rsidRPr="00BB3AEB" w14:paraId="11F98206" w14:textId="77777777" w:rsidTr="003D10DA">
        <w:trPr>
          <w:trHeight w:val="422"/>
        </w:trPr>
        <w:tc>
          <w:tcPr>
            <w:tcW w:w="1585" w:type="pct"/>
            <w:vMerge/>
            <w:vAlign w:val="center"/>
          </w:tcPr>
          <w:p w14:paraId="69B55B61" w14:textId="77777777" w:rsidR="00FD346C" w:rsidRPr="00BB3AEB" w:rsidRDefault="00FD346C" w:rsidP="00FD346C">
            <w:pPr>
              <w:rPr>
                <w:rFonts w:ascii="Times New Roman" w:eastAsia="Calibri" w:hAnsi="Times New Roman" w:cs="Times New Roman"/>
                <w:lang w:val="sr-Cyrl-RS"/>
              </w:rPr>
            </w:pPr>
          </w:p>
        </w:tc>
        <w:tc>
          <w:tcPr>
            <w:tcW w:w="2406" w:type="pct"/>
            <w:vAlign w:val="center"/>
          </w:tcPr>
          <w:p w14:paraId="6D7F8196" w14:textId="77777777" w:rsidR="00FD346C" w:rsidRPr="00BB3AEB" w:rsidRDefault="00FD346C" w:rsidP="00FD346C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BB3AEB">
              <w:rPr>
                <w:rFonts w:ascii="Times New Roman" w:eastAsia="Calibri" w:hAnsi="Times New Roman" w:cs="Times New Roman"/>
                <w:lang w:val="sr-Cyrl-RS"/>
              </w:rPr>
              <w:t>Аутоматизација средњенапонске дистрибутивне мреже</w:t>
            </w:r>
          </w:p>
        </w:tc>
        <w:tc>
          <w:tcPr>
            <w:tcW w:w="1009" w:type="pct"/>
            <w:vAlign w:val="center"/>
          </w:tcPr>
          <w:p w14:paraId="4F9B402B" w14:textId="77777777" w:rsidR="00FD346C" w:rsidRPr="00BB3AEB" w:rsidRDefault="00FD346C" w:rsidP="00FD346C">
            <w:pPr>
              <w:jc w:val="right"/>
              <w:rPr>
                <w:rFonts w:ascii="Times New Roman" w:eastAsia="Calibri" w:hAnsi="Times New Roman" w:cs="Times New Roman"/>
                <w:lang w:val="sr-Cyrl-RS"/>
              </w:rPr>
            </w:pPr>
            <w:r w:rsidRPr="00BB3AEB">
              <w:rPr>
                <w:rFonts w:ascii="Times New Roman" w:eastAsia="Calibri" w:hAnsi="Times New Roman" w:cs="Times New Roman"/>
                <w:lang w:val="sr-Cyrl-RS"/>
              </w:rPr>
              <w:t>144</w:t>
            </w:r>
          </w:p>
        </w:tc>
      </w:tr>
      <w:tr w:rsidR="00FD346C" w:rsidRPr="00BB3AEB" w14:paraId="2AC1A38B" w14:textId="77777777" w:rsidTr="003D10DA">
        <w:trPr>
          <w:trHeight w:val="422"/>
        </w:trPr>
        <w:tc>
          <w:tcPr>
            <w:tcW w:w="1585" w:type="pct"/>
            <w:vMerge/>
            <w:vAlign w:val="center"/>
          </w:tcPr>
          <w:p w14:paraId="2BFDCFD6" w14:textId="77777777" w:rsidR="00FD346C" w:rsidRPr="00BB3AEB" w:rsidRDefault="00FD346C" w:rsidP="00FD346C">
            <w:pPr>
              <w:rPr>
                <w:rFonts w:ascii="Times New Roman" w:eastAsia="Calibri" w:hAnsi="Times New Roman" w:cs="Times New Roman"/>
                <w:lang w:val="sr-Cyrl-RS"/>
              </w:rPr>
            </w:pPr>
          </w:p>
        </w:tc>
        <w:tc>
          <w:tcPr>
            <w:tcW w:w="2406" w:type="pct"/>
            <w:vAlign w:val="center"/>
          </w:tcPr>
          <w:p w14:paraId="431B0C4D" w14:textId="77777777" w:rsidR="00FD346C" w:rsidRPr="00BB3AEB" w:rsidRDefault="00FD346C" w:rsidP="00FD346C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BB3AEB">
              <w:rPr>
                <w:rFonts w:ascii="Times New Roman" w:eastAsia="Calibri" w:hAnsi="Times New Roman" w:cs="Times New Roman"/>
                <w:lang w:val="sr-Cyrl-RS"/>
              </w:rPr>
              <w:t>Замена електромеханичких бројила паметним бројилима</w:t>
            </w:r>
          </w:p>
        </w:tc>
        <w:tc>
          <w:tcPr>
            <w:tcW w:w="1009" w:type="pct"/>
            <w:vAlign w:val="center"/>
          </w:tcPr>
          <w:p w14:paraId="7FB3AB5A" w14:textId="77777777" w:rsidR="00FD346C" w:rsidRPr="00BB3AEB" w:rsidRDefault="00FD346C" w:rsidP="00FD346C">
            <w:pPr>
              <w:jc w:val="right"/>
              <w:rPr>
                <w:rFonts w:ascii="Times New Roman" w:eastAsia="Calibri" w:hAnsi="Times New Roman" w:cs="Times New Roman"/>
                <w:lang w:val="sr-Cyrl-RS"/>
              </w:rPr>
            </w:pPr>
            <w:r w:rsidRPr="00BB3AEB">
              <w:rPr>
                <w:rFonts w:ascii="Times New Roman" w:eastAsia="Calibri" w:hAnsi="Times New Roman" w:cs="Times New Roman"/>
                <w:lang w:val="sr-Cyrl-RS"/>
              </w:rPr>
              <w:t>505</w:t>
            </w:r>
          </w:p>
        </w:tc>
      </w:tr>
      <w:tr w:rsidR="00FD346C" w:rsidRPr="00BB3AEB" w14:paraId="15403F51" w14:textId="77777777" w:rsidTr="003D10DA">
        <w:trPr>
          <w:trHeight w:val="422"/>
        </w:trPr>
        <w:tc>
          <w:tcPr>
            <w:tcW w:w="1585" w:type="pct"/>
            <w:vMerge/>
            <w:vAlign w:val="center"/>
          </w:tcPr>
          <w:p w14:paraId="61ABCB1C" w14:textId="77777777" w:rsidR="00FD346C" w:rsidRPr="00BB3AEB" w:rsidRDefault="00FD346C" w:rsidP="00FD346C">
            <w:pPr>
              <w:rPr>
                <w:rFonts w:ascii="Times New Roman" w:eastAsia="Calibri" w:hAnsi="Times New Roman" w:cs="Times New Roman"/>
                <w:lang w:val="sr-Cyrl-RS"/>
              </w:rPr>
            </w:pPr>
          </w:p>
        </w:tc>
        <w:tc>
          <w:tcPr>
            <w:tcW w:w="2406" w:type="pct"/>
            <w:vAlign w:val="center"/>
          </w:tcPr>
          <w:p w14:paraId="169BD32E" w14:textId="77777777" w:rsidR="00FD346C" w:rsidRPr="00BB3AEB" w:rsidRDefault="00FD346C" w:rsidP="00FD346C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BB3AEB">
              <w:rPr>
                <w:rFonts w:ascii="Times New Roman" w:eastAsia="Calibri" w:hAnsi="Times New Roman" w:cs="Times New Roman"/>
                <w:lang w:val="sr-Cyrl-RS"/>
              </w:rPr>
              <w:t>Интегрисани систем за даљински мониторинг, дијагностику и управљање нисконапонском дистрибутивном мрежом</w:t>
            </w:r>
          </w:p>
        </w:tc>
        <w:tc>
          <w:tcPr>
            <w:tcW w:w="1009" w:type="pct"/>
            <w:vAlign w:val="center"/>
          </w:tcPr>
          <w:p w14:paraId="730155AA" w14:textId="77777777" w:rsidR="00FD346C" w:rsidRPr="00BB3AEB" w:rsidRDefault="00FD346C" w:rsidP="00FD346C">
            <w:pPr>
              <w:jc w:val="right"/>
              <w:rPr>
                <w:rFonts w:ascii="Times New Roman" w:eastAsia="Calibri" w:hAnsi="Times New Roman" w:cs="Times New Roman"/>
                <w:lang w:val="sr-Cyrl-RS"/>
              </w:rPr>
            </w:pPr>
            <w:r w:rsidRPr="00BB3AEB">
              <w:rPr>
                <w:rFonts w:ascii="Times New Roman" w:eastAsia="Calibri" w:hAnsi="Times New Roman" w:cs="Times New Roman"/>
                <w:lang w:val="sr-Cyrl-RS"/>
              </w:rPr>
              <w:t>80</w:t>
            </w:r>
          </w:p>
        </w:tc>
      </w:tr>
      <w:tr w:rsidR="00FD346C" w:rsidRPr="00BB3AEB" w14:paraId="47CC1102" w14:textId="77777777" w:rsidTr="003D10DA">
        <w:trPr>
          <w:trHeight w:val="422"/>
        </w:trPr>
        <w:tc>
          <w:tcPr>
            <w:tcW w:w="1585" w:type="pct"/>
            <w:vMerge/>
            <w:vAlign w:val="center"/>
          </w:tcPr>
          <w:p w14:paraId="5CC9B0E9" w14:textId="77777777" w:rsidR="00FD346C" w:rsidRPr="00BB3AEB" w:rsidRDefault="00FD346C" w:rsidP="00FD346C">
            <w:pPr>
              <w:rPr>
                <w:rFonts w:ascii="Times New Roman" w:eastAsia="Calibri" w:hAnsi="Times New Roman" w:cs="Times New Roman"/>
                <w:lang w:val="sr-Cyrl-RS"/>
              </w:rPr>
            </w:pPr>
          </w:p>
        </w:tc>
        <w:tc>
          <w:tcPr>
            <w:tcW w:w="2406" w:type="pct"/>
            <w:vAlign w:val="center"/>
          </w:tcPr>
          <w:p w14:paraId="4094B41C" w14:textId="77777777" w:rsidR="00FD346C" w:rsidRPr="00BB3AEB" w:rsidRDefault="00FD346C" w:rsidP="00FD346C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BB3AEB">
              <w:rPr>
                <w:rFonts w:ascii="Times New Roman" w:eastAsia="Calibri" w:hAnsi="Times New Roman" w:cs="Times New Roman"/>
                <w:lang w:val="sr-Cyrl-RS"/>
              </w:rPr>
              <w:t>Измештање мерних места на јавну површину ради неометаног приступа</w:t>
            </w:r>
          </w:p>
          <w:p w14:paraId="23CE6B5E" w14:textId="77777777" w:rsidR="00FD346C" w:rsidRPr="00BB3AEB" w:rsidRDefault="00FD346C" w:rsidP="00FD346C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BB3AEB">
              <w:rPr>
                <w:rFonts w:ascii="Times New Roman" w:eastAsia="Calibri" w:hAnsi="Times New Roman" w:cs="Times New Roman"/>
                <w:lang w:val="sr-Cyrl-RS"/>
              </w:rPr>
              <w:t>истом</w:t>
            </w:r>
          </w:p>
        </w:tc>
        <w:tc>
          <w:tcPr>
            <w:tcW w:w="1009" w:type="pct"/>
            <w:vAlign w:val="center"/>
          </w:tcPr>
          <w:p w14:paraId="40F9BCC8" w14:textId="77777777" w:rsidR="00FD346C" w:rsidRPr="00BB3AEB" w:rsidRDefault="00FD346C" w:rsidP="00FD346C">
            <w:pPr>
              <w:jc w:val="right"/>
              <w:rPr>
                <w:rFonts w:ascii="Times New Roman" w:eastAsia="Calibri" w:hAnsi="Times New Roman" w:cs="Times New Roman"/>
                <w:lang w:val="sr-Latn-RS"/>
              </w:rPr>
            </w:pPr>
            <w:r w:rsidRPr="00BB3AEB">
              <w:rPr>
                <w:rFonts w:ascii="Times New Roman" w:eastAsia="Calibri" w:hAnsi="Times New Roman" w:cs="Times New Roman"/>
                <w:lang w:val="sr-Latn-RS"/>
              </w:rPr>
              <w:t>511</w:t>
            </w:r>
          </w:p>
        </w:tc>
      </w:tr>
      <w:tr w:rsidR="00FD346C" w:rsidRPr="00BB3AEB" w14:paraId="2C89BED6" w14:textId="77777777" w:rsidTr="003D10DA">
        <w:trPr>
          <w:trHeight w:val="272"/>
        </w:trPr>
        <w:tc>
          <w:tcPr>
            <w:tcW w:w="1585" w:type="pct"/>
            <w:vAlign w:val="center"/>
          </w:tcPr>
          <w:p w14:paraId="7AB55715" w14:textId="77777777" w:rsidR="00FD346C" w:rsidRPr="00BB3AEB" w:rsidRDefault="00FD346C" w:rsidP="00FD346C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BB3AEB">
              <w:rPr>
                <w:rFonts w:ascii="Times New Roman" w:eastAsia="Calibri" w:hAnsi="Times New Roman" w:cs="Times New Roman"/>
                <w:lang w:val="sr-Cyrl-RS"/>
              </w:rPr>
              <w:lastRenderedPageBreak/>
              <w:t>Термоелектране на угаљ</w:t>
            </w:r>
          </w:p>
        </w:tc>
        <w:tc>
          <w:tcPr>
            <w:tcW w:w="2406" w:type="pct"/>
            <w:vAlign w:val="center"/>
          </w:tcPr>
          <w:p w14:paraId="19DACD46" w14:textId="77777777" w:rsidR="00FD346C" w:rsidRPr="00BB3AEB" w:rsidRDefault="00FD346C" w:rsidP="00FD346C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BB3AEB">
              <w:rPr>
                <w:rFonts w:ascii="Times New Roman" w:eastAsia="Calibri" w:hAnsi="Times New Roman" w:cs="Times New Roman"/>
                <w:lang w:val="sr-Cyrl-RS"/>
              </w:rPr>
              <w:t>Ревитализација термоблокова, заједно са пројектима из области заштите животне средине (одсумпоравање, смањење азотних оксида, реконструкције електрофилтерских постројења и пречишћавање отпадних вода)</w:t>
            </w:r>
          </w:p>
        </w:tc>
        <w:tc>
          <w:tcPr>
            <w:tcW w:w="1009" w:type="pct"/>
            <w:vAlign w:val="center"/>
          </w:tcPr>
          <w:p w14:paraId="7A01A7A8" w14:textId="77777777" w:rsidR="00FD346C" w:rsidRPr="00BB3AEB" w:rsidRDefault="00FD346C" w:rsidP="00FD346C">
            <w:pPr>
              <w:jc w:val="right"/>
              <w:rPr>
                <w:rFonts w:ascii="Times New Roman" w:eastAsia="Calibri" w:hAnsi="Times New Roman" w:cs="Times New Roman"/>
                <w:lang w:val="sr-Cyrl-RS"/>
              </w:rPr>
            </w:pPr>
            <w:r w:rsidRPr="00BB3AEB">
              <w:rPr>
                <w:rFonts w:ascii="Times New Roman" w:eastAsia="Calibri" w:hAnsi="Times New Roman" w:cs="Times New Roman"/>
                <w:lang w:val="sr-Cyrl-RS"/>
              </w:rPr>
              <w:t>1.570</w:t>
            </w:r>
          </w:p>
        </w:tc>
      </w:tr>
      <w:tr w:rsidR="00FD346C" w:rsidRPr="00BB3AEB" w14:paraId="7160C997" w14:textId="77777777" w:rsidTr="003D10DA">
        <w:trPr>
          <w:trHeight w:val="422"/>
        </w:trPr>
        <w:tc>
          <w:tcPr>
            <w:tcW w:w="1585" w:type="pct"/>
            <w:vMerge w:val="restart"/>
            <w:vAlign w:val="center"/>
          </w:tcPr>
          <w:p w14:paraId="3B6AD350" w14:textId="77777777" w:rsidR="00FD346C" w:rsidRPr="00BB3AEB" w:rsidRDefault="00FD346C" w:rsidP="00FD346C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BB3AEB">
              <w:rPr>
                <w:rFonts w:ascii="Times New Roman" w:eastAsia="Calibri" w:hAnsi="Times New Roman" w:cs="Times New Roman"/>
                <w:lang w:val="sr-Cyrl-RS"/>
              </w:rPr>
              <w:t>Гасне електране</w:t>
            </w:r>
          </w:p>
        </w:tc>
        <w:tc>
          <w:tcPr>
            <w:tcW w:w="2406" w:type="pct"/>
            <w:vAlign w:val="center"/>
          </w:tcPr>
          <w:p w14:paraId="0C39670D" w14:textId="77777777" w:rsidR="00FD346C" w:rsidRPr="00BB3AEB" w:rsidRDefault="00FD346C" w:rsidP="00FD346C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BB3AEB">
              <w:rPr>
                <w:rFonts w:ascii="Times New Roman" w:eastAsia="Calibri" w:hAnsi="Times New Roman" w:cs="Times New Roman"/>
                <w:lang w:val="sr-Cyrl-RS"/>
              </w:rPr>
              <w:t>Гасна електрана у Новом Саду, на локацији постојеће ТЕ-ТО Нови Сад</w:t>
            </w:r>
          </w:p>
        </w:tc>
        <w:tc>
          <w:tcPr>
            <w:tcW w:w="1009" w:type="pct"/>
            <w:vAlign w:val="center"/>
          </w:tcPr>
          <w:p w14:paraId="1133200A" w14:textId="77777777" w:rsidR="00FD346C" w:rsidRPr="00BB3AEB" w:rsidRDefault="00FD346C" w:rsidP="00FD346C">
            <w:pPr>
              <w:jc w:val="right"/>
              <w:rPr>
                <w:rFonts w:ascii="Times New Roman" w:eastAsia="Calibri" w:hAnsi="Times New Roman" w:cs="Times New Roman"/>
                <w:lang w:val="sr-Cyrl-RS"/>
              </w:rPr>
            </w:pPr>
            <w:r w:rsidRPr="00BB3AEB">
              <w:rPr>
                <w:rFonts w:ascii="Times New Roman" w:eastAsia="Calibri" w:hAnsi="Times New Roman" w:cs="Times New Roman"/>
                <w:lang w:val="sr-Cyrl-RS"/>
              </w:rPr>
              <w:t>400</w:t>
            </w:r>
          </w:p>
        </w:tc>
      </w:tr>
      <w:tr w:rsidR="00FD346C" w:rsidRPr="00BB3AEB" w14:paraId="5B4C7E96" w14:textId="77777777" w:rsidTr="003D10DA">
        <w:trPr>
          <w:trHeight w:val="422"/>
        </w:trPr>
        <w:tc>
          <w:tcPr>
            <w:tcW w:w="1585" w:type="pct"/>
            <w:vMerge/>
            <w:vAlign w:val="center"/>
          </w:tcPr>
          <w:p w14:paraId="29229B45" w14:textId="77777777" w:rsidR="00FD346C" w:rsidRPr="00BB3AEB" w:rsidRDefault="00FD346C" w:rsidP="00FD346C">
            <w:pPr>
              <w:rPr>
                <w:rFonts w:ascii="Times New Roman" w:eastAsia="Calibri" w:hAnsi="Times New Roman" w:cs="Times New Roman"/>
                <w:lang w:val="sr-Cyrl-RS"/>
              </w:rPr>
            </w:pPr>
          </w:p>
        </w:tc>
        <w:tc>
          <w:tcPr>
            <w:tcW w:w="2406" w:type="pct"/>
            <w:vAlign w:val="center"/>
          </w:tcPr>
          <w:p w14:paraId="2FAB71D2" w14:textId="77777777" w:rsidR="00FD346C" w:rsidRPr="00BB3AEB" w:rsidRDefault="00FD346C" w:rsidP="00FD346C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BB3AEB">
              <w:rPr>
                <w:rFonts w:ascii="Times New Roman" w:eastAsia="Calibri" w:hAnsi="Times New Roman" w:cs="Times New Roman"/>
                <w:lang w:val="sr-Cyrl-RS"/>
              </w:rPr>
              <w:t>Гасна електрана у околини Ниша</w:t>
            </w:r>
          </w:p>
        </w:tc>
        <w:tc>
          <w:tcPr>
            <w:tcW w:w="1009" w:type="pct"/>
            <w:vAlign w:val="center"/>
          </w:tcPr>
          <w:p w14:paraId="5F3A5144" w14:textId="0FD02AF9" w:rsidR="00FD346C" w:rsidRPr="00BB3AEB" w:rsidRDefault="00664F4B" w:rsidP="00FD346C">
            <w:pPr>
              <w:jc w:val="right"/>
              <w:rPr>
                <w:rFonts w:ascii="Times New Roman" w:eastAsia="Calibri" w:hAnsi="Times New Roman" w:cs="Times New Roman"/>
                <w:lang w:val="sr-Latn-CS"/>
              </w:rPr>
            </w:pPr>
            <w:r w:rsidRPr="00BB3AEB">
              <w:rPr>
                <w:rFonts w:ascii="Times New Roman" w:eastAsia="Calibri" w:hAnsi="Times New Roman" w:cs="Times New Roman"/>
                <w:lang w:val="sr-Cyrl-RS"/>
              </w:rPr>
              <w:t>250</w:t>
            </w:r>
          </w:p>
        </w:tc>
      </w:tr>
      <w:tr w:rsidR="00FD346C" w:rsidRPr="00BB3AEB" w14:paraId="1DA69C61" w14:textId="77777777" w:rsidTr="003D10DA">
        <w:trPr>
          <w:trHeight w:val="422"/>
        </w:trPr>
        <w:tc>
          <w:tcPr>
            <w:tcW w:w="3991" w:type="pct"/>
            <w:gridSpan w:val="2"/>
            <w:vAlign w:val="center"/>
          </w:tcPr>
          <w:p w14:paraId="20A11503" w14:textId="77777777" w:rsidR="00FD346C" w:rsidRPr="00BB3AEB" w:rsidRDefault="00FD346C" w:rsidP="00FD346C">
            <w:pPr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BB3AEB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Укупно електроенергетски сектор</w:t>
            </w:r>
          </w:p>
        </w:tc>
        <w:tc>
          <w:tcPr>
            <w:tcW w:w="1009" w:type="pct"/>
            <w:vAlign w:val="center"/>
          </w:tcPr>
          <w:p w14:paraId="5EAFE9BB" w14:textId="718D3D20" w:rsidR="00FD346C" w:rsidRPr="00BB3AEB" w:rsidRDefault="00FD346C" w:rsidP="00FD346C">
            <w:pPr>
              <w:jc w:val="right"/>
              <w:rPr>
                <w:rFonts w:ascii="Times New Roman" w:eastAsia="Calibri" w:hAnsi="Times New Roman" w:cs="Times New Roman"/>
                <w:b/>
                <w:bCs/>
                <w:lang w:val="sr-Cyrl-RS"/>
              </w:rPr>
            </w:pPr>
            <w:r w:rsidRPr="00BB3AEB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21.</w:t>
            </w:r>
            <w:r w:rsidR="00351C08" w:rsidRPr="00BB3AEB">
              <w:rPr>
                <w:rFonts w:ascii="Times New Roman" w:eastAsia="Calibri" w:hAnsi="Times New Roman" w:cs="Times New Roman"/>
                <w:b/>
                <w:bCs/>
                <w:lang w:val="sr-Latn-CS"/>
              </w:rPr>
              <w:t>872</w:t>
            </w:r>
            <w:r w:rsidRPr="00BB3AEB">
              <w:rPr>
                <w:rFonts w:ascii="Times New Roman" w:eastAsia="Calibri" w:hAnsi="Times New Roman" w:cs="Times New Roman"/>
                <w:b/>
                <w:bCs/>
                <w:lang w:val="sr-Cyrl-RS"/>
              </w:rPr>
              <w:t>,81</w:t>
            </w:r>
          </w:p>
        </w:tc>
      </w:tr>
    </w:tbl>
    <w:p w14:paraId="155B229B" w14:textId="29723BA2" w:rsidR="002C6DB6" w:rsidRPr="00BB3AEB" w:rsidRDefault="002C6DB6" w:rsidP="00CD46EC">
      <w:pPr>
        <w:spacing w:after="0" w:line="276" w:lineRule="auto"/>
        <w:ind w:firstLine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2B23787" w14:textId="735D1B36" w:rsidR="00CD46EC" w:rsidRPr="00BB3AEB" w:rsidRDefault="00CD46EC" w:rsidP="00CD46EC">
      <w:pPr>
        <w:pStyle w:val="Caption"/>
        <w:keepNext/>
        <w:tabs>
          <w:tab w:val="left" w:pos="810"/>
        </w:tabs>
        <w:ind w:left="810" w:hanging="810"/>
        <w:rPr>
          <w:rFonts w:ascii="Times New Roman" w:hAnsi="Times New Roman"/>
          <w:b w:val="0"/>
          <w:bCs w:val="0"/>
          <w:color w:val="auto"/>
          <w:sz w:val="24"/>
          <w:szCs w:val="24"/>
          <w:lang w:val="sr-Cyrl-CS"/>
        </w:rPr>
      </w:pPr>
      <w:r w:rsidRPr="00BB3AEB">
        <w:rPr>
          <w:rFonts w:ascii="Times New Roman" w:hAnsi="Times New Roman"/>
          <w:b w:val="0"/>
          <w:bCs w:val="0"/>
          <w:color w:val="auto"/>
          <w:sz w:val="24"/>
          <w:szCs w:val="24"/>
          <w:lang w:val="sr-Cyrl-CS"/>
        </w:rPr>
        <w:t>Потребне инвестиције у област топлотне енергије:</w:t>
      </w:r>
    </w:p>
    <w:tbl>
      <w:tblPr>
        <w:tblStyle w:val="TableGrid1"/>
        <w:tblW w:w="5000" w:type="pct"/>
        <w:tblBorders>
          <w:top w:val="single" w:sz="2" w:space="0" w:color="000000" w:themeColor="text1"/>
          <w:left w:val="single" w:sz="2" w:space="0" w:color="000000" w:themeColor="text1"/>
          <w:bottom w:val="single" w:sz="2" w:space="0" w:color="000000" w:themeColor="text1"/>
          <w:right w:val="single" w:sz="2" w:space="0" w:color="000000" w:themeColor="text1"/>
          <w:insideH w:val="single" w:sz="2" w:space="0" w:color="000000" w:themeColor="text1"/>
          <w:insideV w:val="single" w:sz="2" w:space="0" w:color="000000" w:themeColor="text1"/>
        </w:tblBorders>
        <w:tblLook w:val="04A0" w:firstRow="1" w:lastRow="0" w:firstColumn="1" w:lastColumn="0" w:noHBand="0" w:noVBand="1"/>
      </w:tblPr>
      <w:tblGrid>
        <w:gridCol w:w="7335"/>
        <w:gridCol w:w="2019"/>
      </w:tblGrid>
      <w:tr w:rsidR="00CD46EC" w:rsidRPr="00BB3AEB" w14:paraId="059361AF" w14:textId="77777777" w:rsidTr="003D10DA">
        <w:trPr>
          <w:trHeight w:val="320"/>
        </w:trPr>
        <w:tc>
          <w:tcPr>
            <w:tcW w:w="3921" w:type="pct"/>
            <w:vAlign w:val="center"/>
            <w:hideMark/>
          </w:tcPr>
          <w:p w14:paraId="38E7EBDD" w14:textId="77777777" w:rsidR="00CD46EC" w:rsidRPr="00BB3AEB" w:rsidRDefault="00CD46EC" w:rsidP="003E3F15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BB3AEB">
              <w:rPr>
                <w:rFonts w:ascii="Times New Roman" w:hAnsi="Times New Roman" w:cs="Times New Roman"/>
                <w:b/>
                <w:bCs/>
                <w:lang w:val="sr-Cyrl-RS"/>
              </w:rPr>
              <w:t>Активност</w:t>
            </w:r>
          </w:p>
        </w:tc>
        <w:tc>
          <w:tcPr>
            <w:tcW w:w="1079" w:type="pct"/>
            <w:noWrap/>
            <w:vAlign w:val="center"/>
            <w:hideMark/>
          </w:tcPr>
          <w:p w14:paraId="34503F26" w14:textId="77777777" w:rsidR="00CD46EC" w:rsidRPr="00BB3AEB" w:rsidRDefault="00CD46EC" w:rsidP="003E3F15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BB3AEB">
              <w:rPr>
                <w:rFonts w:ascii="Times New Roman" w:hAnsi="Times New Roman" w:cs="Times New Roman"/>
                <w:b/>
                <w:bCs/>
                <w:lang w:val="sr-Cyrl-RS"/>
              </w:rPr>
              <w:t>Инвестиција</w:t>
            </w:r>
            <w:r w:rsidRPr="00BB3AEB">
              <w:rPr>
                <w:rFonts w:ascii="Times New Roman" w:hAnsi="Times New Roman" w:cs="Times New Roman"/>
                <w:b/>
                <w:bCs/>
                <w:lang w:val="sr-Cyrl-RS"/>
              </w:rPr>
              <w:br/>
              <w:t>(милиона ЕУР)</w:t>
            </w:r>
          </w:p>
        </w:tc>
      </w:tr>
      <w:tr w:rsidR="00CD46EC" w:rsidRPr="00BB3AEB" w14:paraId="53EC19BF" w14:textId="77777777" w:rsidTr="003D10DA">
        <w:trPr>
          <w:trHeight w:val="327"/>
        </w:trPr>
        <w:tc>
          <w:tcPr>
            <w:tcW w:w="3921" w:type="pct"/>
            <w:vAlign w:val="center"/>
            <w:hideMark/>
          </w:tcPr>
          <w:p w14:paraId="021737FE" w14:textId="77777777" w:rsidR="00CD46EC" w:rsidRPr="00BB3AEB" w:rsidRDefault="00CD46EC" w:rsidP="003E3F15">
            <w:pPr>
              <w:rPr>
                <w:rFonts w:ascii="Times New Roman" w:hAnsi="Times New Roman" w:cs="Times New Roman"/>
                <w:lang w:val="sr-Cyrl-RS"/>
              </w:rPr>
            </w:pPr>
            <w:r w:rsidRPr="00BB3AEB">
              <w:rPr>
                <w:rFonts w:ascii="Times New Roman" w:hAnsi="Times New Roman" w:cs="Times New Roman"/>
                <w:lang w:val="sr-Cyrl-RS"/>
              </w:rPr>
              <w:t>Реконструкција, модернизација и изградња производних система</w:t>
            </w:r>
          </w:p>
        </w:tc>
        <w:tc>
          <w:tcPr>
            <w:tcW w:w="1079" w:type="pct"/>
            <w:noWrap/>
            <w:vAlign w:val="center"/>
            <w:hideMark/>
          </w:tcPr>
          <w:p w14:paraId="4FCBAE57" w14:textId="77777777" w:rsidR="00CD46EC" w:rsidRPr="00BB3AEB" w:rsidRDefault="00CD46EC" w:rsidP="003E3F15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BB3AEB">
              <w:rPr>
                <w:rFonts w:ascii="Times New Roman" w:hAnsi="Times New Roman" w:cs="Times New Roman"/>
                <w:lang w:val="sr-Cyrl-RS"/>
              </w:rPr>
              <w:t>390</w:t>
            </w:r>
          </w:p>
        </w:tc>
      </w:tr>
      <w:tr w:rsidR="00CD46EC" w:rsidRPr="00BB3AEB" w14:paraId="0A430813" w14:textId="77777777" w:rsidTr="003D10DA">
        <w:trPr>
          <w:trHeight w:val="258"/>
        </w:trPr>
        <w:tc>
          <w:tcPr>
            <w:tcW w:w="3921" w:type="pct"/>
            <w:vAlign w:val="center"/>
            <w:hideMark/>
          </w:tcPr>
          <w:p w14:paraId="23A49293" w14:textId="77777777" w:rsidR="00CD46EC" w:rsidRPr="00BB3AEB" w:rsidRDefault="00CD46EC" w:rsidP="003E3F15">
            <w:pPr>
              <w:rPr>
                <w:rFonts w:ascii="Times New Roman" w:hAnsi="Times New Roman" w:cs="Times New Roman"/>
                <w:lang w:val="sr-Cyrl-RS"/>
              </w:rPr>
            </w:pPr>
            <w:r w:rsidRPr="00BB3AEB">
              <w:rPr>
                <w:rFonts w:ascii="Times New Roman" w:hAnsi="Times New Roman" w:cs="Times New Roman"/>
                <w:lang w:val="sr-Cyrl-RS"/>
              </w:rPr>
              <w:t>Ревитализација и изградња дистрибутивних система</w:t>
            </w:r>
          </w:p>
        </w:tc>
        <w:tc>
          <w:tcPr>
            <w:tcW w:w="1079" w:type="pct"/>
            <w:noWrap/>
            <w:vAlign w:val="center"/>
            <w:hideMark/>
          </w:tcPr>
          <w:p w14:paraId="7B97D13D" w14:textId="77777777" w:rsidR="00CD46EC" w:rsidRPr="00BB3AEB" w:rsidRDefault="00CD46EC" w:rsidP="003E3F15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BB3AEB">
              <w:rPr>
                <w:rFonts w:ascii="Times New Roman" w:hAnsi="Times New Roman" w:cs="Times New Roman"/>
                <w:lang w:val="sr-Cyrl-RS"/>
              </w:rPr>
              <w:t>295</w:t>
            </w:r>
          </w:p>
        </w:tc>
      </w:tr>
      <w:tr w:rsidR="00CD46EC" w:rsidRPr="00BB3AEB" w14:paraId="7003CB29" w14:textId="77777777" w:rsidTr="003D10DA">
        <w:trPr>
          <w:trHeight w:val="339"/>
        </w:trPr>
        <w:tc>
          <w:tcPr>
            <w:tcW w:w="3921" w:type="pct"/>
            <w:vAlign w:val="center"/>
            <w:hideMark/>
          </w:tcPr>
          <w:p w14:paraId="48997E91" w14:textId="151C878D" w:rsidR="00CD46EC" w:rsidRPr="00BB3AEB" w:rsidRDefault="00CD46EC" w:rsidP="003E3F15">
            <w:pPr>
              <w:rPr>
                <w:rFonts w:ascii="Times New Roman" w:hAnsi="Times New Roman" w:cs="Times New Roman"/>
                <w:lang w:val="sr-Cyrl-RS"/>
              </w:rPr>
            </w:pPr>
            <w:r w:rsidRPr="00BB3AEB">
              <w:rPr>
                <w:rFonts w:ascii="Times New Roman" w:hAnsi="Times New Roman" w:cs="Times New Roman"/>
                <w:lang w:val="sr-Cyrl-RS"/>
              </w:rPr>
              <w:t>Ревита</w:t>
            </w:r>
            <w:r w:rsidR="00964E31">
              <w:rPr>
                <w:rFonts w:ascii="Times New Roman" w:hAnsi="Times New Roman" w:cs="Times New Roman"/>
                <w:lang w:val="sr-Cyrl-RS"/>
              </w:rPr>
              <w:t>лизација и изградња топлотно пре</w:t>
            </w:r>
            <w:r w:rsidRPr="00BB3AEB">
              <w:rPr>
                <w:rFonts w:ascii="Times New Roman" w:hAnsi="Times New Roman" w:cs="Times New Roman"/>
                <w:lang w:val="sr-Cyrl-RS"/>
              </w:rPr>
              <w:t>дајних станица</w:t>
            </w:r>
          </w:p>
        </w:tc>
        <w:tc>
          <w:tcPr>
            <w:tcW w:w="1079" w:type="pct"/>
            <w:noWrap/>
            <w:vAlign w:val="center"/>
            <w:hideMark/>
          </w:tcPr>
          <w:p w14:paraId="43996D52" w14:textId="77777777" w:rsidR="00CD46EC" w:rsidRPr="00BB3AEB" w:rsidRDefault="00CD46EC" w:rsidP="003E3F15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BB3AEB">
              <w:rPr>
                <w:rFonts w:ascii="Times New Roman" w:hAnsi="Times New Roman" w:cs="Times New Roman"/>
                <w:lang w:val="sr-Cyrl-RS"/>
              </w:rPr>
              <w:t>75</w:t>
            </w:r>
          </w:p>
        </w:tc>
      </w:tr>
      <w:tr w:rsidR="00CD46EC" w:rsidRPr="00BB3AEB" w14:paraId="76257A14" w14:textId="77777777" w:rsidTr="003D10DA">
        <w:trPr>
          <w:trHeight w:val="339"/>
        </w:trPr>
        <w:tc>
          <w:tcPr>
            <w:tcW w:w="3921" w:type="pct"/>
            <w:vAlign w:val="center"/>
          </w:tcPr>
          <w:p w14:paraId="5C95E512" w14:textId="77777777" w:rsidR="00CD46EC" w:rsidRPr="00BB3AEB" w:rsidRDefault="00CD46EC" w:rsidP="003E3F15">
            <w:pPr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BB3AEB">
              <w:rPr>
                <w:rFonts w:ascii="Times New Roman" w:hAnsi="Times New Roman" w:cs="Times New Roman"/>
                <w:b/>
                <w:bCs/>
                <w:lang w:val="sr-Cyrl-RS"/>
              </w:rPr>
              <w:t>Укупно топлотна енергија</w:t>
            </w:r>
          </w:p>
        </w:tc>
        <w:tc>
          <w:tcPr>
            <w:tcW w:w="1079" w:type="pct"/>
            <w:noWrap/>
            <w:vAlign w:val="center"/>
          </w:tcPr>
          <w:p w14:paraId="7D81C312" w14:textId="77777777" w:rsidR="00CD46EC" w:rsidRPr="00BB3AEB" w:rsidRDefault="00CD46EC" w:rsidP="003E3F15">
            <w:pPr>
              <w:jc w:val="right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BB3AEB">
              <w:rPr>
                <w:rFonts w:ascii="Times New Roman" w:hAnsi="Times New Roman" w:cs="Times New Roman"/>
                <w:b/>
                <w:bCs/>
                <w:lang w:val="sr-Cyrl-RS"/>
              </w:rPr>
              <w:t>760</w:t>
            </w:r>
          </w:p>
        </w:tc>
      </w:tr>
    </w:tbl>
    <w:p w14:paraId="16C94AE1" w14:textId="55E9D1EA" w:rsidR="00CD46EC" w:rsidRPr="00BB3AEB" w:rsidRDefault="00CD46EC" w:rsidP="00CD46EC">
      <w:pPr>
        <w:rPr>
          <w:rFonts w:ascii="Times New Roman" w:hAnsi="Times New Roman" w:cs="Times New Roman"/>
          <w:lang w:val="sr-Cyrl-RS"/>
        </w:rPr>
      </w:pPr>
    </w:p>
    <w:p w14:paraId="1A1D8632" w14:textId="70AF6CA4" w:rsidR="00CD46EC" w:rsidRPr="00BB3AEB" w:rsidRDefault="00CD46EC" w:rsidP="00CD46EC">
      <w:pPr>
        <w:pStyle w:val="Caption"/>
        <w:keepNext/>
        <w:tabs>
          <w:tab w:val="left" w:pos="810"/>
        </w:tabs>
        <w:ind w:left="810" w:hanging="810"/>
        <w:rPr>
          <w:rFonts w:ascii="Times New Roman" w:hAnsi="Times New Roman"/>
          <w:b w:val="0"/>
          <w:bCs w:val="0"/>
          <w:color w:val="auto"/>
          <w:sz w:val="24"/>
          <w:szCs w:val="24"/>
          <w:lang w:val="sr-Cyrl-CS"/>
        </w:rPr>
      </w:pPr>
      <w:r w:rsidRPr="00BB3AEB">
        <w:rPr>
          <w:rFonts w:ascii="Times New Roman" w:hAnsi="Times New Roman"/>
          <w:b w:val="0"/>
          <w:bCs w:val="0"/>
          <w:color w:val="auto"/>
          <w:sz w:val="24"/>
          <w:szCs w:val="24"/>
          <w:lang w:val="sr-Cyrl-CS"/>
        </w:rPr>
        <w:t>Потребне инвестиције у област ОИЕ:</w:t>
      </w:r>
    </w:p>
    <w:tbl>
      <w:tblPr>
        <w:tblStyle w:val="TableGrid1"/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703"/>
        <w:gridCol w:w="4651"/>
      </w:tblGrid>
      <w:tr w:rsidR="00CD46EC" w:rsidRPr="00BB3AEB" w14:paraId="03F738CA" w14:textId="77777777" w:rsidTr="003D10DA">
        <w:tc>
          <w:tcPr>
            <w:tcW w:w="2514" w:type="pct"/>
            <w:vAlign w:val="center"/>
            <w:hideMark/>
          </w:tcPr>
          <w:p w14:paraId="2B4002B1" w14:textId="77777777" w:rsidR="00CD46EC" w:rsidRPr="00BB3AEB" w:rsidRDefault="00CD46EC" w:rsidP="003E3F15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BB3AEB">
              <w:rPr>
                <w:rFonts w:ascii="Times New Roman" w:hAnsi="Times New Roman" w:cs="Times New Roman"/>
                <w:b/>
                <w:bCs/>
                <w:lang w:val="sr-Cyrl-RS"/>
              </w:rPr>
              <w:t>Подобласт</w:t>
            </w:r>
          </w:p>
        </w:tc>
        <w:tc>
          <w:tcPr>
            <w:tcW w:w="2486" w:type="pct"/>
            <w:vAlign w:val="center"/>
            <w:hideMark/>
          </w:tcPr>
          <w:p w14:paraId="51B410D9" w14:textId="77777777" w:rsidR="00CD46EC" w:rsidRPr="00BB3AEB" w:rsidRDefault="00CD46EC" w:rsidP="003E3F15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BB3AEB">
              <w:rPr>
                <w:rFonts w:ascii="Times New Roman" w:hAnsi="Times New Roman" w:cs="Times New Roman"/>
                <w:b/>
                <w:bCs/>
                <w:lang w:val="sr-Cyrl-RS"/>
              </w:rPr>
              <w:t>Инвестиција</w:t>
            </w:r>
            <w:r w:rsidRPr="00BB3AEB">
              <w:rPr>
                <w:rFonts w:ascii="Times New Roman" w:hAnsi="Times New Roman" w:cs="Times New Roman"/>
                <w:b/>
                <w:bCs/>
                <w:lang w:val="sr-Cyrl-RS"/>
              </w:rPr>
              <w:br/>
              <w:t>(милиона ЕУР)</w:t>
            </w:r>
          </w:p>
        </w:tc>
      </w:tr>
      <w:tr w:rsidR="00CD46EC" w:rsidRPr="00BB3AEB" w14:paraId="224DC29C" w14:textId="77777777" w:rsidTr="003D10DA">
        <w:trPr>
          <w:trHeight w:val="365"/>
        </w:trPr>
        <w:tc>
          <w:tcPr>
            <w:tcW w:w="2514" w:type="pct"/>
            <w:vAlign w:val="center"/>
            <w:hideMark/>
          </w:tcPr>
          <w:p w14:paraId="3E4A5CB3" w14:textId="77777777" w:rsidR="00CD46EC" w:rsidRPr="00BB3AEB" w:rsidRDefault="00CD46EC" w:rsidP="003E3F15">
            <w:pPr>
              <w:rPr>
                <w:rFonts w:ascii="Times New Roman" w:hAnsi="Times New Roman" w:cs="Times New Roman"/>
                <w:lang w:val="sr-Cyrl-RS"/>
              </w:rPr>
            </w:pPr>
            <w:r w:rsidRPr="00BB3AEB">
              <w:rPr>
                <w:rFonts w:ascii="Times New Roman" w:hAnsi="Times New Roman" w:cs="Times New Roman"/>
                <w:lang w:val="sr-Cyrl-RS"/>
              </w:rPr>
              <w:t>ОИЕ у производњи електричне енергије</w:t>
            </w:r>
          </w:p>
        </w:tc>
        <w:tc>
          <w:tcPr>
            <w:tcW w:w="2486" w:type="pct"/>
            <w:vAlign w:val="center"/>
            <w:hideMark/>
          </w:tcPr>
          <w:p w14:paraId="45D30529" w14:textId="77777777" w:rsidR="00CD46EC" w:rsidRPr="00BB3AEB" w:rsidRDefault="00CD46EC" w:rsidP="003E3F15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BB3AEB">
              <w:rPr>
                <w:rFonts w:ascii="Times New Roman" w:hAnsi="Times New Roman" w:cs="Times New Roman"/>
                <w:lang w:val="sr-Cyrl-RS"/>
              </w:rPr>
              <w:t>16.928</w:t>
            </w:r>
          </w:p>
          <w:p w14:paraId="4B79D055" w14:textId="77777777" w:rsidR="00CD46EC" w:rsidRPr="00BB3AEB" w:rsidRDefault="00CD46EC" w:rsidP="003E3F1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B3AEB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Приказано у електроенергетском сектору</w:t>
            </w:r>
          </w:p>
          <w:p w14:paraId="1B3A2FF0" w14:textId="77777777" w:rsidR="00CD46EC" w:rsidRPr="00BB3AEB" w:rsidRDefault="00CD46EC" w:rsidP="003E3F15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CD46EC" w:rsidRPr="00BB3AEB" w14:paraId="18D312FE" w14:textId="77777777" w:rsidTr="003D10DA">
        <w:trPr>
          <w:trHeight w:val="414"/>
        </w:trPr>
        <w:tc>
          <w:tcPr>
            <w:tcW w:w="2514" w:type="pct"/>
            <w:vAlign w:val="center"/>
            <w:hideMark/>
          </w:tcPr>
          <w:p w14:paraId="1C2FABE6" w14:textId="77777777" w:rsidR="00CD46EC" w:rsidRPr="00BB3AEB" w:rsidRDefault="00CD46EC" w:rsidP="003E3F15">
            <w:pPr>
              <w:rPr>
                <w:rFonts w:ascii="Times New Roman" w:hAnsi="Times New Roman" w:cs="Times New Roman"/>
                <w:lang w:val="sr-Cyrl-RS"/>
              </w:rPr>
            </w:pPr>
            <w:r w:rsidRPr="00BB3AEB">
              <w:rPr>
                <w:rFonts w:ascii="Times New Roman" w:hAnsi="Times New Roman" w:cs="Times New Roman"/>
                <w:lang w:val="sr-Cyrl-RS"/>
              </w:rPr>
              <w:t>ОИЕ за грејање и хлађење</w:t>
            </w:r>
          </w:p>
        </w:tc>
        <w:tc>
          <w:tcPr>
            <w:tcW w:w="2486" w:type="pct"/>
            <w:vAlign w:val="center"/>
            <w:hideMark/>
          </w:tcPr>
          <w:p w14:paraId="6BE24622" w14:textId="77777777" w:rsidR="00CD46EC" w:rsidRPr="00BB3AEB" w:rsidRDefault="00CD46EC" w:rsidP="003E3F15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BB3AEB">
              <w:rPr>
                <w:rFonts w:ascii="Times New Roman" w:hAnsi="Times New Roman" w:cs="Times New Roman"/>
                <w:lang w:val="sr-Cyrl-RS"/>
              </w:rPr>
              <w:t>867</w:t>
            </w:r>
          </w:p>
          <w:p w14:paraId="62A96D4D" w14:textId="77777777" w:rsidR="00CD46EC" w:rsidRPr="00BB3AEB" w:rsidRDefault="00CD46EC" w:rsidP="003E3F15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B3AEB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Приказано у сектору топлотна енергије и области енергетска ефикасност</w:t>
            </w:r>
          </w:p>
        </w:tc>
      </w:tr>
      <w:tr w:rsidR="00CD46EC" w:rsidRPr="00BB3AEB" w14:paraId="177B67C2" w14:textId="77777777" w:rsidTr="003D10DA">
        <w:trPr>
          <w:trHeight w:val="407"/>
        </w:trPr>
        <w:tc>
          <w:tcPr>
            <w:tcW w:w="2514" w:type="pct"/>
            <w:vAlign w:val="center"/>
            <w:hideMark/>
          </w:tcPr>
          <w:p w14:paraId="748C62F3" w14:textId="77777777" w:rsidR="00CD46EC" w:rsidRPr="00BB3AEB" w:rsidRDefault="00CD46EC" w:rsidP="003E3F15">
            <w:pPr>
              <w:rPr>
                <w:rFonts w:ascii="Times New Roman" w:hAnsi="Times New Roman" w:cs="Times New Roman"/>
                <w:lang w:val="sr-Cyrl-RS"/>
              </w:rPr>
            </w:pPr>
            <w:r w:rsidRPr="00BB3AEB">
              <w:rPr>
                <w:rFonts w:ascii="Times New Roman" w:hAnsi="Times New Roman" w:cs="Times New Roman"/>
                <w:lang w:val="sr-Cyrl-RS"/>
              </w:rPr>
              <w:t>ОИЕ у саобраћају</w:t>
            </w:r>
          </w:p>
        </w:tc>
        <w:tc>
          <w:tcPr>
            <w:tcW w:w="2486" w:type="pct"/>
            <w:vAlign w:val="center"/>
            <w:hideMark/>
          </w:tcPr>
          <w:p w14:paraId="48BD0BD3" w14:textId="77777777" w:rsidR="00CD46EC" w:rsidRPr="00BB3AEB" w:rsidRDefault="00CD46EC" w:rsidP="003E3F15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BB3AEB">
              <w:rPr>
                <w:rFonts w:ascii="Times New Roman" w:hAnsi="Times New Roman" w:cs="Times New Roman"/>
                <w:lang w:val="sr-Cyrl-RS"/>
              </w:rPr>
              <w:t>30</w:t>
            </w:r>
          </w:p>
        </w:tc>
      </w:tr>
      <w:tr w:rsidR="00CD46EC" w:rsidRPr="00BB3AEB" w14:paraId="0806C2F3" w14:textId="77777777" w:rsidTr="003D10DA">
        <w:trPr>
          <w:trHeight w:val="407"/>
        </w:trPr>
        <w:tc>
          <w:tcPr>
            <w:tcW w:w="2514" w:type="pct"/>
            <w:vAlign w:val="center"/>
          </w:tcPr>
          <w:p w14:paraId="7448499A" w14:textId="77777777" w:rsidR="00CD46EC" w:rsidRPr="00BB3AEB" w:rsidRDefault="00CD46EC" w:rsidP="003E3F15">
            <w:pPr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BB3AEB">
              <w:rPr>
                <w:rFonts w:ascii="Times New Roman" w:hAnsi="Times New Roman" w:cs="Times New Roman"/>
                <w:b/>
                <w:bCs/>
                <w:lang w:val="sr-Cyrl-RS"/>
              </w:rPr>
              <w:t>Укупно ОИЕ</w:t>
            </w:r>
          </w:p>
        </w:tc>
        <w:tc>
          <w:tcPr>
            <w:tcW w:w="2486" w:type="pct"/>
            <w:vAlign w:val="center"/>
          </w:tcPr>
          <w:p w14:paraId="143C87C4" w14:textId="77777777" w:rsidR="00CD46EC" w:rsidRPr="00BB3AEB" w:rsidRDefault="00CD46EC" w:rsidP="003E3F15">
            <w:pPr>
              <w:jc w:val="right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BB3AEB">
              <w:rPr>
                <w:rFonts w:ascii="Times New Roman" w:hAnsi="Times New Roman" w:cs="Times New Roman"/>
                <w:b/>
                <w:bCs/>
                <w:lang w:val="sr-Cyrl-RS"/>
              </w:rPr>
              <w:t>17.825</w:t>
            </w:r>
          </w:p>
          <w:p w14:paraId="7131368D" w14:textId="77777777" w:rsidR="00CD46EC" w:rsidRPr="00BB3AEB" w:rsidRDefault="00CD46EC" w:rsidP="003E3F15">
            <w:pPr>
              <w:jc w:val="right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BB3AEB"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RS"/>
              </w:rPr>
              <w:t>Обухвата инвестиције у више сектора</w:t>
            </w:r>
          </w:p>
        </w:tc>
      </w:tr>
    </w:tbl>
    <w:p w14:paraId="32B4FF22" w14:textId="5CDC9A6F" w:rsidR="00CD46EC" w:rsidRPr="00BB3AEB" w:rsidRDefault="00CD46EC" w:rsidP="00CD46EC">
      <w:pPr>
        <w:spacing w:after="0" w:line="276" w:lineRule="auto"/>
        <w:ind w:firstLine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C732332" w14:textId="11609B3B" w:rsidR="00CD46EC" w:rsidRPr="00BB3AEB" w:rsidRDefault="00CD46EC" w:rsidP="00CD46EC">
      <w:pPr>
        <w:keepNext/>
        <w:tabs>
          <w:tab w:val="left" w:pos="810"/>
        </w:tabs>
        <w:spacing w:after="200" w:line="240" w:lineRule="auto"/>
        <w:ind w:left="810" w:hanging="810"/>
        <w:rPr>
          <w:rFonts w:ascii="Times New Roman" w:hAnsi="Times New Roman" w:cs="Times New Roman"/>
          <w:sz w:val="24"/>
          <w:szCs w:val="24"/>
          <w:lang w:val="sr-Cyrl-CS"/>
        </w:rPr>
      </w:pPr>
      <w:r w:rsidRPr="00BB3AEB">
        <w:rPr>
          <w:rFonts w:ascii="Times New Roman" w:hAnsi="Times New Roman" w:cs="Times New Roman"/>
          <w:sz w:val="24"/>
          <w:szCs w:val="24"/>
          <w:lang w:val="sr-Cyrl-CS"/>
        </w:rPr>
        <w:t>Потребне инвестиције у област енергетске ефикасности:</w:t>
      </w:r>
    </w:p>
    <w:tbl>
      <w:tblPr>
        <w:tblStyle w:val="TableGrid1"/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412"/>
        <w:gridCol w:w="1942"/>
      </w:tblGrid>
      <w:tr w:rsidR="00CD46EC" w:rsidRPr="00BB3AEB" w14:paraId="46A86361" w14:textId="77777777" w:rsidTr="003D10DA">
        <w:tc>
          <w:tcPr>
            <w:tcW w:w="3962" w:type="pct"/>
            <w:vAlign w:val="center"/>
          </w:tcPr>
          <w:p w14:paraId="41CE1009" w14:textId="77777777" w:rsidR="00CD46EC" w:rsidRPr="00BB3AEB" w:rsidRDefault="00CD46EC" w:rsidP="003E3F15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BB3AEB">
              <w:rPr>
                <w:rFonts w:ascii="Times New Roman" w:hAnsi="Times New Roman" w:cs="Times New Roman"/>
                <w:b/>
                <w:bCs/>
                <w:lang w:val="sr-Cyrl-RS"/>
              </w:rPr>
              <w:t>Активности</w:t>
            </w:r>
          </w:p>
        </w:tc>
        <w:tc>
          <w:tcPr>
            <w:tcW w:w="1038" w:type="pct"/>
            <w:vAlign w:val="center"/>
          </w:tcPr>
          <w:p w14:paraId="1949FE2A" w14:textId="77777777" w:rsidR="00CD46EC" w:rsidRPr="00BB3AEB" w:rsidRDefault="00CD46EC" w:rsidP="003E3F15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BB3AEB">
              <w:rPr>
                <w:rFonts w:ascii="Times New Roman" w:hAnsi="Times New Roman" w:cs="Times New Roman"/>
                <w:b/>
                <w:bCs/>
                <w:lang w:val="sr-Cyrl-RS"/>
              </w:rPr>
              <w:t>Инвестиција</w:t>
            </w:r>
            <w:r w:rsidRPr="00BB3AEB">
              <w:rPr>
                <w:rFonts w:ascii="Times New Roman" w:hAnsi="Times New Roman" w:cs="Times New Roman"/>
                <w:b/>
                <w:bCs/>
                <w:lang w:val="sr-Cyrl-RS"/>
              </w:rPr>
              <w:br/>
              <w:t>(милиона ЕУР)</w:t>
            </w:r>
          </w:p>
        </w:tc>
      </w:tr>
      <w:tr w:rsidR="00CD46EC" w:rsidRPr="00BB3AEB" w14:paraId="69099634" w14:textId="77777777" w:rsidTr="003D10DA">
        <w:trPr>
          <w:trHeight w:val="365"/>
        </w:trPr>
        <w:tc>
          <w:tcPr>
            <w:tcW w:w="3962" w:type="pct"/>
            <w:vAlign w:val="center"/>
          </w:tcPr>
          <w:p w14:paraId="44F95D13" w14:textId="77777777" w:rsidR="00CD46EC" w:rsidRPr="00BB3AEB" w:rsidRDefault="00CD46EC" w:rsidP="003E3F15">
            <w:pPr>
              <w:rPr>
                <w:rFonts w:ascii="Times New Roman" w:hAnsi="Times New Roman" w:cs="Times New Roman"/>
                <w:lang w:val="sr-Cyrl-RS"/>
              </w:rPr>
            </w:pPr>
            <w:r w:rsidRPr="00BB3AEB">
              <w:rPr>
                <w:rFonts w:ascii="Times New Roman" w:hAnsi="Times New Roman" w:cs="Times New Roman"/>
                <w:lang w:val="sr-Cyrl-RS"/>
              </w:rPr>
              <w:t>Програми финансирања обнове грађевинског фонда</w:t>
            </w:r>
          </w:p>
        </w:tc>
        <w:tc>
          <w:tcPr>
            <w:tcW w:w="1038" w:type="pct"/>
            <w:vAlign w:val="center"/>
          </w:tcPr>
          <w:p w14:paraId="2D747DC4" w14:textId="1803220A" w:rsidR="00CD46EC" w:rsidRPr="00BB3AEB" w:rsidRDefault="00A80779" w:rsidP="003E3F15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 w:rsidRPr="00BB3AEB">
              <w:rPr>
                <w:rFonts w:ascii="Times New Roman" w:hAnsi="Times New Roman" w:cs="Times New Roman"/>
                <w:lang w:val="en-US"/>
              </w:rPr>
              <w:t>4</w:t>
            </w:r>
            <w:r w:rsidR="00CD46EC" w:rsidRPr="00BB3AEB">
              <w:rPr>
                <w:rFonts w:ascii="Times New Roman" w:hAnsi="Times New Roman" w:cs="Times New Roman"/>
                <w:lang w:val="en-US"/>
              </w:rPr>
              <w:t>.3</w:t>
            </w:r>
            <w:r w:rsidR="00EA2EC9" w:rsidRPr="00BB3AEB">
              <w:rPr>
                <w:rFonts w:ascii="Times New Roman" w:hAnsi="Times New Roman" w:cs="Times New Roman"/>
                <w:lang w:val="en-US"/>
              </w:rPr>
              <w:t>29</w:t>
            </w:r>
          </w:p>
        </w:tc>
      </w:tr>
      <w:tr w:rsidR="00CD46EC" w:rsidRPr="00BB3AEB" w14:paraId="73ED7DC6" w14:textId="77777777" w:rsidTr="003D10DA">
        <w:trPr>
          <w:trHeight w:val="551"/>
        </w:trPr>
        <w:tc>
          <w:tcPr>
            <w:tcW w:w="3962" w:type="pct"/>
            <w:vAlign w:val="center"/>
          </w:tcPr>
          <w:p w14:paraId="2FD4261A" w14:textId="77777777" w:rsidR="00CD46EC" w:rsidRPr="00BB3AEB" w:rsidRDefault="00CD46EC" w:rsidP="003E3F15">
            <w:pPr>
              <w:rPr>
                <w:rFonts w:ascii="Times New Roman" w:hAnsi="Times New Roman" w:cs="Times New Roman"/>
                <w:lang w:val="sr-Cyrl-RS"/>
              </w:rPr>
            </w:pPr>
            <w:r w:rsidRPr="00BB3AEB">
              <w:rPr>
                <w:rFonts w:ascii="Times New Roman" w:hAnsi="Times New Roman" w:cs="Times New Roman"/>
                <w:lang w:val="sr-Cyrl-RS"/>
              </w:rPr>
              <w:t>Уградња соларних топлотних система у новим зградама и зградама које се реновирају</w:t>
            </w:r>
          </w:p>
        </w:tc>
        <w:tc>
          <w:tcPr>
            <w:tcW w:w="1038" w:type="pct"/>
            <w:vAlign w:val="center"/>
          </w:tcPr>
          <w:p w14:paraId="78C68BC8" w14:textId="77777777" w:rsidR="00CD46EC" w:rsidRPr="00BB3AEB" w:rsidRDefault="00CD46EC" w:rsidP="003E3F15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 w:rsidRPr="00BB3AEB">
              <w:rPr>
                <w:rFonts w:ascii="Times New Roman" w:hAnsi="Times New Roman" w:cs="Times New Roman"/>
                <w:lang w:val="sr-Cyrl-RS"/>
              </w:rPr>
              <w:t>6</w:t>
            </w:r>
            <w:r w:rsidRPr="00BB3AEB">
              <w:rPr>
                <w:rFonts w:ascii="Times New Roman" w:hAnsi="Times New Roman" w:cs="Times New Roman"/>
                <w:lang w:val="en-US"/>
              </w:rPr>
              <w:t>37</w:t>
            </w:r>
          </w:p>
        </w:tc>
      </w:tr>
      <w:tr w:rsidR="00CD46EC" w:rsidRPr="00BB3AEB" w14:paraId="1AE4E6A5" w14:textId="77777777" w:rsidTr="003D10DA">
        <w:trPr>
          <w:trHeight w:val="377"/>
        </w:trPr>
        <w:tc>
          <w:tcPr>
            <w:tcW w:w="3962" w:type="pct"/>
            <w:vAlign w:val="center"/>
          </w:tcPr>
          <w:p w14:paraId="78FF1A86" w14:textId="77777777" w:rsidR="00CD46EC" w:rsidRPr="00BB3AEB" w:rsidRDefault="00CD46EC" w:rsidP="003E3F15">
            <w:pPr>
              <w:rPr>
                <w:rFonts w:ascii="Times New Roman" w:hAnsi="Times New Roman" w:cs="Times New Roman"/>
                <w:lang w:val="sr-Cyrl-RS"/>
              </w:rPr>
            </w:pPr>
            <w:r w:rsidRPr="00BB3AEB">
              <w:rPr>
                <w:rFonts w:ascii="Times New Roman" w:hAnsi="Times New Roman" w:cs="Times New Roman"/>
                <w:lang w:val="sr-Cyrl-RS"/>
              </w:rPr>
              <w:t>Промовисање енергетски ефикасних уређаја у домаћинствима</w:t>
            </w:r>
          </w:p>
        </w:tc>
        <w:tc>
          <w:tcPr>
            <w:tcW w:w="1038" w:type="pct"/>
            <w:vAlign w:val="center"/>
          </w:tcPr>
          <w:p w14:paraId="6DA981C9" w14:textId="77777777" w:rsidR="00CD46EC" w:rsidRPr="00BB3AEB" w:rsidRDefault="00CD46EC" w:rsidP="003E3F15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 w:rsidRPr="00BB3AEB">
              <w:rPr>
                <w:rFonts w:ascii="Times New Roman" w:hAnsi="Times New Roman" w:cs="Times New Roman"/>
                <w:lang w:val="en-US"/>
              </w:rPr>
              <w:t>1.494</w:t>
            </w:r>
          </w:p>
        </w:tc>
      </w:tr>
      <w:tr w:rsidR="00CD46EC" w:rsidRPr="00BB3AEB" w14:paraId="0919E036" w14:textId="77777777" w:rsidTr="003D10DA">
        <w:trPr>
          <w:trHeight w:val="363"/>
        </w:trPr>
        <w:tc>
          <w:tcPr>
            <w:tcW w:w="3962" w:type="pct"/>
            <w:vAlign w:val="center"/>
          </w:tcPr>
          <w:p w14:paraId="5A710DB3" w14:textId="77777777" w:rsidR="00CD46EC" w:rsidRPr="00BB3AEB" w:rsidRDefault="00CD46EC" w:rsidP="003E3F15">
            <w:pPr>
              <w:rPr>
                <w:rFonts w:ascii="Times New Roman" w:hAnsi="Times New Roman" w:cs="Times New Roman"/>
                <w:lang w:val="sr-Cyrl-RS"/>
              </w:rPr>
            </w:pPr>
            <w:r w:rsidRPr="00BB3AEB">
              <w:rPr>
                <w:rFonts w:ascii="Times New Roman" w:hAnsi="Times New Roman" w:cs="Times New Roman"/>
                <w:lang w:val="sr-Cyrl-RS"/>
              </w:rPr>
              <w:t>Програми финансирања за модернизацију високо ефикасне когенерације и система даљинског грејања/хлађења</w:t>
            </w:r>
          </w:p>
        </w:tc>
        <w:tc>
          <w:tcPr>
            <w:tcW w:w="1038" w:type="pct"/>
            <w:vAlign w:val="center"/>
          </w:tcPr>
          <w:p w14:paraId="3E2769FD" w14:textId="77777777" w:rsidR="00CD46EC" w:rsidRPr="00BB3AEB" w:rsidRDefault="00CD46EC" w:rsidP="003E3F15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BB3AEB">
              <w:rPr>
                <w:rFonts w:ascii="Times New Roman" w:hAnsi="Times New Roman" w:cs="Times New Roman"/>
                <w:lang w:val="sr-Cyrl-RS"/>
              </w:rPr>
              <w:t>35</w:t>
            </w:r>
          </w:p>
        </w:tc>
      </w:tr>
      <w:tr w:rsidR="00CD46EC" w:rsidRPr="00BB3AEB" w14:paraId="1FC9103D" w14:textId="77777777" w:rsidTr="003D10DA">
        <w:trPr>
          <w:trHeight w:val="363"/>
        </w:trPr>
        <w:tc>
          <w:tcPr>
            <w:tcW w:w="3962" w:type="pct"/>
            <w:vAlign w:val="center"/>
          </w:tcPr>
          <w:p w14:paraId="40BB2E2A" w14:textId="77777777" w:rsidR="00CD46EC" w:rsidRPr="00BB3AEB" w:rsidRDefault="00CD46EC" w:rsidP="003E3F15">
            <w:pPr>
              <w:rPr>
                <w:rFonts w:ascii="Times New Roman" w:hAnsi="Times New Roman" w:cs="Times New Roman"/>
                <w:lang w:val="sr-Cyrl-RS"/>
              </w:rPr>
            </w:pPr>
            <w:r w:rsidRPr="00BB3AEB">
              <w:rPr>
                <w:rFonts w:ascii="Times New Roman" w:hAnsi="Times New Roman" w:cs="Times New Roman"/>
                <w:lang w:val="sr-Cyrl-RS"/>
              </w:rPr>
              <w:t>Програми финансирања енергетског унапређења уличне расвете</w:t>
            </w:r>
          </w:p>
        </w:tc>
        <w:tc>
          <w:tcPr>
            <w:tcW w:w="1038" w:type="pct"/>
            <w:vAlign w:val="center"/>
          </w:tcPr>
          <w:p w14:paraId="67E6E416" w14:textId="77777777" w:rsidR="00CD46EC" w:rsidRPr="00BB3AEB" w:rsidRDefault="00CD46EC" w:rsidP="003E3F15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BB3AEB">
              <w:rPr>
                <w:rFonts w:ascii="Times New Roman" w:hAnsi="Times New Roman" w:cs="Times New Roman"/>
                <w:lang w:val="sr-Cyrl-RS"/>
              </w:rPr>
              <w:t>1.669</w:t>
            </w:r>
          </w:p>
        </w:tc>
      </w:tr>
      <w:tr w:rsidR="00CD46EC" w:rsidRPr="00BB3AEB" w14:paraId="38F93163" w14:textId="77777777" w:rsidTr="003D10DA">
        <w:trPr>
          <w:trHeight w:val="363"/>
        </w:trPr>
        <w:tc>
          <w:tcPr>
            <w:tcW w:w="3962" w:type="pct"/>
            <w:vAlign w:val="center"/>
          </w:tcPr>
          <w:p w14:paraId="7F80AB61" w14:textId="77777777" w:rsidR="00CD46EC" w:rsidRPr="00BB3AEB" w:rsidRDefault="00CD46EC" w:rsidP="003E3F15">
            <w:pPr>
              <w:rPr>
                <w:rFonts w:ascii="Times New Roman" w:hAnsi="Times New Roman" w:cs="Times New Roman"/>
                <w:lang w:val="sr-Cyrl-RS"/>
              </w:rPr>
            </w:pPr>
            <w:r w:rsidRPr="00BB3AEB">
              <w:rPr>
                <w:rFonts w:ascii="Times New Roman" w:hAnsi="Times New Roman" w:cs="Times New Roman"/>
                <w:lang w:val="sr-Cyrl-RS"/>
              </w:rPr>
              <w:lastRenderedPageBreak/>
              <w:t>Подстицаји енергетске ефикасности путничких и лаких возила</w:t>
            </w:r>
          </w:p>
        </w:tc>
        <w:tc>
          <w:tcPr>
            <w:tcW w:w="1038" w:type="pct"/>
            <w:vAlign w:val="center"/>
          </w:tcPr>
          <w:p w14:paraId="063BA36D" w14:textId="76C9E7DD" w:rsidR="00CD46EC" w:rsidRPr="00BB3AEB" w:rsidRDefault="00EA2EC9" w:rsidP="003E3F15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 w:rsidRPr="00BB3AEB">
              <w:rPr>
                <w:rFonts w:ascii="Times New Roman" w:hAnsi="Times New Roman" w:cs="Times New Roman"/>
                <w:lang w:val="sr-Latn-CS"/>
              </w:rPr>
              <w:t>4.373</w:t>
            </w:r>
          </w:p>
        </w:tc>
      </w:tr>
      <w:tr w:rsidR="00BB3AEB" w:rsidRPr="00BB3AEB" w14:paraId="5A55EC3A" w14:textId="77777777" w:rsidTr="003D10DA">
        <w:trPr>
          <w:trHeight w:val="363"/>
        </w:trPr>
        <w:tc>
          <w:tcPr>
            <w:tcW w:w="3962" w:type="pct"/>
            <w:vAlign w:val="center"/>
          </w:tcPr>
          <w:p w14:paraId="4AE883EC" w14:textId="77777777" w:rsidR="00BB3AEB" w:rsidRPr="00BB3AEB" w:rsidRDefault="00BB3AEB" w:rsidP="00BB3AEB">
            <w:pPr>
              <w:rPr>
                <w:rFonts w:ascii="Times New Roman" w:hAnsi="Times New Roman" w:cs="Times New Roman"/>
                <w:lang w:val="sr-Cyrl-RS"/>
              </w:rPr>
            </w:pPr>
            <w:r w:rsidRPr="00BB3AEB">
              <w:rPr>
                <w:rFonts w:ascii="Times New Roman" w:hAnsi="Times New Roman" w:cs="Times New Roman"/>
                <w:lang w:val="sr-Cyrl-RS"/>
              </w:rPr>
              <w:t>Подстицаји енергетске ефикасности теретног саобраћаја</w:t>
            </w:r>
          </w:p>
        </w:tc>
        <w:tc>
          <w:tcPr>
            <w:tcW w:w="1038" w:type="pct"/>
          </w:tcPr>
          <w:p w14:paraId="5519D039" w14:textId="47262006" w:rsidR="00BB3AEB" w:rsidRPr="00BB3AEB" w:rsidRDefault="00BB3AEB" w:rsidP="00BB3AEB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BB3AEB">
              <w:rPr>
                <w:rFonts w:ascii="Times New Roman" w:hAnsi="Times New Roman" w:cs="Times New Roman"/>
              </w:rPr>
              <w:t>665,3</w:t>
            </w:r>
          </w:p>
        </w:tc>
      </w:tr>
      <w:tr w:rsidR="00BB3AEB" w:rsidRPr="00BB3AEB" w14:paraId="72359BD3" w14:textId="77777777" w:rsidTr="003D10DA">
        <w:trPr>
          <w:trHeight w:val="363"/>
        </w:trPr>
        <w:tc>
          <w:tcPr>
            <w:tcW w:w="3962" w:type="pct"/>
            <w:vAlign w:val="center"/>
          </w:tcPr>
          <w:p w14:paraId="2D545EE3" w14:textId="77777777" w:rsidR="00BB3AEB" w:rsidRPr="00BB3AEB" w:rsidRDefault="00BB3AEB" w:rsidP="00BB3AEB">
            <w:pPr>
              <w:rPr>
                <w:rFonts w:ascii="Times New Roman" w:hAnsi="Times New Roman" w:cs="Times New Roman"/>
                <w:lang w:val="sr-Cyrl-RS"/>
              </w:rPr>
            </w:pPr>
            <w:r w:rsidRPr="00BB3AEB">
              <w:rPr>
                <w:rFonts w:ascii="Times New Roman" w:hAnsi="Times New Roman" w:cs="Times New Roman"/>
                <w:lang w:val="sr-Cyrl-RS"/>
              </w:rPr>
              <w:t>Подстицаји енергетске ефикасности железничког саобраћаја</w:t>
            </w:r>
          </w:p>
        </w:tc>
        <w:tc>
          <w:tcPr>
            <w:tcW w:w="1038" w:type="pct"/>
          </w:tcPr>
          <w:p w14:paraId="18C900EF" w14:textId="5A0D6927" w:rsidR="00BB3AEB" w:rsidRPr="00BB3AEB" w:rsidRDefault="00BB3AEB" w:rsidP="00BB3AEB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BB3AEB">
              <w:rPr>
                <w:rFonts w:ascii="Times New Roman" w:hAnsi="Times New Roman" w:cs="Times New Roman"/>
              </w:rPr>
              <w:t>255,8</w:t>
            </w:r>
          </w:p>
        </w:tc>
      </w:tr>
      <w:tr w:rsidR="00BB3AEB" w:rsidRPr="00BB3AEB" w14:paraId="13A658C7" w14:textId="77777777" w:rsidTr="003D10DA">
        <w:trPr>
          <w:trHeight w:val="363"/>
        </w:trPr>
        <w:tc>
          <w:tcPr>
            <w:tcW w:w="3962" w:type="pct"/>
            <w:vAlign w:val="center"/>
          </w:tcPr>
          <w:p w14:paraId="0DA7E70A" w14:textId="77777777" w:rsidR="00BB3AEB" w:rsidRPr="00BB3AEB" w:rsidRDefault="00BB3AEB" w:rsidP="00BB3AEB">
            <w:pPr>
              <w:rPr>
                <w:rFonts w:ascii="Times New Roman" w:hAnsi="Times New Roman" w:cs="Times New Roman"/>
                <w:lang w:val="sr-Cyrl-RS"/>
              </w:rPr>
            </w:pPr>
            <w:r w:rsidRPr="00BB3AEB">
              <w:rPr>
                <w:rFonts w:ascii="Times New Roman" w:hAnsi="Times New Roman" w:cs="Times New Roman"/>
                <w:lang w:val="sr-Cyrl-RS"/>
              </w:rPr>
              <w:t>Унапређење и проширење одговарајуће инфраструктуре јавног превоза</w:t>
            </w:r>
          </w:p>
        </w:tc>
        <w:tc>
          <w:tcPr>
            <w:tcW w:w="1038" w:type="pct"/>
          </w:tcPr>
          <w:p w14:paraId="7D5727FF" w14:textId="2D07AE98" w:rsidR="00BB3AEB" w:rsidRPr="00BB3AEB" w:rsidRDefault="00BB3AEB" w:rsidP="00BB3AEB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BB3AEB">
              <w:rPr>
                <w:rFonts w:ascii="Times New Roman" w:hAnsi="Times New Roman" w:cs="Times New Roman"/>
              </w:rPr>
              <w:t>505,4</w:t>
            </w:r>
          </w:p>
        </w:tc>
      </w:tr>
      <w:tr w:rsidR="00BB3AEB" w:rsidRPr="00BB3AEB" w14:paraId="3A8D0832" w14:textId="77777777" w:rsidTr="003D10DA">
        <w:trPr>
          <w:trHeight w:val="363"/>
        </w:trPr>
        <w:tc>
          <w:tcPr>
            <w:tcW w:w="3962" w:type="pct"/>
            <w:vAlign w:val="center"/>
          </w:tcPr>
          <w:p w14:paraId="6FA87693" w14:textId="77777777" w:rsidR="00BB3AEB" w:rsidRPr="00BB3AEB" w:rsidRDefault="00BB3AEB" w:rsidP="00BB3AEB">
            <w:pPr>
              <w:rPr>
                <w:rFonts w:ascii="Times New Roman" w:hAnsi="Times New Roman" w:cs="Times New Roman"/>
                <w:lang w:val="sr-Cyrl-RS"/>
              </w:rPr>
            </w:pPr>
            <w:r w:rsidRPr="00BB3AEB">
              <w:rPr>
                <w:rFonts w:ascii="Times New Roman" w:hAnsi="Times New Roman" w:cs="Times New Roman"/>
                <w:lang w:val="sr-Cyrl-RS"/>
              </w:rPr>
              <w:t>Подстицаји енергетске ефикасности у индустријском сектору</w:t>
            </w:r>
          </w:p>
        </w:tc>
        <w:tc>
          <w:tcPr>
            <w:tcW w:w="1038" w:type="pct"/>
          </w:tcPr>
          <w:p w14:paraId="2CD9CCA8" w14:textId="161FB1C2" w:rsidR="00BB3AEB" w:rsidRPr="00BB3AEB" w:rsidRDefault="00BB3AEB" w:rsidP="00BB3AEB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BB3AEB">
              <w:rPr>
                <w:rFonts w:ascii="Times New Roman" w:hAnsi="Times New Roman" w:cs="Times New Roman"/>
              </w:rPr>
              <w:t>3.366,0</w:t>
            </w:r>
          </w:p>
        </w:tc>
      </w:tr>
      <w:tr w:rsidR="00BB3AEB" w:rsidRPr="00BB3AEB" w14:paraId="59DA99C5" w14:textId="77777777" w:rsidTr="003D10DA">
        <w:trPr>
          <w:trHeight w:val="363"/>
        </w:trPr>
        <w:tc>
          <w:tcPr>
            <w:tcW w:w="3962" w:type="pct"/>
            <w:vAlign w:val="center"/>
          </w:tcPr>
          <w:p w14:paraId="4F8044B9" w14:textId="77777777" w:rsidR="00BB3AEB" w:rsidRPr="00BB3AEB" w:rsidRDefault="00BB3AEB" w:rsidP="00BB3AEB">
            <w:pPr>
              <w:rPr>
                <w:rFonts w:ascii="Times New Roman" w:hAnsi="Times New Roman" w:cs="Times New Roman"/>
                <w:lang w:val="sr-Cyrl-RS"/>
              </w:rPr>
            </w:pPr>
            <w:r w:rsidRPr="00BB3AEB">
              <w:rPr>
                <w:rFonts w:ascii="Times New Roman" w:hAnsi="Times New Roman" w:cs="Times New Roman"/>
                <w:lang w:val="sr-Cyrl-RS"/>
              </w:rPr>
              <w:t>Подстицаји енергетске ефикасности у сектору пољопривреде</w:t>
            </w:r>
          </w:p>
        </w:tc>
        <w:tc>
          <w:tcPr>
            <w:tcW w:w="1038" w:type="pct"/>
          </w:tcPr>
          <w:p w14:paraId="06D94FE4" w14:textId="0197FBE4" w:rsidR="00BB3AEB" w:rsidRPr="00BB3AEB" w:rsidRDefault="00BB3AEB" w:rsidP="00BB3AEB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BB3AEB">
              <w:rPr>
                <w:rFonts w:ascii="Times New Roman" w:hAnsi="Times New Roman" w:cs="Times New Roman"/>
              </w:rPr>
              <w:t>2.678,0</w:t>
            </w:r>
          </w:p>
        </w:tc>
      </w:tr>
      <w:tr w:rsidR="00BB3AEB" w:rsidRPr="00BB3AEB" w14:paraId="38F06909" w14:textId="77777777" w:rsidTr="003D10DA">
        <w:trPr>
          <w:trHeight w:val="363"/>
        </w:trPr>
        <w:tc>
          <w:tcPr>
            <w:tcW w:w="3962" w:type="pct"/>
            <w:vAlign w:val="center"/>
          </w:tcPr>
          <w:p w14:paraId="324A0065" w14:textId="77777777" w:rsidR="00BB3AEB" w:rsidRPr="00BB3AEB" w:rsidRDefault="00BB3AEB" w:rsidP="00BB3AEB">
            <w:pPr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BB3AEB">
              <w:rPr>
                <w:rFonts w:ascii="Times New Roman" w:hAnsi="Times New Roman" w:cs="Times New Roman"/>
                <w:b/>
                <w:bCs/>
                <w:lang w:val="sr-Cyrl-RS"/>
              </w:rPr>
              <w:t>Укупно за област енергетске ефикасности</w:t>
            </w:r>
          </w:p>
        </w:tc>
        <w:tc>
          <w:tcPr>
            <w:tcW w:w="1038" w:type="pct"/>
          </w:tcPr>
          <w:p w14:paraId="5BFDF6C2" w14:textId="2BB3041F" w:rsidR="00BB3AEB" w:rsidRPr="00BB3AEB" w:rsidRDefault="00BB3AEB" w:rsidP="00BB3AEB">
            <w:pPr>
              <w:jc w:val="right"/>
              <w:rPr>
                <w:rFonts w:ascii="Times New Roman" w:hAnsi="Times New Roman" w:cs="Times New Roman"/>
                <w:b/>
                <w:bCs/>
                <w:lang w:val="sr-Latn-CS"/>
              </w:rPr>
            </w:pPr>
            <w:r w:rsidRPr="00BB3AEB">
              <w:rPr>
                <w:rFonts w:ascii="Times New Roman" w:hAnsi="Times New Roman" w:cs="Times New Roman"/>
              </w:rPr>
              <w:t>20.006,8</w:t>
            </w:r>
          </w:p>
        </w:tc>
      </w:tr>
    </w:tbl>
    <w:p w14:paraId="0BB7FB2D" w14:textId="2C0CBC8B" w:rsidR="00CD46EC" w:rsidRPr="00BB3AEB" w:rsidRDefault="00CD46EC" w:rsidP="00CD46EC">
      <w:pPr>
        <w:spacing w:after="0" w:line="276" w:lineRule="auto"/>
        <w:ind w:firstLine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228F90A" w14:textId="35E501EA" w:rsidR="00CD46EC" w:rsidRPr="00BB3AEB" w:rsidRDefault="00CD46EC" w:rsidP="00CD46EC">
      <w:pPr>
        <w:keepNext/>
        <w:tabs>
          <w:tab w:val="left" w:pos="810"/>
        </w:tabs>
        <w:spacing w:after="200" w:line="240" w:lineRule="auto"/>
        <w:ind w:left="810" w:hanging="810"/>
        <w:rPr>
          <w:rFonts w:ascii="Times New Roman" w:hAnsi="Times New Roman" w:cs="Times New Roman"/>
          <w:sz w:val="24"/>
          <w:szCs w:val="24"/>
          <w:lang w:val="sr-Cyrl-CS"/>
        </w:rPr>
      </w:pPr>
      <w:r w:rsidRPr="00BB3AEB">
        <w:rPr>
          <w:rFonts w:ascii="Times New Roman" w:hAnsi="Times New Roman" w:cs="Times New Roman"/>
          <w:sz w:val="24"/>
          <w:szCs w:val="24"/>
          <w:lang w:val="sr-Cyrl-CS"/>
        </w:rPr>
        <w:t>Потребне инвестиције у област природног гаса:</w:t>
      </w:r>
    </w:p>
    <w:tbl>
      <w:tblPr>
        <w:tblStyle w:val="TableGrid1"/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877"/>
        <w:gridCol w:w="4619"/>
        <w:gridCol w:w="1858"/>
      </w:tblGrid>
      <w:tr w:rsidR="00FD346C" w:rsidRPr="00BB3AEB" w14:paraId="0EAF2927" w14:textId="77777777" w:rsidTr="003D10DA">
        <w:tc>
          <w:tcPr>
            <w:tcW w:w="1538" w:type="pct"/>
            <w:vAlign w:val="center"/>
          </w:tcPr>
          <w:p w14:paraId="2E75E81A" w14:textId="77777777" w:rsidR="00FD346C" w:rsidRPr="003D10DA" w:rsidRDefault="00FD346C" w:rsidP="003D10DA">
            <w:pPr>
              <w:rPr>
                <w:rFonts w:ascii="Times New Roman" w:hAnsi="Times New Roman" w:cs="Times New Roman"/>
                <w:lang w:val="sr-Cyrl-RS"/>
              </w:rPr>
            </w:pPr>
            <w:r w:rsidRPr="003D10DA">
              <w:rPr>
                <w:rFonts w:ascii="Times New Roman" w:hAnsi="Times New Roman" w:cs="Times New Roman"/>
                <w:lang w:val="sr-Cyrl-RS"/>
              </w:rPr>
              <w:t>Подобласт</w:t>
            </w:r>
          </w:p>
        </w:tc>
        <w:tc>
          <w:tcPr>
            <w:tcW w:w="2469" w:type="pct"/>
            <w:vAlign w:val="center"/>
          </w:tcPr>
          <w:p w14:paraId="7C55F8F8" w14:textId="77777777" w:rsidR="00FD346C" w:rsidRPr="003D10DA" w:rsidRDefault="00FD346C" w:rsidP="003D10DA">
            <w:pPr>
              <w:rPr>
                <w:rFonts w:ascii="Times New Roman" w:hAnsi="Times New Roman" w:cs="Times New Roman"/>
                <w:lang w:val="sr-Cyrl-RS"/>
              </w:rPr>
            </w:pPr>
            <w:r w:rsidRPr="003D10DA">
              <w:rPr>
                <w:rFonts w:ascii="Times New Roman" w:hAnsi="Times New Roman" w:cs="Times New Roman"/>
                <w:lang w:val="sr-Cyrl-RS"/>
              </w:rPr>
              <w:t>Активности</w:t>
            </w:r>
          </w:p>
        </w:tc>
        <w:tc>
          <w:tcPr>
            <w:tcW w:w="993" w:type="pct"/>
            <w:vAlign w:val="center"/>
          </w:tcPr>
          <w:p w14:paraId="093D45E5" w14:textId="77777777" w:rsidR="00FD346C" w:rsidRPr="003D10DA" w:rsidRDefault="00FD346C" w:rsidP="003D10DA">
            <w:pPr>
              <w:rPr>
                <w:rFonts w:ascii="Times New Roman" w:hAnsi="Times New Roman" w:cs="Times New Roman"/>
                <w:lang w:val="sr-Cyrl-RS"/>
              </w:rPr>
            </w:pPr>
            <w:r w:rsidRPr="003D10DA">
              <w:rPr>
                <w:rFonts w:ascii="Times New Roman" w:hAnsi="Times New Roman" w:cs="Times New Roman"/>
                <w:lang w:val="sr-Cyrl-RS"/>
              </w:rPr>
              <w:t>Инвестиција</w:t>
            </w:r>
            <w:r w:rsidRPr="003D10DA">
              <w:rPr>
                <w:rFonts w:ascii="Times New Roman" w:hAnsi="Times New Roman" w:cs="Times New Roman"/>
                <w:lang w:val="sr-Cyrl-RS"/>
              </w:rPr>
              <w:br/>
              <w:t>(милиона ЕУР)</w:t>
            </w:r>
          </w:p>
        </w:tc>
      </w:tr>
      <w:tr w:rsidR="00FD346C" w:rsidRPr="00BB3AEB" w14:paraId="110930D0" w14:textId="77777777" w:rsidTr="003D10DA">
        <w:trPr>
          <w:trHeight w:val="1137"/>
        </w:trPr>
        <w:tc>
          <w:tcPr>
            <w:tcW w:w="1538" w:type="pct"/>
            <w:vAlign w:val="center"/>
          </w:tcPr>
          <w:p w14:paraId="70CA712A" w14:textId="77777777" w:rsidR="00FD346C" w:rsidRPr="003D10DA" w:rsidRDefault="00FD346C" w:rsidP="00FD346C">
            <w:pPr>
              <w:rPr>
                <w:rFonts w:ascii="Times New Roman" w:hAnsi="Times New Roman" w:cs="Times New Roman"/>
                <w:lang w:val="sr-Cyrl-RS"/>
              </w:rPr>
            </w:pPr>
            <w:r w:rsidRPr="003D10DA">
              <w:rPr>
                <w:rFonts w:ascii="Times New Roman" w:hAnsi="Times New Roman" w:cs="Times New Roman"/>
                <w:lang w:val="sr-Cyrl-RS"/>
              </w:rPr>
              <w:t>Интерконекција</w:t>
            </w:r>
          </w:p>
        </w:tc>
        <w:tc>
          <w:tcPr>
            <w:tcW w:w="2469" w:type="pct"/>
            <w:vAlign w:val="center"/>
          </w:tcPr>
          <w:p w14:paraId="21645AB6" w14:textId="77777777" w:rsidR="00FD346C" w:rsidRPr="003D10DA" w:rsidRDefault="00FD346C" w:rsidP="00FD346C">
            <w:pPr>
              <w:rPr>
                <w:rFonts w:ascii="Times New Roman" w:hAnsi="Times New Roman" w:cs="Times New Roman"/>
                <w:lang w:val="sr-Cyrl-RS"/>
              </w:rPr>
            </w:pPr>
            <w:r w:rsidRPr="003D10DA">
              <w:rPr>
                <w:rFonts w:ascii="Times New Roman" w:hAnsi="Times New Roman" w:cs="Times New Roman"/>
                <w:lang w:val="sr-Cyrl-RS"/>
              </w:rPr>
              <w:t>Румунија (Мокрин – Арад)</w:t>
            </w:r>
          </w:p>
          <w:p w14:paraId="21F8B4BD" w14:textId="77777777" w:rsidR="00FD346C" w:rsidRPr="003D10DA" w:rsidRDefault="00FD346C" w:rsidP="00FD346C">
            <w:pPr>
              <w:rPr>
                <w:rFonts w:ascii="Times New Roman" w:hAnsi="Times New Roman" w:cs="Times New Roman"/>
                <w:lang w:val="sr-Cyrl-RS"/>
              </w:rPr>
            </w:pPr>
            <w:r w:rsidRPr="003D10DA">
              <w:rPr>
                <w:rFonts w:ascii="Times New Roman" w:hAnsi="Times New Roman" w:cs="Times New Roman"/>
                <w:lang w:val="sr-Cyrl-RS"/>
              </w:rPr>
              <w:t>БиХ (Инђија - Мачвански Прњавор)</w:t>
            </w:r>
          </w:p>
          <w:p w14:paraId="5D3A681D" w14:textId="77777777" w:rsidR="00FD346C" w:rsidRPr="003D10DA" w:rsidRDefault="00FD346C" w:rsidP="00FD346C">
            <w:pPr>
              <w:rPr>
                <w:rFonts w:ascii="Times New Roman" w:hAnsi="Times New Roman" w:cs="Times New Roman"/>
                <w:lang w:val="sr-Cyrl-RS"/>
              </w:rPr>
            </w:pPr>
            <w:r w:rsidRPr="003D10DA">
              <w:rPr>
                <w:rFonts w:ascii="Times New Roman" w:hAnsi="Times New Roman" w:cs="Times New Roman"/>
                <w:lang w:val="sr-Cyrl-RS"/>
              </w:rPr>
              <w:t>Хрватска (Госпођинци/Футог – Сотин)</w:t>
            </w:r>
          </w:p>
          <w:p w14:paraId="24B8F5E1" w14:textId="77777777" w:rsidR="00FD346C" w:rsidRPr="003D10DA" w:rsidRDefault="00FD346C" w:rsidP="00FD346C">
            <w:pPr>
              <w:rPr>
                <w:rFonts w:ascii="Times New Roman" w:hAnsi="Times New Roman" w:cs="Times New Roman"/>
                <w:lang w:val="sr-Cyrl-RS"/>
              </w:rPr>
            </w:pPr>
            <w:r w:rsidRPr="003D10DA">
              <w:rPr>
                <w:rFonts w:ascii="Times New Roman" w:hAnsi="Times New Roman" w:cs="Times New Roman"/>
                <w:lang w:val="sr-Cyrl-RS"/>
              </w:rPr>
              <w:t xml:space="preserve">Северна Македонија (Врање - Клећевце) </w:t>
            </w:r>
          </w:p>
        </w:tc>
        <w:tc>
          <w:tcPr>
            <w:tcW w:w="993" w:type="pct"/>
            <w:vAlign w:val="center"/>
          </w:tcPr>
          <w:p w14:paraId="66BD8E4E" w14:textId="77777777" w:rsidR="00FD346C" w:rsidRPr="003D10DA" w:rsidRDefault="00FD346C" w:rsidP="00FD346C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3D10DA">
              <w:rPr>
                <w:rFonts w:ascii="Times New Roman" w:hAnsi="Times New Roman" w:cs="Times New Roman"/>
                <w:lang w:val="sr-Cyrl-RS"/>
              </w:rPr>
              <w:t>179</w:t>
            </w:r>
          </w:p>
        </w:tc>
      </w:tr>
      <w:tr w:rsidR="00FD346C" w:rsidRPr="00BB3AEB" w14:paraId="182CD4AE" w14:textId="77777777" w:rsidTr="003D10DA">
        <w:trPr>
          <w:trHeight w:val="2996"/>
        </w:trPr>
        <w:tc>
          <w:tcPr>
            <w:tcW w:w="1538" w:type="pct"/>
            <w:vAlign w:val="center"/>
          </w:tcPr>
          <w:p w14:paraId="28A25350" w14:textId="77777777" w:rsidR="00FD346C" w:rsidRPr="003D10DA" w:rsidRDefault="00FD346C" w:rsidP="00FD346C">
            <w:pPr>
              <w:rPr>
                <w:rFonts w:ascii="Times New Roman" w:hAnsi="Times New Roman" w:cs="Times New Roman"/>
                <w:lang w:val="sr-Cyrl-RS"/>
              </w:rPr>
            </w:pPr>
            <w:r w:rsidRPr="003D10DA">
              <w:rPr>
                <w:rFonts w:ascii="Times New Roman" w:hAnsi="Times New Roman" w:cs="Times New Roman"/>
                <w:lang w:val="sr-Cyrl-RS"/>
              </w:rPr>
              <w:t>Транспортни систем</w:t>
            </w:r>
          </w:p>
        </w:tc>
        <w:tc>
          <w:tcPr>
            <w:tcW w:w="2469" w:type="pct"/>
            <w:vAlign w:val="center"/>
          </w:tcPr>
          <w:p w14:paraId="7662DCEE" w14:textId="77777777" w:rsidR="00FD346C" w:rsidRPr="003D10DA" w:rsidRDefault="00FD346C" w:rsidP="00FD346C">
            <w:pPr>
              <w:rPr>
                <w:rFonts w:ascii="Times New Roman" w:hAnsi="Times New Roman" w:cs="Times New Roman"/>
                <w:lang w:val="sr-Cyrl-RS"/>
              </w:rPr>
            </w:pPr>
            <w:r w:rsidRPr="003D10DA">
              <w:rPr>
                <w:rFonts w:ascii="Times New Roman" w:hAnsi="Times New Roman" w:cs="Times New Roman"/>
                <w:lang w:val="sr-Cyrl-RS"/>
              </w:rPr>
              <w:t xml:space="preserve">Лесковац-Владичин Хан-Врање </w:t>
            </w:r>
          </w:p>
          <w:p w14:paraId="49C2917E" w14:textId="77777777" w:rsidR="00FD346C" w:rsidRPr="003D10DA" w:rsidRDefault="00FD346C" w:rsidP="00FD346C">
            <w:pPr>
              <w:rPr>
                <w:rFonts w:ascii="Times New Roman" w:hAnsi="Times New Roman" w:cs="Times New Roman"/>
                <w:lang w:val="sr-Cyrl-RS"/>
              </w:rPr>
            </w:pPr>
            <w:r w:rsidRPr="003D10DA">
              <w:rPr>
                <w:rFonts w:ascii="Times New Roman" w:hAnsi="Times New Roman" w:cs="Times New Roman"/>
                <w:lang w:val="sr-Cyrl-RS"/>
              </w:rPr>
              <w:t>Параћин-Бољевац-Рготина-Неготин-Прахово (Бор, Зајечар, Књажевац)</w:t>
            </w:r>
          </w:p>
          <w:p w14:paraId="48547281" w14:textId="77777777" w:rsidR="00FD346C" w:rsidRPr="003D10DA" w:rsidRDefault="00FD346C" w:rsidP="00FD346C">
            <w:pPr>
              <w:rPr>
                <w:rFonts w:ascii="Times New Roman" w:hAnsi="Times New Roman" w:cs="Times New Roman"/>
                <w:lang w:val="sr-Cyrl-RS"/>
              </w:rPr>
            </w:pPr>
            <w:r w:rsidRPr="003D10DA">
              <w:rPr>
                <w:rFonts w:ascii="Times New Roman" w:hAnsi="Times New Roman" w:cs="Times New Roman"/>
                <w:lang w:val="sr-Cyrl-RS"/>
              </w:rPr>
              <w:t>Mокрин -ПСГ Банатски Двор – ПСГ Итебеј - Панчево - Београд југ</w:t>
            </w:r>
          </w:p>
          <w:p w14:paraId="6AB98FA2" w14:textId="77777777" w:rsidR="00FD346C" w:rsidRPr="003D10DA" w:rsidRDefault="00FD346C" w:rsidP="00FD346C">
            <w:pPr>
              <w:rPr>
                <w:rFonts w:ascii="Times New Roman" w:hAnsi="Times New Roman" w:cs="Times New Roman"/>
                <w:lang w:val="sr-Cyrl-RS"/>
              </w:rPr>
            </w:pPr>
            <w:r w:rsidRPr="003D10DA">
              <w:rPr>
                <w:rFonts w:ascii="Times New Roman" w:hAnsi="Times New Roman" w:cs="Times New Roman"/>
                <w:lang w:val="sr-Cyrl-RS"/>
              </w:rPr>
              <w:t>Ниш-Велика Плана-Батајница-Хоргош (компресорске станице Батајница и Баточина)</w:t>
            </w:r>
          </w:p>
          <w:p w14:paraId="6BC832B5" w14:textId="77777777" w:rsidR="00FD346C" w:rsidRPr="003D10DA" w:rsidRDefault="00FD346C" w:rsidP="00FD346C">
            <w:pPr>
              <w:rPr>
                <w:rFonts w:ascii="Times New Roman" w:hAnsi="Times New Roman" w:cs="Times New Roman"/>
                <w:lang w:val="sr-Cyrl-RS"/>
              </w:rPr>
            </w:pPr>
            <w:r w:rsidRPr="003D10DA">
              <w:rPr>
                <w:rFonts w:ascii="Times New Roman" w:hAnsi="Times New Roman" w:cs="Times New Roman"/>
                <w:lang w:val="sr-Cyrl-RS"/>
              </w:rPr>
              <w:t>Златибор – Пријепоље (Нова Варош, Прибој)</w:t>
            </w:r>
          </w:p>
          <w:p w14:paraId="7A4E496E" w14:textId="77777777" w:rsidR="00FD346C" w:rsidRPr="003D10DA" w:rsidRDefault="00FD346C" w:rsidP="00FD346C">
            <w:pPr>
              <w:rPr>
                <w:rFonts w:ascii="Times New Roman" w:hAnsi="Times New Roman" w:cs="Times New Roman"/>
                <w:lang w:val="sr-Cyrl-RS"/>
              </w:rPr>
            </w:pPr>
            <w:r w:rsidRPr="003D10DA">
              <w:rPr>
                <w:rFonts w:ascii="Times New Roman" w:hAnsi="Times New Roman" w:cs="Times New Roman"/>
                <w:lang w:val="sr-Cyrl-RS"/>
              </w:rPr>
              <w:t>Београд – Ваљево – Лозница</w:t>
            </w:r>
          </w:p>
          <w:p w14:paraId="2863EE95" w14:textId="77777777" w:rsidR="00FD346C" w:rsidRPr="003D10DA" w:rsidRDefault="00FD346C" w:rsidP="00FD346C">
            <w:pPr>
              <w:rPr>
                <w:rFonts w:ascii="Times New Roman" w:hAnsi="Times New Roman" w:cs="Times New Roman"/>
                <w:lang w:val="sr-Cyrl-RS"/>
              </w:rPr>
            </w:pPr>
            <w:r w:rsidRPr="003D10DA">
              <w:rPr>
                <w:rFonts w:ascii="Times New Roman" w:hAnsi="Times New Roman" w:cs="Times New Roman"/>
                <w:lang w:val="sr-Cyrl-RS"/>
              </w:rPr>
              <w:t>Примопредајна станица Хоргош</w:t>
            </w:r>
          </w:p>
          <w:p w14:paraId="1CC49A14" w14:textId="77777777" w:rsidR="00FD346C" w:rsidRPr="003D10DA" w:rsidRDefault="00FD346C" w:rsidP="00FD346C">
            <w:pPr>
              <w:rPr>
                <w:rFonts w:ascii="Times New Roman" w:hAnsi="Times New Roman" w:cs="Times New Roman"/>
                <w:lang w:val="sr-Cyrl-RS"/>
              </w:rPr>
            </w:pPr>
            <w:r w:rsidRPr="003D10DA">
              <w:rPr>
                <w:rFonts w:ascii="Times New Roman" w:hAnsi="Times New Roman" w:cs="Times New Roman"/>
                <w:lang w:val="sr-Cyrl-RS"/>
              </w:rPr>
              <w:t xml:space="preserve">Примопредајна станица Лозница </w:t>
            </w:r>
          </w:p>
          <w:p w14:paraId="3D57C3D6" w14:textId="77777777" w:rsidR="00FD346C" w:rsidRPr="003D10DA" w:rsidRDefault="00FD346C" w:rsidP="00FD346C">
            <w:pPr>
              <w:rPr>
                <w:rFonts w:ascii="Times New Roman" w:hAnsi="Times New Roman" w:cs="Times New Roman"/>
                <w:lang w:val="sr-Cyrl-RS"/>
              </w:rPr>
            </w:pPr>
            <w:r w:rsidRPr="003D10DA">
              <w:rPr>
                <w:rFonts w:ascii="Times New Roman" w:hAnsi="Times New Roman" w:cs="Times New Roman"/>
                <w:lang w:val="sr-Cyrl-RS"/>
              </w:rPr>
              <w:t>Примопредајна станица Банатски Двор</w:t>
            </w:r>
          </w:p>
        </w:tc>
        <w:tc>
          <w:tcPr>
            <w:tcW w:w="993" w:type="pct"/>
            <w:vAlign w:val="center"/>
          </w:tcPr>
          <w:p w14:paraId="6B00C906" w14:textId="77777777" w:rsidR="00FD346C" w:rsidRPr="003D10DA" w:rsidRDefault="00FD346C" w:rsidP="00FD346C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3D10DA">
              <w:rPr>
                <w:rFonts w:ascii="Times New Roman" w:hAnsi="Times New Roman" w:cs="Times New Roman"/>
                <w:lang w:val="sr-Cyrl-RS"/>
              </w:rPr>
              <w:t>1.157</w:t>
            </w:r>
          </w:p>
        </w:tc>
      </w:tr>
      <w:tr w:rsidR="00FD346C" w:rsidRPr="00BB3AEB" w14:paraId="6495FEF9" w14:textId="77777777" w:rsidTr="003D10DA">
        <w:trPr>
          <w:trHeight w:val="399"/>
        </w:trPr>
        <w:tc>
          <w:tcPr>
            <w:tcW w:w="1538" w:type="pct"/>
            <w:vAlign w:val="center"/>
          </w:tcPr>
          <w:p w14:paraId="0AE7E776" w14:textId="77777777" w:rsidR="00FD346C" w:rsidRPr="003D10DA" w:rsidRDefault="00FD346C" w:rsidP="00FD346C">
            <w:pPr>
              <w:rPr>
                <w:rFonts w:ascii="Times New Roman" w:hAnsi="Times New Roman" w:cs="Times New Roman"/>
                <w:lang w:val="sr-Cyrl-RS"/>
              </w:rPr>
            </w:pPr>
            <w:r w:rsidRPr="003D10DA">
              <w:rPr>
                <w:rFonts w:ascii="Times New Roman" w:hAnsi="Times New Roman" w:cs="Times New Roman"/>
                <w:lang w:val="sr-Cyrl-RS"/>
              </w:rPr>
              <w:t>Складиште гаса</w:t>
            </w:r>
          </w:p>
        </w:tc>
        <w:tc>
          <w:tcPr>
            <w:tcW w:w="2469" w:type="pct"/>
            <w:vAlign w:val="center"/>
          </w:tcPr>
          <w:p w14:paraId="7DA761F2" w14:textId="77777777" w:rsidR="00FD346C" w:rsidRPr="003D10DA" w:rsidRDefault="00FD346C" w:rsidP="00472FD9">
            <w:pPr>
              <w:ind w:firstLine="0"/>
              <w:rPr>
                <w:rFonts w:ascii="Times New Roman" w:hAnsi="Times New Roman" w:cs="Times New Roman"/>
                <w:lang w:val="sr-Cyrl-RS"/>
              </w:rPr>
            </w:pPr>
            <w:r w:rsidRPr="003D10DA">
              <w:rPr>
                <w:rFonts w:ascii="Times New Roman" w:hAnsi="Times New Roman" w:cs="Times New Roman"/>
                <w:lang w:val="sr-Cyrl-RS"/>
              </w:rPr>
              <w:t xml:space="preserve">Проширење ПСГ Банатски Двор </w:t>
            </w:r>
            <w:r w:rsidRPr="003D10DA">
              <w:rPr>
                <w:rFonts w:ascii="Times New Roman" w:hAnsi="Times New Roman" w:cs="Times New Roman"/>
                <w:lang w:val="sr-Cyrl-RS"/>
              </w:rPr>
              <w:br/>
              <w:t>Изградња ПСГ Итебеј</w:t>
            </w:r>
          </w:p>
        </w:tc>
        <w:tc>
          <w:tcPr>
            <w:tcW w:w="993" w:type="pct"/>
            <w:vAlign w:val="center"/>
          </w:tcPr>
          <w:p w14:paraId="19657714" w14:textId="77777777" w:rsidR="00FD346C" w:rsidRPr="003D10DA" w:rsidRDefault="00FD346C" w:rsidP="00FD346C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3D10DA">
              <w:rPr>
                <w:rFonts w:ascii="Times New Roman" w:hAnsi="Times New Roman" w:cs="Times New Roman"/>
                <w:lang w:val="sr-Cyrl-RS"/>
              </w:rPr>
              <w:t>250</w:t>
            </w:r>
          </w:p>
        </w:tc>
      </w:tr>
      <w:tr w:rsidR="00FD346C" w:rsidRPr="00BB3AEB" w14:paraId="6CA457AE" w14:textId="77777777" w:rsidTr="003D10DA">
        <w:trPr>
          <w:trHeight w:val="395"/>
        </w:trPr>
        <w:tc>
          <w:tcPr>
            <w:tcW w:w="1538" w:type="pct"/>
            <w:vAlign w:val="center"/>
          </w:tcPr>
          <w:p w14:paraId="696385F3" w14:textId="77777777" w:rsidR="00FD346C" w:rsidRPr="003D10DA" w:rsidRDefault="00FD346C" w:rsidP="00FD346C">
            <w:pPr>
              <w:rPr>
                <w:rFonts w:ascii="Times New Roman" w:hAnsi="Times New Roman" w:cs="Times New Roman"/>
                <w:lang w:val="sr-Cyrl-RS"/>
              </w:rPr>
            </w:pPr>
            <w:r w:rsidRPr="003D10DA">
              <w:rPr>
                <w:rFonts w:ascii="Times New Roman" w:hAnsi="Times New Roman" w:cs="Times New Roman"/>
                <w:lang w:val="sr-Cyrl-RS"/>
              </w:rPr>
              <w:t>Дистрибутивни систем</w:t>
            </w:r>
          </w:p>
        </w:tc>
        <w:tc>
          <w:tcPr>
            <w:tcW w:w="2469" w:type="pct"/>
            <w:vAlign w:val="center"/>
          </w:tcPr>
          <w:p w14:paraId="2A169FE8" w14:textId="77777777" w:rsidR="00FD346C" w:rsidRPr="003D10DA" w:rsidRDefault="00FD346C" w:rsidP="00FD346C">
            <w:pPr>
              <w:rPr>
                <w:rFonts w:ascii="Times New Roman" w:hAnsi="Times New Roman" w:cs="Times New Roman"/>
                <w:lang w:val="sr-Cyrl-RS"/>
              </w:rPr>
            </w:pPr>
            <w:r w:rsidRPr="003D10DA">
              <w:rPr>
                <w:rFonts w:ascii="Times New Roman" w:hAnsi="Times New Roman" w:cs="Times New Roman"/>
                <w:lang w:val="sr-Cyrl-RS"/>
              </w:rPr>
              <w:t>Изградња дистрибутивних гасовода</w:t>
            </w:r>
          </w:p>
        </w:tc>
        <w:tc>
          <w:tcPr>
            <w:tcW w:w="993" w:type="pct"/>
            <w:vAlign w:val="center"/>
          </w:tcPr>
          <w:p w14:paraId="41015EF3" w14:textId="77777777" w:rsidR="00FD346C" w:rsidRPr="003D10DA" w:rsidRDefault="00FD346C" w:rsidP="00FD346C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3D10DA">
              <w:rPr>
                <w:rFonts w:ascii="Times New Roman" w:hAnsi="Times New Roman" w:cs="Times New Roman"/>
                <w:lang w:val="sr-Cyrl-RS"/>
              </w:rPr>
              <w:t>216,5</w:t>
            </w:r>
          </w:p>
        </w:tc>
      </w:tr>
      <w:tr w:rsidR="00FD346C" w:rsidRPr="00BB3AEB" w14:paraId="1BAFAC62" w14:textId="77777777" w:rsidTr="003D10DA">
        <w:trPr>
          <w:trHeight w:val="395"/>
        </w:trPr>
        <w:tc>
          <w:tcPr>
            <w:tcW w:w="4007" w:type="pct"/>
            <w:gridSpan w:val="2"/>
            <w:vAlign w:val="center"/>
          </w:tcPr>
          <w:p w14:paraId="77C4B262" w14:textId="77777777" w:rsidR="00FD346C" w:rsidRPr="003D10DA" w:rsidRDefault="00FD346C" w:rsidP="00FD346C">
            <w:pPr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3D10DA">
              <w:rPr>
                <w:rFonts w:ascii="Times New Roman" w:hAnsi="Times New Roman" w:cs="Times New Roman"/>
                <w:b/>
                <w:bCs/>
                <w:lang w:val="sr-Cyrl-RS"/>
              </w:rPr>
              <w:t>Укупно сектор природног гаса</w:t>
            </w:r>
          </w:p>
        </w:tc>
        <w:tc>
          <w:tcPr>
            <w:tcW w:w="993" w:type="pct"/>
            <w:vAlign w:val="center"/>
          </w:tcPr>
          <w:p w14:paraId="4FFC4353" w14:textId="77777777" w:rsidR="00FD346C" w:rsidRPr="003D10DA" w:rsidRDefault="00FD346C" w:rsidP="00FD346C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3D10DA">
              <w:rPr>
                <w:rFonts w:ascii="Times New Roman" w:hAnsi="Times New Roman" w:cs="Times New Roman"/>
                <w:lang w:val="sr-Cyrl-RS"/>
              </w:rPr>
              <w:t>1.802,5</w:t>
            </w:r>
          </w:p>
        </w:tc>
      </w:tr>
    </w:tbl>
    <w:p w14:paraId="5EA2A48C" w14:textId="52D4567C" w:rsidR="00CD46EC" w:rsidRPr="00BB3AEB" w:rsidRDefault="00CD46EC" w:rsidP="00CD46EC">
      <w:pPr>
        <w:keepNext/>
        <w:tabs>
          <w:tab w:val="left" w:pos="810"/>
        </w:tabs>
        <w:spacing w:after="200" w:line="240" w:lineRule="auto"/>
        <w:ind w:left="810" w:hanging="810"/>
        <w:rPr>
          <w:rFonts w:ascii="Times New Roman" w:hAnsi="Times New Roman" w:cs="Times New Roman"/>
          <w:sz w:val="24"/>
          <w:szCs w:val="24"/>
          <w:lang w:val="sr-Cyrl-CS"/>
        </w:rPr>
      </w:pPr>
      <w:r w:rsidRPr="00BB3AEB">
        <w:rPr>
          <w:rFonts w:ascii="Times New Roman" w:hAnsi="Times New Roman" w:cs="Times New Roman"/>
          <w:sz w:val="24"/>
          <w:szCs w:val="24"/>
          <w:lang w:val="sr-Cyrl-CS"/>
        </w:rPr>
        <w:t>Потребне инвестиције у област нафте:</w:t>
      </w:r>
    </w:p>
    <w:tbl>
      <w:tblPr>
        <w:tblStyle w:val="TableGrid1"/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117"/>
        <w:gridCol w:w="4411"/>
        <w:gridCol w:w="1826"/>
      </w:tblGrid>
      <w:tr w:rsidR="00FD346C" w:rsidRPr="00BB3AEB" w14:paraId="166932A1" w14:textId="77777777" w:rsidTr="003D10DA">
        <w:tc>
          <w:tcPr>
            <w:tcW w:w="1666" w:type="pct"/>
            <w:vAlign w:val="center"/>
          </w:tcPr>
          <w:p w14:paraId="31BB50F6" w14:textId="77777777" w:rsidR="00FD346C" w:rsidRPr="00BB3AEB" w:rsidRDefault="00FD346C" w:rsidP="00FD346C">
            <w:pPr>
              <w:ind w:firstLine="15"/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BB3AEB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Подобласт</w:t>
            </w:r>
          </w:p>
        </w:tc>
        <w:tc>
          <w:tcPr>
            <w:tcW w:w="2358" w:type="pct"/>
            <w:vAlign w:val="center"/>
          </w:tcPr>
          <w:p w14:paraId="7A1DB405" w14:textId="77777777" w:rsidR="00FD346C" w:rsidRPr="00BB3AEB" w:rsidRDefault="00FD346C" w:rsidP="00FD346C">
            <w:pPr>
              <w:ind w:firstLine="15"/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BB3AEB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Активности</w:t>
            </w:r>
          </w:p>
        </w:tc>
        <w:tc>
          <w:tcPr>
            <w:tcW w:w="976" w:type="pct"/>
            <w:vAlign w:val="center"/>
          </w:tcPr>
          <w:p w14:paraId="60902F08" w14:textId="77777777" w:rsidR="00FD346C" w:rsidRPr="00BB3AEB" w:rsidRDefault="00FD346C" w:rsidP="00FD346C">
            <w:pPr>
              <w:ind w:firstLine="15"/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BB3AEB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Инвестиција</w:t>
            </w:r>
            <w:r w:rsidRPr="00BB3AEB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br/>
              <w:t>(милиона ЕУР)</w:t>
            </w:r>
          </w:p>
        </w:tc>
      </w:tr>
      <w:tr w:rsidR="00FD346C" w:rsidRPr="00BB3AEB" w14:paraId="7DA1139E" w14:textId="77777777" w:rsidTr="003D10DA">
        <w:tc>
          <w:tcPr>
            <w:tcW w:w="1666" w:type="pct"/>
            <w:vAlign w:val="center"/>
          </w:tcPr>
          <w:p w14:paraId="5CC81378" w14:textId="3C66FAD1" w:rsidR="00FD346C" w:rsidRPr="00BB3AEB" w:rsidRDefault="00964E31" w:rsidP="00FD346C">
            <w:pPr>
              <w:ind w:firstLine="15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Истраживање и производња</w:t>
            </w:r>
            <w:r w:rsidR="00FD346C" w:rsidRPr="00BB3AEB">
              <w:rPr>
                <w:rFonts w:ascii="Times New Roman" w:eastAsia="Times New Roman" w:hAnsi="Times New Roman" w:cs="Times New Roman"/>
                <w:lang w:val="sr-Cyrl-RS"/>
              </w:rPr>
              <w:t xml:space="preserve"> нафте и природног гаса*</w:t>
            </w:r>
          </w:p>
        </w:tc>
        <w:tc>
          <w:tcPr>
            <w:tcW w:w="2358" w:type="pct"/>
            <w:vAlign w:val="center"/>
          </w:tcPr>
          <w:p w14:paraId="029FB94A" w14:textId="77777777" w:rsidR="00FD346C" w:rsidRPr="00BB3AEB" w:rsidRDefault="00FD346C" w:rsidP="00FD346C">
            <w:pPr>
              <w:ind w:firstLine="15"/>
              <w:rPr>
                <w:rFonts w:ascii="Times New Roman" w:eastAsia="Times New Roman" w:hAnsi="Times New Roman" w:cs="Times New Roman"/>
                <w:lang w:val="sr-Cyrl-RS"/>
              </w:rPr>
            </w:pPr>
            <w:r w:rsidRPr="00BB3AEB">
              <w:rPr>
                <w:rFonts w:ascii="Times New Roman" w:eastAsia="Times New Roman" w:hAnsi="Times New Roman" w:cs="Times New Roman"/>
                <w:lang w:val="sr-Cyrl-RS"/>
              </w:rPr>
              <w:t>Истраживања у земљи у циљу проналаска нових лежишта</w:t>
            </w:r>
            <w:r w:rsidRPr="00BB3AEB">
              <w:rPr>
                <w:rFonts w:ascii="Times New Roman" w:eastAsia="Times New Roman" w:hAnsi="Times New Roman" w:cs="Times New Roman"/>
                <w:lang w:val="sr-Cyrl-RS"/>
              </w:rPr>
              <w:br/>
              <w:t>Примена нових технологија и метода експлоатације</w:t>
            </w:r>
          </w:p>
        </w:tc>
        <w:tc>
          <w:tcPr>
            <w:tcW w:w="976" w:type="pct"/>
            <w:vAlign w:val="center"/>
          </w:tcPr>
          <w:p w14:paraId="4494056E" w14:textId="77777777" w:rsidR="00FD346C" w:rsidRPr="00BB3AEB" w:rsidRDefault="00FD346C" w:rsidP="00FD346C">
            <w:pPr>
              <w:ind w:firstLine="15"/>
              <w:jc w:val="right"/>
              <w:rPr>
                <w:rFonts w:ascii="Times New Roman" w:eastAsia="Times New Roman" w:hAnsi="Times New Roman" w:cs="Times New Roman"/>
                <w:lang w:val="sr-Cyrl-RS"/>
              </w:rPr>
            </w:pPr>
            <w:r w:rsidRPr="00BB3AEB">
              <w:rPr>
                <w:rFonts w:ascii="Times New Roman" w:eastAsia="Times New Roman" w:hAnsi="Times New Roman" w:cs="Times New Roman"/>
                <w:lang w:val="sr-Cyrl-RS"/>
              </w:rPr>
              <w:t>1.208</w:t>
            </w:r>
          </w:p>
        </w:tc>
      </w:tr>
      <w:tr w:rsidR="00FD346C" w:rsidRPr="00BB3AEB" w14:paraId="4194B0BD" w14:textId="77777777" w:rsidTr="003D10DA">
        <w:tc>
          <w:tcPr>
            <w:tcW w:w="1666" w:type="pct"/>
            <w:vAlign w:val="center"/>
          </w:tcPr>
          <w:p w14:paraId="277A9042" w14:textId="77777777" w:rsidR="00FD346C" w:rsidRPr="00BB3AEB" w:rsidRDefault="00FD346C" w:rsidP="00FD346C">
            <w:pPr>
              <w:ind w:firstLine="15"/>
              <w:rPr>
                <w:rFonts w:ascii="Times New Roman" w:eastAsia="Times New Roman" w:hAnsi="Times New Roman" w:cs="Times New Roman"/>
                <w:lang w:val="sr-Cyrl-RS"/>
              </w:rPr>
            </w:pPr>
            <w:r w:rsidRPr="00BB3AEB">
              <w:rPr>
                <w:rFonts w:ascii="Times New Roman" w:eastAsia="Times New Roman" w:hAnsi="Times New Roman" w:cs="Times New Roman"/>
                <w:lang w:val="sr-Cyrl-RS"/>
              </w:rPr>
              <w:t xml:space="preserve">Рафинеријска прерада нафте </w:t>
            </w:r>
          </w:p>
        </w:tc>
        <w:tc>
          <w:tcPr>
            <w:tcW w:w="2358" w:type="pct"/>
            <w:vAlign w:val="center"/>
          </w:tcPr>
          <w:p w14:paraId="23FCF132" w14:textId="77777777" w:rsidR="00FD346C" w:rsidRPr="00BB3AEB" w:rsidRDefault="00FD346C" w:rsidP="00FD346C">
            <w:pPr>
              <w:ind w:firstLine="15"/>
              <w:rPr>
                <w:rFonts w:ascii="Times New Roman" w:eastAsia="Times New Roman" w:hAnsi="Times New Roman" w:cs="Times New Roman"/>
                <w:lang w:val="sr-Cyrl-RS"/>
              </w:rPr>
            </w:pPr>
            <w:r w:rsidRPr="00BB3AEB">
              <w:rPr>
                <w:rFonts w:ascii="Times New Roman" w:eastAsia="Times New Roman" w:hAnsi="Times New Roman" w:cs="Times New Roman"/>
                <w:lang w:val="sr-Cyrl-RS"/>
              </w:rPr>
              <w:t xml:space="preserve">Модернизација и повећање ефикасности рафинерије Панчево </w:t>
            </w:r>
          </w:p>
        </w:tc>
        <w:tc>
          <w:tcPr>
            <w:tcW w:w="976" w:type="pct"/>
            <w:vAlign w:val="center"/>
          </w:tcPr>
          <w:p w14:paraId="39BDCE00" w14:textId="77777777" w:rsidR="00FD346C" w:rsidRPr="00BB3AEB" w:rsidRDefault="00FD346C" w:rsidP="00FD346C">
            <w:pPr>
              <w:ind w:firstLine="15"/>
              <w:jc w:val="right"/>
              <w:rPr>
                <w:rFonts w:ascii="Times New Roman" w:eastAsia="Times New Roman" w:hAnsi="Times New Roman" w:cs="Times New Roman"/>
                <w:lang w:val="sr-Cyrl-RS"/>
              </w:rPr>
            </w:pPr>
            <w:r w:rsidRPr="00BB3AEB">
              <w:rPr>
                <w:rFonts w:ascii="Times New Roman" w:eastAsia="Times New Roman" w:hAnsi="Times New Roman" w:cs="Times New Roman"/>
                <w:lang w:val="sr-Cyrl-RS"/>
              </w:rPr>
              <w:t>1.097</w:t>
            </w:r>
          </w:p>
        </w:tc>
      </w:tr>
      <w:tr w:rsidR="00FD346C" w:rsidRPr="00BB3AEB" w14:paraId="5B61850A" w14:textId="77777777" w:rsidTr="003D10DA">
        <w:tc>
          <w:tcPr>
            <w:tcW w:w="1666" w:type="pct"/>
            <w:vAlign w:val="center"/>
          </w:tcPr>
          <w:p w14:paraId="004D1B3B" w14:textId="77777777" w:rsidR="00FD346C" w:rsidRPr="00BB3AEB" w:rsidRDefault="00FD346C" w:rsidP="00FD346C">
            <w:pPr>
              <w:ind w:firstLine="15"/>
              <w:rPr>
                <w:rFonts w:ascii="Times New Roman" w:eastAsia="Times New Roman" w:hAnsi="Times New Roman" w:cs="Times New Roman"/>
                <w:lang w:val="sr-Cyrl-RS"/>
              </w:rPr>
            </w:pPr>
            <w:r w:rsidRPr="00BB3AEB">
              <w:rPr>
                <w:rFonts w:ascii="Times New Roman" w:eastAsia="Times New Roman" w:hAnsi="Times New Roman" w:cs="Times New Roman"/>
                <w:lang w:val="sr-Cyrl-RS"/>
              </w:rPr>
              <w:t xml:space="preserve">Обавезне резерве нафте </w:t>
            </w:r>
          </w:p>
        </w:tc>
        <w:tc>
          <w:tcPr>
            <w:tcW w:w="2358" w:type="pct"/>
            <w:vAlign w:val="center"/>
          </w:tcPr>
          <w:p w14:paraId="291A4E5F" w14:textId="4B3047B0" w:rsidR="00FD346C" w:rsidRPr="00BB3AEB" w:rsidRDefault="00FD346C" w:rsidP="00FD346C">
            <w:pPr>
              <w:ind w:firstLine="15"/>
              <w:rPr>
                <w:rFonts w:ascii="Times New Roman" w:eastAsia="Times New Roman" w:hAnsi="Times New Roman" w:cs="Times New Roman"/>
                <w:lang w:val="sr-Cyrl-RS"/>
              </w:rPr>
            </w:pPr>
            <w:r w:rsidRPr="00BB3AEB">
              <w:rPr>
                <w:rFonts w:ascii="Times New Roman" w:eastAsia="Times New Roman" w:hAnsi="Times New Roman" w:cs="Times New Roman"/>
                <w:lang w:val="sr-Cyrl-RS"/>
              </w:rPr>
              <w:t xml:space="preserve">Изградња складишта деривата нафте </w:t>
            </w:r>
            <w:r w:rsidR="00825EAF" w:rsidRPr="00825EAF">
              <w:rPr>
                <w:rFonts w:ascii="Times New Roman" w:eastAsia="Times New Roman" w:hAnsi="Times New Roman" w:cs="Times New Roman"/>
                <w:lang w:val="sr-Cyrl-RS"/>
              </w:rPr>
              <w:t xml:space="preserve">(Панчево, Ковин, Смедерево, Лединци – </w:t>
            </w:r>
            <w:r w:rsidR="00825EAF" w:rsidRPr="00825EAF">
              <w:rPr>
                <w:rFonts w:ascii="Times New Roman" w:eastAsia="Times New Roman" w:hAnsi="Times New Roman" w:cs="Times New Roman"/>
                <w:lang w:val="sr-Cyrl-RS"/>
              </w:rPr>
              <w:lastRenderedPageBreak/>
              <w:t>доња зона,</w:t>
            </w:r>
            <w:r w:rsidR="00964E31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 w:rsidR="00825EAF" w:rsidRPr="00825EAF">
              <w:rPr>
                <w:rFonts w:ascii="Times New Roman" w:eastAsia="Times New Roman" w:hAnsi="Times New Roman" w:cs="Times New Roman"/>
                <w:lang w:val="sr-Cyrl-RS"/>
              </w:rPr>
              <w:t>и осталим локацијама подобним за ову намену)</w:t>
            </w:r>
          </w:p>
        </w:tc>
        <w:tc>
          <w:tcPr>
            <w:tcW w:w="976" w:type="pct"/>
            <w:vAlign w:val="center"/>
          </w:tcPr>
          <w:p w14:paraId="713D653B" w14:textId="77A7DB27" w:rsidR="00FD346C" w:rsidRPr="009A3A91" w:rsidRDefault="009A3A91" w:rsidP="00FD346C">
            <w:pPr>
              <w:ind w:firstLine="15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lastRenderedPageBreak/>
              <w:t>1.242</w:t>
            </w:r>
          </w:p>
        </w:tc>
      </w:tr>
      <w:tr w:rsidR="00FD346C" w:rsidRPr="00BB3AEB" w14:paraId="6C8F0BBB" w14:textId="77777777" w:rsidTr="003D10DA">
        <w:trPr>
          <w:trHeight w:val="1072"/>
        </w:trPr>
        <w:tc>
          <w:tcPr>
            <w:tcW w:w="1666" w:type="pct"/>
            <w:vAlign w:val="center"/>
          </w:tcPr>
          <w:p w14:paraId="4739AD2B" w14:textId="77777777" w:rsidR="00FD346C" w:rsidRPr="00BB3AEB" w:rsidRDefault="00FD346C" w:rsidP="00FD346C">
            <w:pPr>
              <w:ind w:firstLine="15"/>
              <w:rPr>
                <w:rFonts w:ascii="Times New Roman" w:eastAsia="Times New Roman" w:hAnsi="Times New Roman" w:cs="Times New Roman"/>
                <w:lang w:val="sr-Cyrl-RS"/>
              </w:rPr>
            </w:pPr>
            <w:r w:rsidRPr="00BB3AEB">
              <w:rPr>
                <w:rFonts w:ascii="Times New Roman" w:eastAsia="Times New Roman" w:hAnsi="Times New Roman" w:cs="Times New Roman"/>
                <w:lang w:val="sr-Cyrl-RS"/>
              </w:rPr>
              <w:t>Промет деривата нафте</w:t>
            </w:r>
          </w:p>
        </w:tc>
        <w:tc>
          <w:tcPr>
            <w:tcW w:w="2358" w:type="pct"/>
            <w:vAlign w:val="center"/>
          </w:tcPr>
          <w:p w14:paraId="0AB530FA" w14:textId="77777777" w:rsidR="00FD346C" w:rsidRPr="00BB3AEB" w:rsidRDefault="00FD346C" w:rsidP="00FD346C">
            <w:pPr>
              <w:ind w:firstLine="15"/>
              <w:rPr>
                <w:rFonts w:ascii="Times New Roman" w:eastAsia="Times New Roman" w:hAnsi="Times New Roman" w:cs="Times New Roman"/>
                <w:lang w:val="sr-Cyrl-RS"/>
              </w:rPr>
            </w:pPr>
            <w:r w:rsidRPr="00BB3AEB">
              <w:rPr>
                <w:rFonts w:ascii="Times New Roman" w:eastAsia="Times New Roman" w:hAnsi="Times New Roman" w:cs="Times New Roman"/>
                <w:lang w:val="sr-Cyrl-RS"/>
              </w:rPr>
              <w:t>Модернизација бензинских станица и изградња нових</w:t>
            </w:r>
          </w:p>
          <w:p w14:paraId="64249EF1" w14:textId="77777777" w:rsidR="00FD346C" w:rsidRPr="00BB3AEB" w:rsidRDefault="00FD346C" w:rsidP="00FD346C">
            <w:pPr>
              <w:ind w:firstLine="15"/>
              <w:rPr>
                <w:rFonts w:ascii="Times New Roman" w:eastAsia="Times New Roman" w:hAnsi="Times New Roman" w:cs="Times New Roman"/>
                <w:lang w:val="sr-Cyrl-RS"/>
              </w:rPr>
            </w:pPr>
            <w:r w:rsidRPr="00BB3AEB">
              <w:rPr>
                <w:rFonts w:ascii="Times New Roman" w:eastAsia="Times New Roman" w:hAnsi="Times New Roman" w:cs="Times New Roman"/>
                <w:lang w:val="sr-Cyrl-RS"/>
              </w:rPr>
              <w:t>Модернизација пунилишта</w:t>
            </w:r>
          </w:p>
          <w:p w14:paraId="6BF25F43" w14:textId="77777777" w:rsidR="00FD346C" w:rsidRPr="00BB3AEB" w:rsidRDefault="00FD346C" w:rsidP="00FD346C">
            <w:pPr>
              <w:ind w:firstLine="15"/>
              <w:rPr>
                <w:rFonts w:ascii="Times New Roman" w:eastAsia="Times New Roman" w:hAnsi="Times New Roman" w:cs="Times New Roman"/>
                <w:lang w:val="sr-Cyrl-RS"/>
              </w:rPr>
            </w:pPr>
            <w:r w:rsidRPr="00BB3AEB">
              <w:rPr>
                <w:rFonts w:ascii="Times New Roman" w:eastAsia="Times New Roman" w:hAnsi="Times New Roman" w:cs="Times New Roman"/>
                <w:lang w:val="sr-Cyrl-RS"/>
              </w:rPr>
              <w:t>Набавка савремених транспортних средстава</w:t>
            </w:r>
          </w:p>
        </w:tc>
        <w:tc>
          <w:tcPr>
            <w:tcW w:w="976" w:type="pct"/>
            <w:vAlign w:val="center"/>
          </w:tcPr>
          <w:p w14:paraId="4C3D73C4" w14:textId="77777777" w:rsidR="00FD346C" w:rsidRPr="00BB3AEB" w:rsidRDefault="00FD346C" w:rsidP="00FD346C">
            <w:pPr>
              <w:ind w:firstLine="15"/>
              <w:jc w:val="right"/>
              <w:rPr>
                <w:rFonts w:ascii="Times New Roman" w:eastAsia="Times New Roman" w:hAnsi="Times New Roman" w:cs="Times New Roman"/>
                <w:lang w:val="sr-Cyrl-RS"/>
              </w:rPr>
            </w:pPr>
            <w:r w:rsidRPr="00BB3AEB">
              <w:rPr>
                <w:rFonts w:ascii="Times New Roman" w:eastAsia="Times New Roman" w:hAnsi="Times New Roman" w:cs="Times New Roman"/>
                <w:lang w:val="sr-Cyrl-RS"/>
              </w:rPr>
              <w:t>750</w:t>
            </w:r>
          </w:p>
        </w:tc>
      </w:tr>
      <w:tr w:rsidR="00FD346C" w:rsidRPr="00BB3AEB" w14:paraId="3F87D606" w14:textId="77777777" w:rsidTr="003D10DA">
        <w:trPr>
          <w:trHeight w:val="1072"/>
        </w:trPr>
        <w:tc>
          <w:tcPr>
            <w:tcW w:w="1666" w:type="pct"/>
            <w:vAlign w:val="center"/>
          </w:tcPr>
          <w:p w14:paraId="46C1E37E" w14:textId="77777777" w:rsidR="00FD346C" w:rsidRPr="00BB3AEB" w:rsidRDefault="00FD346C" w:rsidP="00FD346C">
            <w:pPr>
              <w:ind w:firstLine="15"/>
              <w:rPr>
                <w:rFonts w:ascii="Times New Roman" w:eastAsia="Times New Roman" w:hAnsi="Times New Roman" w:cs="Times New Roman"/>
                <w:lang w:val="sr-Cyrl-RS"/>
              </w:rPr>
            </w:pPr>
            <w:r w:rsidRPr="00BB3AEB">
              <w:rPr>
                <w:rFonts w:ascii="Times New Roman" w:eastAsia="Times New Roman" w:hAnsi="Times New Roman" w:cs="Times New Roman"/>
                <w:lang w:val="sr-Cyrl-RS"/>
              </w:rPr>
              <w:t>Нови правци снабдевања сировом нафтом</w:t>
            </w:r>
          </w:p>
        </w:tc>
        <w:tc>
          <w:tcPr>
            <w:tcW w:w="2358" w:type="pct"/>
            <w:vAlign w:val="center"/>
          </w:tcPr>
          <w:p w14:paraId="17413B9B" w14:textId="77777777" w:rsidR="00FD346C" w:rsidRPr="00BB3AEB" w:rsidRDefault="00FD346C" w:rsidP="00FD346C">
            <w:pPr>
              <w:ind w:firstLine="15"/>
              <w:rPr>
                <w:rFonts w:ascii="Times New Roman" w:eastAsia="Times New Roman" w:hAnsi="Times New Roman" w:cs="Times New Roman"/>
                <w:lang w:val="sr-Cyrl-RS"/>
              </w:rPr>
            </w:pPr>
            <w:r w:rsidRPr="00BB3AEB">
              <w:rPr>
                <w:rFonts w:ascii="Times New Roman" w:eastAsia="Times New Roman" w:hAnsi="Times New Roman" w:cs="Times New Roman"/>
                <w:lang w:val="sr-Cyrl-RS"/>
              </w:rPr>
              <w:t>Изградња нафтовода према Мађарској</w:t>
            </w:r>
          </w:p>
        </w:tc>
        <w:tc>
          <w:tcPr>
            <w:tcW w:w="976" w:type="pct"/>
            <w:vAlign w:val="center"/>
          </w:tcPr>
          <w:p w14:paraId="3C987330" w14:textId="77777777" w:rsidR="00FD346C" w:rsidRPr="00BB3AEB" w:rsidRDefault="00FD346C" w:rsidP="00FD346C">
            <w:pPr>
              <w:ind w:firstLine="15"/>
              <w:jc w:val="right"/>
              <w:rPr>
                <w:rFonts w:ascii="Times New Roman" w:eastAsia="Times New Roman" w:hAnsi="Times New Roman" w:cs="Times New Roman"/>
                <w:lang w:val="sr-Cyrl-RS"/>
              </w:rPr>
            </w:pPr>
            <w:r w:rsidRPr="00BB3AEB">
              <w:rPr>
                <w:rFonts w:ascii="Times New Roman" w:eastAsia="Times New Roman" w:hAnsi="Times New Roman" w:cs="Times New Roman"/>
                <w:lang w:val="sr-Cyrl-RS"/>
              </w:rPr>
              <w:t>156</w:t>
            </w:r>
          </w:p>
        </w:tc>
      </w:tr>
      <w:tr w:rsidR="00FD346C" w:rsidRPr="00BB3AEB" w14:paraId="03C0D623" w14:textId="77777777" w:rsidTr="003D10DA">
        <w:trPr>
          <w:trHeight w:val="729"/>
        </w:trPr>
        <w:tc>
          <w:tcPr>
            <w:tcW w:w="1666" w:type="pct"/>
            <w:vAlign w:val="center"/>
          </w:tcPr>
          <w:p w14:paraId="592A78FF" w14:textId="77777777" w:rsidR="00FD346C" w:rsidRPr="00BB3AEB" w:rsidRDefault="00FD346C" w:rsidP="00FD346C">
            <w:pPr>
              <w:ind w:firstLine="15"/>
              <w:rPr>
                <w:rFonts w:ascii="Times New Roman" w:eastAsia="Times New Roman" w:hAnsi="Times New Roman" w:cs="Times New Roman"/>
                <w:lang w:val="sr-Cyrl-RS"/>
              </w:rPr>
            </w:pPr>
            <w:r w:rsidRPr="00BB3AEB">
              <w:rPr>
                <w:rFonts w:ascii="Times New Roman" w:eastAsia="Times New Roman" w:hAnsi="Times New Roman" w:cs="Times New Roman"/>
                <w:lang w:val="sr-Cyrl-RS"/>
              </w:rPr>
              <w:t>Систем продуктовода кроз Републику Србију</w:t>
            </w:r>
          </w:p>
        </w:tc>
        <w:tc>
          <w:tcPr>
            <w:tcW w:w="2358" w:type="pct"/>
            <w:vAlign w:val="center"/>
          </w:tcPr>
          <w:p w14:paraId="4D70C027" w14:textId="77777777" w:rsidR="00FD346C" w:rsidRPr="00BB3AEB" w:rsidRDefault="00FD346C" w:rsidP="00FD346C">
            <w:pPr>
              <w:ind w:firstLine="15"/>
              <w:rPr>
                <w:rFonts w:ascii="Times New Roman" w:eastAsia="Times New Roman" w:hAnsi="Times New Roman" w:cs="Times New Roman"/>
                <w:lang w:val="sr-Cyrl-RS"/>
              </w:rPr>
            </w:pPr>
            <w:r w:rsidRPr="00BB3AEB">
              <w:rPr>
                <w:rFonts w:ascii="Times New Roman" w:eastAsia="Times New Roman" w:hAnsi="Times New Roman" w:cs="Times New Roman"/>
                <w:lang w:val="sr-Cyrl-RS"/>
              </w:rPr>
              <w:t>Изградње деоница Панчево – Смедерево и Панчево-Нови Сад</w:t>
            </w:r>
          </w:p>
          <w:p w14:paraId="7988791F" w14:textId="77777777" w:rsidR="00FD346C" w:rsidRPr="00BB3AEB" w:rsidRDefault="00FD346C" w:rsidP="00FD346C">
            <w:pPr>
              <w:ind w:firstLine="15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976" w:type="pct"/>
            <w:vAlign w:val="center"/>
          </w:tcPr>
          <w:p w14:paraId="039B9C1E" w14:textId="77777777" w:rsidR="00FD346C" w:rsidRPr="00BB3AEB" w:rsidRDefault="00FD346C" w:rsidP="00FD346C">
            <w:pPr>
              <w:ind w:firstLine="15"/>
              <w:jc w:val="right"/>
              <w:rPr>
                <w:rFonts w:ascii="Times New Roman" w:eastAsia="Times New Roman" w:hAnsi="Times New Roman" w:cs="Times New Roman"/>
                <w:lang w:val="sr-Cyrl-RS"/>
              </w:rPr>
            </w:pPr>
            <w:r w:rsidRPr="00BB3AEB">
              <w:rPr>
                <w:rFonts w:ascii="Times New Roman" w:eastAsia="Times New Roman" w:hAnsi="Times New Roman" w:cs="Times New Roman"/>
                <w:lang w:val="sr-Cyrl-RS"/>
              </w:rPr>
              <w:t>35</w:t>
            </w:r>
          </w:p>
        </w:tc>
      </w:tr>
      <w:tr w:rsidR="00FD346C" w:rsidRPr="00BB3AEB" w14:paraId="75021D2B" w14:textId="77777777" w:rsidTr="003D10DA">
        <w:trPr>
          <w:trHeight w:val="463"/>
        </w:trPr>
        <w:tc>
          <w:tcPr>
            <w:tcW w:w="4024" w:type="pct"/>
            <w:gridSpan w:val="2"/>
            <w:vAlign w:val="center"/>
          </w:tcPr>
          <w:p w14:paraId="17E3A8C7" w14:textId="77777777" w:rsidR="00FD346C" w:rsidRPr="00BB3AEB" w:rsidRDefault="00FD346C" w:rsidP="00FD346C">
            <w:pPr>
              <w:ind w:firstLine="15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r w:rsidRPr="00BB3AEB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Укупно сектор нафте</w:t>
            </w:r>
          </w:p>
        </w:tc>
        <w:tc>
          <w:tcPr>
            <w:tcW w:w="976" w:type="pct"/>
            <w:vAlign w:val="center"/>
          </w:tcPr>
          <w:p w14:paraId="13CE8647" w14:textId="3944EE18" w:rsidR="00FD346C" w:rsidRPr="009A3A91" w:rsidRDefault="009A3A91" w:rsidP="00FD346C">
            <w:pPr>
              <w:ind w:firstLine="15"/>
              <w:jc w:val="right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4.488</w:t>
            </w:r>
          </w:p>
        </w:tc>
      </w:tr>
    </w:tbl>
    <w:p w14:paraId="01A92055" w14:textId="77777777" w:rsidR="00CD46EC" w:rsidRPr="00BB3AEB" w:rsidRDefault="00CD46EC" w:rsidP="00CD46EC">
      <w:pPr>
        <w:rPr>
          <w:rFonts w:ascii="Times New Roman" w:hAnsi="Times New Roman" w:cs="Times New Roman"/>
          <w:b/>
          <w:bCs/>
          <w:lang w:val="sr-Cyrl-RS"/>
        </w:rPr>
      </w:pPr>
    </w:p>
    <w:p w14:paraId="18E67253" w14:textId="73D4E05A" w:rsidR="00CD46EC" w:rsidRPr="00BB3AEB" w:rsidRDefault="00CD46EC" w:rsidP="00CD46EC">
      <w:pPr>
        <w:keepNext/>
        <w:tabs>
          <w:tab w:val="left" w:pos="810"/>
        </w:tabs>
        <w:spacing w:after="200" w:line="240" w:lineRule="auto"/>
        <w:ind w:left="810" w:hanging="810"/>
        <w:rPr>
          <w:rFonts w:ascii="Times New Roman" w:hAnsi="Times New Roman" w:cs="Times New Roman"/>
          <w:sz w:val="24"/>
          <w:szCs w:val="24"/>
          <w:lang w:val="sr-Cyrl-CS"/>
        </w:rPr>
      </w:pPr>
      <w:r w:rsidRPr="00BB3AEB">
        <w:rPr>
          <w:rFonts w:ascii="Times New Roman" w:hAnsi="Times New Roman" w:cs="Times New Roman"/>
          <w:sz w:val="24"/>
          <w:szCs w:val="24"/>
          <w:lang w:val="sr-Cyrl-CS"/>
        </w:rPr>
        <w:t>Потребне инвестиције у област угља:</w:t>
      </w:r>
    </w:p>
    <w:tbl>
      <w:tblPr>
        <w:tblStyle w:val="TableGrid1"/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513"/>
        <w:gridCol w:w="3710"/>
        <w:gridCol w:w="2131"/>
      </w:tblGrid>
      <w:tr w:rsidR="00CD46EC" w:rsidRPr="00BB3AEB" w14:paraId="6D9DDD44" w14:textId="77777777" w:rsidTr="003D10DA">
        <w:trPr>
          <w:trHeight w:val="427"/>
        </w:trPr>
        <w:tc>
          <w:tcPr>
            <w:tcW w:w="1878" w:type="pct"/>
            <w:vAlign w:val="center"/>
            <w:hideMark/>
          </w:tcPr>
          <w:p w14:paraId="14C5F46B" w14:textId="77777777" w:rsidR="00CD46EC" w:rsidRPr="00BB3AEB" w:rsidRDefault="00CD46EC" w:rsidP="003E3F15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BB3AEB">
              <w:rPr>
                <w:rFonts w:ascii="Times New Roman" w:hAnsi="Times New Roman" w:cs="Times New Roman"/>
                <w:b/>
                <w:bCs/>
                <w:lang w:val="sr-Cyrl-RS"/>
              </w:rPr>
              <w:t>Подобласт</w:t>
            </w:r>
          </w:p>
        </w:tc>
        <w:tc>
          <w:tcPr>
            <w:tcW w:w="1983" w:type="pct"/>
            <w:vAlign w:val="center"/>
            <w:hideMark/>
          </w:tcPr>
          <w:p w14:paraId="093E636C" w14:textId="77777777" w:rsidR="00CD46EC" w:rsidRPr="00BB3AEB" w:rsidRDefault="00CD46EC" w:rsidP="003E3F15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BB3AEB">
              <w:rPr>
                <w:rFonts w:ascii="Times New Roman" w:hAnsi="Times New Roman" w:cs="Times New Roman"/>
                <w:b/>
                <w:bCs/>
                <w:lang w:val="sr-Cyrl-RS"/>
              </w:rPr>
              <w:t>Активности</w:t>
            </w:r>
          </w:p>
        </w:tc>
        <w:tc>
          <w:tcPr>
            <w:tcW w:w="1139" w:type="pct"/>
            <w:vAlign w:val="center"/>
            <w:hideMark/>
          </w:tcPr>
          <w:p w14:paraId="3978E2B4" w14:textId="77777777" w:rsidR="00CD46EC" w:rsidRPr="00BB3AEB" w:rsidRDefault="00CD46EC" w:rsidP="003E3F15">
            <w:pPr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BB3AEB">
              <w:rPr>
                <w:rFonts w:ascii="Times New Roman" w:hAnsi="Times New Roman" w:cs="Times New Roman"/>
                <w:b/>
                <w:bCs/>
                <w:lang w:val="sr-Cyrl-RS"/>
              </w:rPr>
              <w:t>Инвестиција</w:t>
            </w:r>
            <w:r w:rsidRPr="00BB3AEB">
              <w:rPr>
                <w:rFonts w:ascii="Times New Roman" w:hAnsi="Times New Roman" w:cs="Times New Roman"/>
                <w:b/>
                <w:bCs/>
                <w:lang w:val="sr-Cyrl-RS"/>
              </w:rPr>
              <w:br/>
              <w:t>(милиона ЕУР)</w:t>
            </w:r>
          </w:p>
        </w:tc>
      </w:tr>
      <w:tr w:rsidR="00CD46EC" w:rsidRPr="00BB3AEB" w14:paraId="6008F129" w14:textId="77777777" w:rsidTr="003D10DA">
        <w:trPr>
          <w:trHeight w:val="325"/>
        </w:trPr>
        <w:tc>
          <w:tcPr>
            <w:tcW w:w="1878" w:type="pct"/>
            <w:vMerge w:val="restart"/>
            <w:hideMark/>
          </w:tcPr>
          <w:p w14:paraId="5C3E7DA7" w14:textId="77777777" w:rsidR="00CD46EC" w:rsidRPr="00BB3AEB" w:rsidRDefault="00CD46EC" w:rsidP="003E3F15">
            <w:pPr>
              <w:rPr>
                <w:rFonts w:ascii="Times New Roman" w:hAnsi="Times New Roman" w:cs="Times New Roman"/>
                <w:lang w:val="sr-Cyrl-RS"/>
              </w:rPr>
            </w:pPr>
            <w:r w:rsidRPr="00BB3AEB">
              <w:rPr>
                <w:rFonts w:ascii="Times New Roman" w:hAnsi="Times New Roman" w:cs="Times New Roman"/>
                <w:lang w:val="sr-Cyrl-RS"/>
              </w:rPr>
              <w:t>Завршетак изградње заменских површинских копова</w:t>
            </w:r>
          </w:p>
        </w:tc>
        <w:tc>
          <w:tcPr>
            <w:tcW w:w="1983" w:type="pct"/>
            <w:hideMark/>
          </w:tcPr>
          <w:p w14:paraId="6467448F" w14:textId="77777777" w:rsidR="00CD46EC" w:rsidRPr="00BB3AEB" w:rsidRDefault="00CD46EC" w:rsidP="003E3F15">
            <w:pPr>
              <w:rPr>
                <w:rFonts w:ascii="Times New Roman" w:hAnsi="Times New Roman" w:cs="Times New Roman"/>
                <w:lang w:val="sr-Cyrl-RS"/>
              </w:rPr>
            </w:pPr>
            <w:r w:rsidRPr="00BB3AEB">
              <w:rPr>
                <w:rFonts w:ascii="Times New Roman" w:hAnsi="Times New Roman" w:cs="Times New Roman"/>
                <w:lang w:val="sr-Cyrl-RS"/>
              </w:rPr>
              <w:t>Површински коп Поље Е</w:t>
            </w:r>
          </w:p>
        </w:tc>
        <w:tc>
          <w:tcPr>
            <w:tcW w:w="1139" w:type="pct"/>
            <w:vAlign w:val="center"/>
            <w:hideMark/>
          </w:tcPr>
          <w:p w14:paraId="68BE1A6F" w14:textId="77777777" w:rsidR="00CD46EC" w:rsidRPr="00BB3AEB" w:rsidRDefault="00CD46EC" w:rsidP="003E3F15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BB3AEB">
              <w:rPr>
                <w:rFonts w:ascii="Times New Roman" w:hAnsi="Times New Roman" w:cs="Times New Roman"/>
                <w:lang w:val="en-US"/>
              </w:rPr>
              <w:t>600</w:t>
            </w:r>
          </w:p>
        </w:tc>
      </w:tr>
      <w:tr w:rsidR="00CD46EC" w:rsidRPr="00BB3AEB" w14:paraId="72D34BBE" w14:textId="77777777" w:rsidTr="003D10DA">
        <w:trPr>
          <w:trHeight w:val="117"/>
        </w:trPr>
        <w:tc>
          <w:tcPr>
            <w:tcW w:w="1878" w:type="pct"/>
            <w:vMerge/>
            <w:hideMark/>
          </w:tcPr>
          <w:p w14:paraId="52188DC1" w14:textId="77777777" w:rsidR="00CD46EC" w:rsidRPr="00BB3AEB" w:rsidRDefault="00CD46EC" w:rsidP="003E3F1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983" w:type="pct"/>
            <w:hideMark/>
          </w:tcPr>
          <w:p w14:paraId="1303197B" w14:textId="77777777" w:rsidR="00CD46EC" w:rsidRPr="00BB3AEB" w:rsidRDefault="00CD46EC" w:rsidP="003E3F15">
            <w:pPr>
              <w:rPr>
                <w:rFonts w:ascii="Times New Roman" w:hAnsi="Times New Roman" w:cs="Times New Roman"/>
                <w:lang w:val="sr-Cyrl-RS"/>
              </w:rPr>
            </w:pPr>
            <w:r w:rsidRPr="00BB3AEB">
              <w:rPr>
                <w:rFonts w:ascii="Times New Roman" w:hAnsi="Times New Roman" w:cs="Times New Roman"/>
                <w:lang w:val="sr-Cyrl-RS"/>
              </w:rPr>
              <w:t>Површински коп Радљево</w:t>
            </w:r>
          </w:p>
        </w:tc>
        <w:tc>
          <w:tcPr>
            <w:tcW w:w="1139" w:type="pct"/>
            <w:vAlign w:val="center"/>
            <w:hideMark/>
          </w:tcPr>
          <w:p w14:paraId="78F53A87" w14:textId="77777777" w:rsidR="00CD46EC" w:rsidRPr="00BB3AEB" w:rsidRDefault="00CD46EC" w:rsidP="003E3F15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BB3AEB">
              <w:rPr>
                <w:rFonts w:ascii="Times New Roman" w:hAnsi="Times New Roman" w:cs="Times New Roman"/>
                <w:lang w:val="en-US"/>
              </w:rPr>
              <w:t>300</w:t>
            </w:r>
          </w:p>
        </w:tc>
      </w:tr>
      <w:tr w:rsidR="00CD46EC" w:rsidRPr="00BB3AEB" w14:paraId="7F4C9ED7" w14:textId="77777777" w:rsidTr="003D10DA">
        <w:trPr>
          <w:trHeight w:val="533"/>
        </w:trPr>
        <w:tc>
          <w:tcPr>
            <w:tcW w:w="1878" w:type="pct"/>
            <w:vMerge w:val="restart"/>
            <w:hideMark/>
          </w:tcPr>
          <w:p w14:paraId="2F0DBE39" w14:textId="77777777" w:rsidR="00CD46EC" w:rsidRPr="00BB3AEB" w:rsidRDefault="00CD46EC" w:rsidP="003E3F15">
            <w:pPr>
              <w:rPr>
                <w:rFonts w:ascii="Times New Roman" w:hAnsi="Times New Roman" w:cs="Times New Roman"/>
                <w:lang w:val="sr-Cyrl-RS"/>
              </w:rPr>
            </w:pPr>
            <w:r w:rsidRPr="00BB3AEB">
              <w:rPr>
                <w:rFonts w:ascii="Times New Roman" w:hAnsi="Times New Roman" w:cs="Times New Roman"/>
                <w:lang w:val="sr-Cyrl-RS"/>
              </w:rPr>
              <w:t>Завршетак иновираног инвестиционог циклуса постојећих површинских копова</w:t>
            </w:r>
          </w:p>
        </w:tc>
        <w:tc>
          <w:tcPr>
            <w:tcW w:w="1983" w:type="pct"/>
            <w:hideMark/>
          </w:tcPr>
          <w:p w14:paraId="3D475079" w14:textId="77777777" w:rsidR="00CD46EC" w:rsidRPr="00BB3AEB" w:rsidRDefault="00CD46EC" w:rsidP="003E3F15">
            <w:pPr>
              <w:rPr>
                <w:rFonts w:ascii="Times New Roman" w:hAnsi="Times New Roman" w:cs="Times New Roman"/>
                <w:lang w:val="sr-Cyrl-RS"/>
              </w:rPr>
            </w:pPr>
            <w:r w:rsidRPr="00BB3AEB">
              <w:rPr>
                <w:rFonts w:ascii="Times New Roman" w:hAnsi="Times New Roman" w:cs="Times New Roman"/>
                <w:lang w:val="sr-Cyrl-RS"/>
              </w:rPr>
              <w:t xml:space="preserve">Површински коп </w:t>
            </w:r>
            <w:r w:rsidRPr="00BB3AEB">
              <w:rPr>
                <w:rFonts w:ascii="Times New Roman" w:hAnsi="Times New Roman" w:cs="Times New Roman"/>
                <w:lang w:val="sr-Cyrl-RS"/>
              </w:rPr>
              <w:br/>
              <w:t>Тамнава западно поље</w:t>
            </w:r>
          </w:p>
        </w:tc>
        <w:tc>
          <w:tcPr>
            <w:tcW w:w="1139" w:type="pct"/>
            <w:vAlign w:val="center"/>
            <w:hideMark/>
          </w:tcPr>
          <w:p w14:paraId="73E6FB89" w14:textId="77777777" w:rsidR="00CD46EC" w:rsidRPr="00BB3AEB" w:rsidRDefault="00CD46EC" w:rsidP="003E3F15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BB3AEB">
              <w:rPr>
                <w:rFonts w:ascii="Times New Roman" w:hAnsi="Times New Roman" w:cs="Times New Roman"/>
                <w:lang w:val="en-US"/>
              </w:rPr>
              <w:t>55</w:t>
            </w:r>
          </w:p>
        </w:tc>
      </w:tr>
      <w:tr w:rsidR="00CD46EC" w:rsidRPr="00BB3AEB" w14:paraId="3A77B443" w14:textId="77777777" w:rsidTr="003D10DA">
        <w:trPr>
          <w:trHeight w:val="243"/>
        </w:trPr>
        <w:tc>
          <w:tcPr>
            <w:tcW w:w="1878" w:type="pct"/>
            <w:vMerge/>
            <w:hideMark/>
          </w:tcPr>
          <w:p w14:paraId="3976A9D9" w14:textId="77777777" w:rsidR="00CD46EC" w:rsidRPr="00BB3AEB" w:rsidRDefault="00CD46EC" w:rsidP="003E3F1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983" w:type="pct"/>
            <w:hideMark/>
          </w:tcPr>
          <w:p w14:paraId="185EBA88" w14:textId="77777777" w:rsidR="00CD46EC" w:rsidRPr="00BB3AEB" w:rsidRDefault="00CD46EC" w:rsidP="003E3F15">
            <w:pPr>
              <w:rPr>
                <w:rFonts w:ascii="Times New Roman" w:hAnsi="Times New Roman" w:cs="Times New Roman"/>
                <w:lang w:val="sr-Cyrl-RS"/>
              </w:rPr>
            </w:pPr>
            <w:r w:rsidRPr="00BB3AEB">
              <w:rPr>
                <w:rFonts w:ascii="Times New Roman" w:hAnsi="Times New Roman" w:cs="Times New Roman"/>
                <w:lang w:val="sr-Cyrl-RS"/>
              </w:rPr>
              <w:t>Површински коп Дрмно</w:t>
            </w:r>
          </w:p>
        </w:tc>
        <w:tc>
          <w:tcPr>
            <w:tcW w:w="1139" w:type="pct"/>
            <w:vAlign w:val="center"/>
            <w:hideMark/>
          </w:tcPr>
          <w:p w14:paraId="0526BEF0" w14:textId="77777777" w:rsidR="00CD46EC" w:rsidRPr="00BB3AEB" w:rsidRDefault="00CD46EC" w:rsidP="003E3F15">
            <w:pPr>
              <w:jc w:val="right"/>
              <w:rPr>
                <w:rFonts w:ascii="Times New Roman" w:hAnsi="Times New Roman" w:cs="Times New Roman"/>
                <w:strike/>
                <w:lang w:val="sr-Cyrl-RS"/>
              </w:rPr>
            </w:pPr>
            <w:r w:rsidRPr="00BB3AEB">
              <w:rPr>
                <w:rFonts w:ascii="Times New Roman" w:hAnsi="Times New Roman" w:cs="Times New Roman"/>
                <w:lang w:val="en-US"/>
              </w:rPr>
              <w:t>370 (</w:t>
            </w:r>
            <w:proofErr w:type="gramStart"/>
            <w:r w:rsidRPr="00BB3AEB">
              <w:rPr>
                <w:rFonts w:ascii="Times New Roman" w:hAnsi="Times New Roman" w:cs="Times New Roman"/>
                <w:lang w:val="en-US"/>
              </w:rPr>
              <w:t>190)*</w:t>
            </w:r>
            <w:proofErr w:type="gramEnd"/>
          </w:p>
        </w:tc>
      </w:tr>
      <w:tr w:rsidR="00CD46EC" w:rsidRPr="00BB3AEB" w14:paraId="1C885133" w14:textId="77777777" w:rsidTr="003D10DA">
        <w:trPr>
          <w:trHeight w:val="233"/>
        </w:trPr>
        <w:tc>
          <w:tcPr>
            <w:tcW w:w="1878" w:type="pct"/>
            <w:vMerge/>
            <w:hideMark/>
          </w:tcPr>
          <w:p w14:paraId="1D4B3539" w14:textId="77777777" w:rsidR="00CD46EC" w:rsidRPr="00BB3AEB" w:rsidRDefault="00CD46EC" w:rsidP="003E3F1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983" w:type="pct"/>
            <w:hideMark/>
          </w:tcPr>
          <w:p w14:paraId="69459F1A" w14:textId="77777777" w:rsidR="00CD46EC" w:rsidRPr="00BB3AEB" w:rsidRDefault="00CD46EC" w:rsidP="003E3F15">
            <w:pPr>
              <w:rPr>
                <w:rFonts w:ascii="Times New Roman" w:hAnsi="Times New Roman" w:cs="Times New Roman"/>
                <w:lang w:val="sr-Cyrl-RS"/>
              </w:rPr>
            </w:pPr>
            <w:r w:rsidRPr="00BB3AEB">
              <w:rPr>
                <w:rFonts w:ascii="Times New Roman" w:hAnsi="Times New Roman" w:cs="Times New Roman"/>
                <w:lang w:val="sr-Cyrl-RS"/>
              </w:rPr>
              <w:t>Површински коп Западни Костолац</w:t>
            </w:r>
          </w:p>
        </w:tc>
        <w:tc>
          <w:tcPr>
            <w:tcW w:w="1139" w:type="pct"/>
            <w:vAlign w:val="center"/>
            <w:hideMark/>
          </w:tcPr>
          <w:p w14:paraId="2EF588A8" w14:textId="77777777" w:rsidR="00CD46EC" w:rsidRPr="00BB3AEB" w:rsidRDefault="00CD46EC" w:rsidP="003E3F15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BB3AEB">
              <w:rPr>
                <w:rFonts w:ascii="Times New Roman" w:hAnsi="Times New Roman" w:cs="Times New Roman"/>
                <w:lang w:val="en-US"/>
              </w:rPr>
              <w:t>453**</w:t>
            </w:r>
          </w:p>
        </w:tc>
      </w:tr>
      <w:tr w:rsidR="00CD46EC" w:rsidRPr="00BB3AEB" w14:paraId="37368DA9" w14:textId="77777777" w:rsidTr="003D10DA">
        <w:trPr>
          <w:trHeight w:val="277"/>
        </w:trPr>
        <w:tc>
          <w:tcPr>
            <w:tcW w:w="3861" w:type="pct"/>
            <w:gridSpan w:val="2"/>
            <w:hideMark/>
          </w:tcPr>
          <w:p w14:paraId="349FE5E6" w14:textId="77777777" w:rsidR="00CD46EC" w:rsidRPr="00BB3AEB" w:rsidRDefault="00CD46EC" w:rsidP="003E3F15">
            <w:pPr>
              <w:rPr>
                <w:rFonts w:ascii="Times New Roman" w:hAnsi="Times New Roman" w:cs="Times New Roman"/>
                <w:lang w:val="sr-Cyrl-RS"/>
              </w:rPr>
            </w:pPr>
            <w:r w:rsidRPr="00BB3AEB">
              <w:rPr>
                <w:rFonts w:ascii="Times New Roman" w:hAnsi="Times New Roman" w:cs="Times New Roman"/>
                <w:lang w:val="sr-Cyrl-RS"/>
              </w:rPr>
              <w:t>Реструктурирање и рационализација подземне експлоатације</w:t>
            </w:r>
          </w:p>
        </w:tc>
        <w:tc>
          <w:tcPr>
            <w:tcW w:w="1139" w:type="pct"/>
            <w:vAlign w:val="center"/>
            <w:hideMark/>
          </w:tcPr>
          <w:p w14:paraId="75437042" w14:textId="77777777" w:rsidR="00CD46EC" w:rsidRPr="00BB3AEB" w:rsidRDefault="00CD46EC" w:rsidP="003E3F15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BB3AEB">
              <w:rPr>
                <w:rFonts w:ascii="Times New Roman" w:hAnsi="Times New Roman" w:cs="Times New Roman"/>
                <w:lang w:val="sr-Cyrl-RS"/>
              </w:rPr>
              <w:t>60</w:t>
            </w:r>
          </w:p>
        </w:tc>
      </w:tr>
      <w:tr w:rsidR="00CD46EC" w:rsidRPr="00BB3AEB" w14:paraId="38FCCEDC" w14:textId="77777777" w:rsidTr="003D10DA">
        <w:trPr>
          <w:trHeight w:val="277"/>
        </w:trPr>
        <w:tc>
          <w:tcPr>
            <w:tcW w:w="3861" w:type="pct"/>
            <w:gridSpan w:val="2"/>
          </w:tcPr>
          <w:p w14:paraId="42E565A2" w14:textId="77777777" w:rsidR="00CD46EC" w:rsidRPr="00BB3AEB" w:rsidRDefault="00CD46EC" w:rsidP="003E3F15">
            <w:pPr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BB3AEB">
              <w:rPr>
                <w:rFonts w:ascii="Times New Roman" w:hAnsi="Times New Roman" w:cs="Times New Roman"/>
                <w:b/>
                <w:bCs/>
                <w:lang w:val="sr-Cyrl-RS"/>
              </w:rPr>
              <w:t>Укупно сектор угља</w:t>
            </w:r>
          </w:p>
        </w:tc>
        <w:tc>
          <w:tcPr>
            <w:tcW w:w="1139" w:type="pct"/>
            <w:vAlign w:val="center"/>
          </w:tcPr>
          <w:p w14:paraId="7578DE80" w14:textId="77777777" w:rsidR="00CD46EC" w:rsidRPr="00BB3AEB" w:rsidRDefault="00CD46EC" w:rsidP="003E3F15">
            <w:pPr>
              <w:jc w:val="right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BB3AEB">
              <w:rPr>
                <w:rFonts w:ascii="Times New Roman" w:hAnsi="Times New Roman" w:cs="Times New Roman"/>
                <w:b/>
                <w:bCs/>
                <w:lang w:val="sr-Cyrl-RS"/>
              </w:rPr>
              <w:t>1.838 (1.658)</w:t>
            </w:r>
          </w:p>
        </w:tc>
      </w:tr>
    </w:tbl>
    <w:p w14:paraId="55989939" w14:textId="77777777" w:rsidR="00CD46EC" w:rsidRPr="00E9200B" w:rsidRDefault="00CD46EC" w:rsidP="00CD46EC">
      <w:pPr>
        <w:rPr>
          <w:rFonts w:cstheme="minorHAnsi"/>
          <w:sz w:val="16"/>
          <w:szCs w:val="16"/>
          <w:lang w:val="sr-Cyrl-RS"/>
        </w:rPr>
      </w:pPr>
      <w:r w:rsidRPr="00E9200B">
        <w:rPr>
          <w:rFonts w:cstheme="minorHAnsi"/>
          <w:sz w:val="16"/>
          <w:szCs w:val="16"/>
          <w:lang w:val="sr-Cyrl-RS"/>
        </w:rPr>
        <w:t>*Урађена је Студија изводљивости експлоатације угља на површинском копу Дрмно - актуелизација. У зависности од пројектног решења које ће бити усвојено, инвестиције су различите.</w:t>
      </w:r>
    </w:p>
    <w:p w14:paraId="6F85A4C4" w14:textId="3A4B96D0" w:rsidR="00CD46EC" w:rsidRDefault="00CD46EC" w:rsidP="00472FD9">
      <w:pPr>
        <w:jc w:val="both"/>
        <w:rPr>
          <w:rFonts w:cstheme="minorHAnsi"/>
          <w:b/>
          <w:bCs/>
          <w:lang w:val="sr-Cyrl-RS"/>
        </w:rPr>
      </w:pPr>
      <w:r w:rsidRPr="00E9200B">
        <w:rPr>
          <w:rFonts w:cstheme="minorHAnsi"/>
          <w:sz w:val="16"/>
          <w:szCs w:val="16"/>
          <w:lang w:val="sr-Cyrl-RS"/>
        </w:rPr>
        <w:t>** Урађена Студија изводљивости експлоатације лежишта Западни Костолац</w:t>
      </w:r>
    </w:p>
    <w:p w14:paraId="5156B3EF" w14:textId="0641C214" w:rsidR="00CD46EC" w:rsidRDefault="00CD46EC" w:rsidP="00CD46EC">
      <w:pPr>
        <w:rPr>
          <w:rFonts w:cstheme="minorHAnsi"/>
          <w:b/>
          <w:bCs/>
          <w:lang w:val="sr-Cyrl-RS"/>
        </w:rPr>
      </w:pPr>
    </w:p>
    <w:p w14:paraId="23BF1C1C" w14:textId="77777777" w:rsidR="00CD46EC" w:rsidRPr="00E9200B" w:rsidRDefault="00CD46EC" w:rsidP="00CD46EC">
      <w:pPr>
        <w:rPr>
          <w:rFonts w:cstheme="minorHAnsi"/>
          <w:b/>
          <w:bCs/>
          <w:lang w:val="sr-Cyrl-RS"/>
        </w:rPr>
      </w:pPr>
    </w:p>
    <w:p w14:paraId="02DB9013" w14:textId="77777777" w:rsidR="00CD46EC" w:rsidRPr="00E96A75" w:rsidRDefault="00CD46EC" w:rsidP="00CD46EC">
      <w:pPr>
        <w:spacing w:after="0" w:line="276" w:lineRule="auto"/>
        <w:ind w:firstLine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CD46EC" w:rsidRPr="00E96A75" w:rsidSect="00323B2C">
      <w:head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137A77" w14:textId="77777777" w:rsidR="003877CA" w:rsidRDefault="003877CA" w:rsidP="002C6DB6">
      <w:pPr>
        <w:spacing w:after="0" w:line="240" w:lineRule="auto"/>
      </w:pPr>
      <w:r>
        <w:separator/>
      </w:r>
    </w:p>
  </w:endnote>
  <w:endnote w:type="continuationSeparator" w:id="0">
    <w:p w14:paraId="28C0A3F2" w14:textId="77777777" w:rsidR="003877CA" w:rsidRDefault="003877CA" w:rsidP="002C6D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94BF87" w14:textId="77777777" w:rsidR="003877CA" w:rsidRDefault="003877CA" w:rsidP="002C6DB6">
      <w:pPr>
        <w:spacing w:after="0" w:line="240" w:lineRule="auto"/>
      </w:pPr>
      <w:r>
        <w:separator/>
      </w:r>
    </w:p>
  </w:footnote>
  <w:footnote w:type="continuationSeparator" w:id="0">
    <w:p w14:paraId="3DB904A4" w14:textId="77777777" w:rsidR="003877CA" w:rsidRDefault="003877CA" w:rsidP="002C6D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6715016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CA94DAC" w14:textId="1B6CDE36" w:rsidR="00323B2C" w:rsidRDefault="00323B2C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A6A85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009B245E" w14:textId="77777777" w:rsidR="00323B2C" w:rsidRDefault="00323B2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20B1E"/>
    <w:multiLevelType w:val="hybridMultilevel"/>
    <w:tmpl w:val="5016BC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BC71527"/>
    <w:multiLevelType w:val="hybridMultilevel"/>
    <w:tmpl w:val="466E44F0"/>
    <w:lvl w:ilvl="0" w:tplc="1C02EF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6CF6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D259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F6E02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203A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464F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67E9C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A429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E66A1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D854C17"/>
    <w:multiLevelType w:val="hybridMultilevel"/>
    <w:tmpl w:val="C75CCFE6"/>
    <w:lvl w:ilvl="0" w:tplc="5A9470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FACA6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7C7C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E844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15E8C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3047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0B083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C3C7A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B42C0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E661371"/>
    <w:multiLevelType w:val="hybridMultilevel"/>
    <w:tmpl w:val="F6D4ACFA"/>
    <w:lvl w:ilvl="0" w:tplc="99FA7A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C249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E0ED4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1828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3348C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DEF3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DAEFF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9817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E288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00F3A7C"/>
    <w:multiLevelType w:val="hybridMultilevel"/>
    <w:tmpl w:val="CB528E80"/>
    <w:lvl w:ilvl="0" w:tplc="4FFA7D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4C17602"/>
    <w:multiLevelType w:val="hybridMultilevel"/>
    <w:tmpl w:val="AB34714E"/>
    <w:lvl w:ilvl="0" w:tplc="85D856C8">
      <w:start w:val="4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50F0C84"/>
    <w:multiLevelType w:val="hybridMultilevel"/>
    <w:tmpl w:val="A33E27FC"/>
    <w:lvl w:ilvl="0" w:tplc="1886244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DE1C65"/>
    <w:multiLevelType w:val="hybridMultilevel"/>
    <w:tmpl w:val="12304160"/>
    <w:lvl w:ilvl="0" w:tplc="740C6B0C">
      <w:numFmt w:val="bullet"/>
      <w:lvlText w:val="-"/>
      <w:lvlJc w:val="left"/>
      <w:pPr>
        <w:ind w:left="36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4A2723D"/>
    <w:multiLevelType w:val="hybridMultilevel"/>
    <w:tmpl w:val="DDB4F994"/>
    <w:lvl w:ilvl="0" w:tplc="4EF8CF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C9008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A6E4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BA892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86012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5546E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DA25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278A2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3041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4FD7CEE"/>
    <w:multiLevelType w:val="hybridMultilevel"/>
    <w:tmpl w:val="11EE1D48"/>
    <w:lvl w:ilvl="0" w:tplc="B1EAE07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999EEF36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A678FAD4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112689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D25CD37C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DAAED44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DBAD048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D0829F1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9EB61FC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BD56F09"/>
    <w:multiLevelType w:val="hybridMultilevel"/>
    <w:tmpl w:val="4DD439F6"/>
    <w:lvl w:ilvl="0" w:tplc="E2F45354">
      <w:numFmt w:val="bullet"/>
      <w:lvlText w:val="-"/>
      <w:lvlJc w:val="left"/>
      <w:pPr>
        <w:ind w:left="2148" w:hanging="144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4C911497"/>
    <w:multiLevelType w:val="hybridMultilevel"/>
    <w:tmpl w:val="18C22A98"/>
    <w:lvl w:ilvl="0" w:tplc="6A70C29A">
      <w:start w:val="5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D6C72CD"/>
    <w:multiLevelType w:val="hybridMultilevel"/>
    <w:tmpl w:val="D36EAECA"/>
    <w:lvl w:ilvl="0" w:tplc="2E2474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740B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9FEF6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2BA6A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9FC9D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09680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88A28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79A20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60600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50A50459"/>
    <w:multiLevelType w:val="hybridMultilevel"/>
    <w:tmpl w:val="BED0AD5A"/>
    <w:lvl w:ilvl="0" w:tplc="81704A46">
      <w:start w:val="8"/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53994CA8"/>
    <w:multiLevelType w:val="hybridMultilevel"/>
    <w:tmpl w:val="10B8CF72"/>
    <w:lvl w:ilvl="0" w:tplc="D07802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6868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5EA76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B248D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2FE98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ACEA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B25F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7C5D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532BF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598A49B2"/>
    <w:multiLevelType w:val="hybridMultilevel"/>
    <w:tmpl w:val="DA06B226"/>
    <w:lvl w:ilvl="0" w:tplc="85D856C8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9021369"/>
    <w:multiLevelType w:val="hybridMultilevel"/>
    <w:tmpl w:val="22E65070"/>
    <w:lvl w:ilvl="0" w:tplc="041D0019">
      <w:start w:val="1"/>
      <w:numFmt w:val="bullet"/>
      <w:lvlText w:val="-"/>
      <w:lvlJc w:val="left"/>
      <w:pPr>
        <w:ind w:left="2160" w:hanging="360"/>
      </w:pPr>
      <w:rPr>
        <w:sz w:val="16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79D413C9"/>
    <w:multiLevelType w:val="hybridMultilevel"/>
    <w:tmpl w:val="90E65E5C"/>
    <w:lvl w:ilvl="0" w:tplc="85D856C8">
      <w:start w:val="4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DEA3D3F"/>
    <w:multiLevelType w:val="hybridMultilevel"/>
    <w:tmpl w:val="BD1ED6DA"/>
    <w:lvl w:ilvl="0" w:tplc="0BC84A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90429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0D43D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57EB6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00C56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462E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2602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7896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E1A73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8"/>
  </w:num>
  <w:num w:numId="5">
    <w:abstractNumId w:val="12"/>
  </w:num>
  <w:num w:numId="6">
    <w:abstractNumId w:val="2"/>
  </w:num>
  <w:num w:numId="7">
    <w:abstractNumId w:val="3"/>
  </w:num>
  <w:num w:numId="8">
    <w:abstractNumId w:val="1"/>
  </w:num>
  <w:num w:numId="9">
    <w:abstractNumId w:val="13"/>
  </w:num>
  <w:num w:numId="10">
    <w:abstractNumId w:val="10"/>
  </w:num>
  <w:num w:numId="11">
    <w:abstractNumId w:val="5"/>
  </w:num>
  <w:num w:numId="12">
    <w:abstractNumId w:val="17"/>
  </w:num>
  <w:num w:numId="13">
    <w:abstractNumId w:val="15"/>
  </w:num>
  <w:num w:numId="14">
    <w:abstractNumId w:val="16"/>
  </w:num>
  <w:num w:numId="15">
    <w:abstractNumId w:val="11"/>
  </w:num>
  <w:num w:numId="16">
    <w:abstractNumId w:val="0"/>
  </w:num>
  <w:num w:numId="17">
    <w:abstractNumId w:val="6"/>
  </w:num>
  <w:num w:numId="18">
    <w:abstractNumId w:val="9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069A"/>
    <w:rsid w:val="000171A1"/>
    <w:rsid w:val="000227A1"/>
    <w:rsid w:val="00027887"/>
    <w:rsid w:val="00046675"/>
    <w:rsid w:val="0005365A"/>
    <w:rsid w:val="0008236A"/>
    <w:rsid w:val="00096C92"/>
    <w:rsid w:val="000B2E5A"/>
    <w:rsid w:val="000E329C"/>
    <w:rsid w:val="00127FEE"/>
    <w:rsid w:val="001B7278"/>
    <w:rsid w:val="001C7E72"/>
    <w:rsid w:val="00225848"/>
    <w:rsid w:val="002817D0"/>
    <w:rsid w:val="002C6DB6"/>
    <w:rsid w:val="00323B2C"/>
    <w:rsid w:val="00351C08"/>
    <w:rsid w:val="003555FE"/>
    <w:rsid w:val="00376043"/>
    <w:rsid w:val="003814C3"/>
    <w:rsid w:val="003877CA"/>
    <w:rsid w:val="00392241"/>
    <w:rsid w:val="003A4BC8"/>
    <w:rsid w:val="003D10DA"/>
    <w:rsid w:val="00407D13"/>
    <w:rsid w:val="00415004"/>
    <w:rsid w:val="00422436"/>
    <w:rsid w:val="004438B9"/>
    <w:rsid w:val="00472FD9"/>
    <w:rsid w:val="004B0D2C"/>
    <w:rsid w:val="004D0F68"/>
    <w:rsid w:val="004D5646"/>
    <w:rsid w:val="004E0F78"/>
    <w:rsid w:val="00514EFD"/>
    <w:rsid w:val="0051667E"/>
    <w:rsid w:val="0052069A"/>
    <w:rsid w:val="00543E88"/>
    <w:rsid w:val="005475A4"/>
    <w:rsid w:val="005A3B3E"/>
    <w:rsid w:val="005B3D1E"/>
    <w:rsid w:val="005E3838"/>
    <w:rsid w:val="005E7A40"/>
    <w:rsid w:val="00630259"/>
    <w:rsid w:val="00646D24"/>
    <w:rsid w:val="00664F4B"/>
    <w:rsid w:val="006950FC"/>
    <w:rsid w:val="006B5B5A"/>
    <w:rsid w:val="006D7752"/>
    <w:rsid w:val="00750256"/>
    <w:rsid w:val="00776D7F"/>
    <w:rsid w:val="0078649B"/>
    <w:rsid w:val="00791870"/>
    <w:rsid w:val="007C1A32"/>
    <w:rsid w:val="00825EAF"/>
    <w:rsid w:val="00865DFB"/>
    <w:rsid w:val="008663DD"/>
    <w:rsid w:val="008764F1"/>
    <w:rsid w:val="00900DA6"/>
    <w:rsid w:val="00914D89"/>
    <w:rsid w:val="00916C35"/>
    <w:rsid w:val="00943626"/>
    <w:rsid w:val="009618FF"/>
    <w:rsid w:val="00964E31"/>
    <w:rsid w:val="009849FD"/>
    <w:rsid w:val="00985128"/>
    <w:rsid w:val="009A1515"/>
    <w:rsid w:val="009A3A91"/>
    <w:rsid w:val="009A6A85"/>
    <w:rsid w:val="009D58B8"/>
    <w:rsid w:val="00A0704E"/>
    <w:rsid w:val="00A42E7F"/>
    <w:rsid w:val="00A5486F"/>
    <w:rsid w:val="00A751CC"/>
    <w:rsid w:val="00A80779"/>
    <w:rsid w:val="00A853F0"/>
    <w:rsid w:val="00AA5F25"/>
    <w:rsid w:val="00AC33EA"/>
    <w:rsid w:val="00AF51AB"/>
    <w:rsid w:val="00B620BD"/>
    <w:rsid w:val="00BB3AEB"/>
    <w:rsid w:val="00C84582"/>
    <w:rsid w:val="00CC6BB2"/>
    <w:rsid w:val="00CD1140"/>
    <w:rsid w:val="00CD46EC"/>
    <w:rsid w:val="00CD48D0"/>
    <w:rsid w:val="00D12B25"/>
    <w:rsid w:val="00D143A6"/>
    <w:rsid w:val="00D62125"/>
    <w:rsid w:val="00E00178"/>
    <w:rsid w:val="00E12102"/>
    <w:rsid w:val="00E4194C"/>
    <w:rsid w:val="00E7211C"/>
    <w:rsid w:val="00E96A75"/>
    <w:rsid w:val="00EA2EC9"/>
    <w:rsid w:val="00EB106C"/>
    <w:rsid w:val="00ED17F6"/>
    <w:rsid w:val="00ED5CAD"/>
    <w:rsid w:val="00EF1F61"/>
    <w:rsid w:val="00F178CC"/>
    <w:rsid w:val="00F55246"/>
    <w:rsid w:val="00F974A6"/>
    <w:rsid w:val="00FB046F"/>
    <w:rsid w:val="00FD346C"/>
    <w:rsid w:val="00FE52BD"/>
    <w:rsid w:val="00FE7CDB"/>
    <w:rsid w:val="00FF0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FD4730"/>
  <w15:chartTrackingRefBased/>
  <w15:docId w15:val="{903BDE45-1011-489F-BDCF-3A475BD00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D46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yle2">
    <w:name w:val="style2"/>
    <w:basedOn w:val="DefaultParagraphFont"/>
    <w:rsid w:val="00A751CC"/>
  </w:style>
  <w:style w:type="paragraph" w:customStyle="1" w:styleId="clan">
    <w:name w:val="clan"/>
    <w:basedOn w:val="Normal"/>
    <w:rsid w:val="005E38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E7A40"/>
    <w:pPr>
      <w:ind w:left="720"/>
      <w:contextualSpacing/>
    </w:pPr>
  </w:style>
  <w:style w:type="paragraph" w:customStyle="1" w:styleId="Default">
    <w:name w:val="Default"/>
    <w:rsid w:val="005E7A4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sr-Latn-RS"/>
    </w:rPr>
  </w:style>
  <w:style w:type="character" w:customStyle="1" w:styleId="hwtze">
    <w:name w:val="hwtze"/>
    <w:basedOn w:val="DefaultParagraphFont"/>
    <w:rsid w:val="002C6DB6"/>
  </w:style>
  <w:style w:type="character" w:customStyle="1" w:styleId="rynqvb">
    <w:name w:val="rynqvb"/>
    <w:basedOn w:val="DefaultParagraphFont"/>
    <w:rsid w:val="002C6DB6"/>
  </w:style>
  <w:style w:type="paragraph" w:styleId="FootnoteText">
    <w:name w:val="footnote text"/>
    <w:aliases w:val="Footnote,12pt,single space,Footnote Text Char Char,Footnote Text1,Fußnotentextf,FOOTNOTES,fn Car Car,fn Car Car Car,fn Car,Footnote Text Char2,Footnote Text Char1 Char,Geneva 9,Font: Geneva 9,Boston 1,Fußnote,WB-Fußnotentext,fn,f"/>
    <w:basedOn w:val="Normal"/>
    <w:link w:val="FootnoteTextChar"/>
    <w:uiPriority w:val="99"/>
    <w:unhideWhenUsed/>
    <w:qFormat/>
    <w:rsid w:val="002C6D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Footnote Char,12pt Char,single space Char,Footnote Text Char Char Char,Footnote Text1 Char,Fußnotentextf Char,FOOTNOTES Char,fn Car Car Char,fn Car Car Car Char,fn Car Char,Footnote Text Char2 Char,Footnote Text Char1 Char Char,f Char"/>
    <w:basedOn w:val="DefaultParagraphFont"/>
    <w:link w:val="FootnoteText"/>
    <w:uiPriority w:val="99"/>
    <w:qFormat/>
    <w:rsid w:val="002C6DB6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tref,Ref,de nota al pie,Знак сноски-FN,16 Point,Superscript 6 Point,Footnote symbol,Footnote reference number,Footnote Reference Number,note de bas de page,Pocacito_Footnote Reference,Cecilia_Footnote Reference,BVI fnr"/>
    <w:link w:val="BVIfnrCarCar"/>
    <w:uiPriority w:val="99"/>
    <w:qFormat/>
    <w:rsid w:val="002C6DB6"/>
    <w:rPr>
      <w:vertAlign w:val="superscript"/>
      <w:lang w:val="en-GB"/>
    </w:rPr>
  </w:style>
  <w:style w:type="paragraph" w:styleId="Caption">
    <w:name w:val="caption"/>
    <w:basedOn w:val="Normal"/>
    <w:next w:val="Normal"/>
    <w:link w:val="CaptionChar"/>
    <w:uiPriority w:val="35"/>
    <w:unhideWhenUsed/>
    <w:qFormat/>
    <w:rsid w:val="002C6DB6"/>
    <w:pPr>
      <w:spacing w:after="200" w:line="240" w:lineRule="auto"/>
    </w:pPr>
    <w:rPr>
      <w:rFonts w:ascii="Calibri Light" w:hAnsi="Calibri Light" w:cs="Times New Roman"/>
      <w:b/>
      <w:bCs/>
      <w:color w:val="01406B"/>
      <w:lang w:val="en-GB"/>
    </w:rPr>
  </w:style>
  <w:style w:type="character" w:customStyle="1" w:styleId="CaptionChar">
    <w:name w:val="Caption Char"/>
    <w:link w:val="Caption"/>
    <w:uiPriority w:val="35"/>
    <w:qFormat/>
    <w:rsid w:val="002C6DB6"/>
    <w:rPr>
      <w:rFonts w:ascii="Calibri Light" w:hAnsi="Calibri Light" w:cs="Times New Roman"/>
      <w:b/>
      <w:bCs/>
      <w:color w:val="01406B"/>
      <w:lang w:val="en-GB"/>
    </w:rPr>
  </w:style>
  <w:style w:type="paragraph" w:customStyle="1" w:styleId="xmsonormal">
    <w:name w:val="x_msonormal"/>
    <w:basedOn w:val="Normal"/>
    <w:rsid w:val="002C6DB6"/>
    <w:pPr>
      <w:spacing w:after="0" w:line="240" w:lineRule="auto"/>
    </w:pPr>
    <w:rPr>
      <w:rFonts w:ascii="Calibri" w:hAnsi="Calibri" w:cs="Calibri"/>
      <w:lang w:val="el-GR" w:eastAsia="el-GR"/>
    </w:rPr>
  </w:style>
  <w:style w:type="paragraph" w:customStyle="1" w:styleId="BVIfnrCarCar">
    <w:name w:val="BVI fnr Car Car"/>
    <w:aliases w:val="BVI fnr Car,BVI fnr Car Car Car Car,BVI fnr Car Car Char,BVI fnr Car Car Car Car Char"/>
    <w:basedOn w:val="Normal"/>
    <w:link w:val="FootnoteReference"/>
    <w:uiPriority w:val="99"/>
    <w:rsid w:val="002C6DB6"/>
    <w:pPr>
      <w:spacing w:before="240" w:after="0" w:line="240" w:lineRule="exact"/>
      <w:jc w:val="both"/>
    </w:pPr>
    <w:rPr>
      <w:vertAlign w:val="superscript"/>
      <w:lang w:val="en-GB"/>
    </w:rPr>
  </w:style>
  <w:style w:type="paragraph" w:styleId="NormalWeb">
    <w:name w:val="Normal (Web)"/>
    <w:basedOn w:val="Normal"/>
    <w:uiPriority w:val="99"/>
    <w:semiHidden/>
    <w:unhideWhenUsed/>
    <w:rsid w:val="009A1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A1515"/>
    <w:rPr>
      <w:color w:val="0563C1" w:themeColor="hyperlink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CD46EC"/>
    <w:pPr>
      <w:spacing w:after="0" w:line="240" w:lineRule="auto"/>
      <w:ind w:firstLine="360"/>
    </w:pPr>
    <w:rPr>
      <w:rFonts w:eastAsiaTheme="minorEastAsia"/>
      <w:lang w:val="en-GB"/>
    </w:rPr>
    <w:tblPr>
      <w:tblBorders>
        <w:top w:val="single" w:sz="12" w:space="0" w:color="3399FF"/>
        <w:left w:val="single" w:sz="12" w:space="0" w:color="3399FF"/>
        <w:bottom w:val="single" w:sz="12" w:space="0" w:color="3399FF"/>
        <w:right w:val="single" w:sz="12" w:space="0" w:color="3399FF"/>
        <w:insideH w:val="single" w:sz="12" w:space="0" w:color="3399FF"/>
        <w:insideV w:val="single" w:sz="12" w:space="0" w:color="3399FF"/>
      </w:tblBorders>
    </w:tblPr>
  </w:style>
  <w:style w:type="table" w:styleId="TableGrid">
    <w:name w:val="Table Grid"/>
    <w:basedOn w:val="TableNormal"/>
    <w:uiPriority w:val="39"/>
    <w:rsid w:val="00CD4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436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626"/>
    <w:rPr>
      <w:rFonts w:ascii="Segoe UI" w:hAnsi="Segoe UI" w:cs="Segoe UI"/>
      <w:sz w:val="18"/>
      <w:szCs w:val="18"/>
    </w:rPr>
  </w:style>
  <w:style w:type="paragraph" w:customStyle="1" w:styleId="P68B1DB1-Normal4">
    <w:name w:val="P68B1DB1-Normal4"/>
    <w:basedOn w:val="Normal"/>
    <w:rsid w:val="005B3D1E"/>
    <w:pPr>
      <w:spacing w:line="254" w:lineRule="auto"/>
    </w:pPr>
    <w:rPr>
      <w:rFonts w:cstheme="minorHAnsi"/>
      <w:szCs w:val="20"/>
    </w:rPr>
  </w:style>
  <w:style w:type="paragraph" w:styleId="Header">
    <w:name w:val="header"/>
    <w:basedOn w:val="Normal"/>
    <w:link w:val="HeaderChar"/>
    <w:uiPriority w:val="99"/>
    <w:unhideWhenUsed/>
    <w:rsid w:val="00323B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3B2C"/>
  </w:style>
  <w:style w:type="paragraph" w:styleId="Footer">
    <w:name w:val="footer"/>
    <w:basedOn w:val="Normal"/>
    <w:link w:val="FooterChar"/>
    <w:uiPriority w:val="99"/>
    <w:unhideWhenUsed/>
    <w:rsid w:val="00323B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3B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0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8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14650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8637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74833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6864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90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947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1076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0574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295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0274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04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1556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1205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757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72270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80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45580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707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7213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9162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8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33053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9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11520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222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7964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2923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6357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935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2882</Words>
  <Characters>16429</Characters>
  <Application>Microsoft Office Word</Application>
  <DocSecurity>0</DocSecurity>
  <Lines>136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Miljana Jakovljević</dc:creator>
  <cp:keywords/>
  <dc:description/>
  <cp:lastModifiedBy>Aleksandar vojinovic</cp:lastModifiedBy>
  <cp:revision>2</cp:revision>
  <cp:lastPrinted>2023-10-04T10:34:00Z</cp:lastPrinted>
  <dcterms:created xsi:type="dcterms:W3CDTF">2024-11-08T20:42:00Z</dcterms:created>
  <dcterms:modified xsi:type="dcterms:W3CDTF">2024-11-08T20:42:00Z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473528e0c7e7212248294ba728736b8c51638ffc92e6474c678bafa0b164a7ab</vt:lpwstr>
  </property>
</Properties>
</file>