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349E" w:rsidRPr="005F088A" w:rsidRDefault="0078349E" w:rsidP="0078349E">
      <w:pPr>
        <w:spacing w:after="240" w:line="280" w:lineRule="atLeast"/>
        <w:jc w:val="center"/>
        <w:rPr>
          <w:rFonts w:ascii="Times New Roman" w:hAnsi="Times New Roman" w:cs="Times New Roman"/>
          <w:sz w:val="24"/>
          <w:szCs w:val="24"/>
          <w:lang w:val="sr-Cyrl-CS"/>
        </w:rPr>
      </w:pPr>
      <w:r w:rsidRPr="005F088A">
        <w:rPr>
          <w:rFonts w:ascii="Times New Roman" w:hAnsi="Times New Roman" w:cs="Times New Roman"/>
          <w:sz w:val="24"/>
          <w:szCs w:val="24"/>
          <w:lang w:val="sr-Cyrl-CS"/>
        </w:rPr>
        <w:t xml:space="preserve"> КРИТЕРИЈУМИ ЗА КЛАСИФИКАЦИЈУ ДРУШТАВА КАПИТАЛА У КАТЕГОРИЈЕ </w:t>
      </w:r>
    </w:p>
    <w:p w:rsidR="0078349E" w:rsidRPr="005F088A" w:rsidRDefault="0078349E" w:rsidP="0078349E">
      <w:pPr>
        <w:spacing w:after="240" w:line="280" w:lineRule="atLeast"/>
        <w:jc w:val="both"/>
        <w:rPr>
          <w:rFonts w:ascii="Times New Roman" w:hAnsi="Times New Roman" w:cs="Times New Roman"/>
          <w:sz w:val="24"/>
          <w:szCs w:val="24"/>
          <w:lang w:val="sr-Cyrl-CS"/>
        </w:rPr>
      </w:pPr>
    </w:p>
    <w:p w:rsidR="0078349E" w:rsidRPr="005F088A" w:rsidRDefault="0078349E" w:rsidP="0078349E">
      <w:pPr>
        <w:numPr>
          <w:ilvl w:val="0"/>
          <w:numId w:val="1"/>
        </w:numPr>
        <w:spacing w:before="240" w:after="240" w:line="240" w:lineRule="auto"/>
        <w:jc w:val="both"/>
        <w:rPr>
          <w:rFonts w:ascii="Times New Roman" w:hAnsi="Times New Roman" w:cs="Times New Roman"/>
          <w:bCs/>
          <w:sz w:val="24"/>
          <w:szCs w:val="24"/>
          <w:lang w:val="sr-Cyrl-CS"/>
        </w:rPr>
      </w:pPr>
      <w:r w:rsidRPr="005F088A">
        <w:rPr>
          <w:rFonts w:ascii="Times New Roman" w:hAnsi="Times New Roman" w:cs="Times New Roman"/>
          <w:bCs/>
          <w:sz w:val="24"/>
          <w:szCs w:val="24"/>
          <w:lang w:val="sr-Cyrl-CS"/>
        </w:rPr>
        <w:t>Категорија 1 – Друштва капитала од националних и стратешких интереса</w:t>
      </w:r>
    </w:p>
    <w:p w:rsidR="0078349E" w:rsidRPr="005F088A" w:rsidRDefault="0078349E" w:rsidP="0078349E">
      <w:pPr>
        <w:spacing w:before="240" w:after="240" w:line="240" w:lineRule="auto"/>
        <w:ind w:firstLine="360"/>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Ова категорија обухвата друштва капитала чија претежна или друга делатност се може сврстати у више следећих критеријума:</w:t>
      </w:r>
    </w:p>
    <w:p w:rsidR="0078349E" w:rsidRPr="005F088A" w:rsidRDefault="0078349E" w:rsidP="0078349E">
      <w:pPr>
        <w:numPr>
          <w:ilvl w:val="0"/>
          <w:numId w:val="2"/>
        </w:numPr>
        <w:spacing w:before="240" w:after="240" w:line="240" w:lineRule="auto"/>
        <w:ind w:left="0" w:firstLine="709"/>
        <w:jc w:val="both"/>
        <w:rPr>
          <w:rFonts w:ascii="Times New Roman" w:hAnsi="Times New Roman" w:cs="Times New Roman"/>
          <w:sz w:val="24"/>
          <w:szCs w:val="24"/>
          <w:lang w:val="sr-Cyrl-CS"/>
        </w:rPr>
      </w:pPr>
      <w:r w:rsidRPr="005F088A">
        <w:rPr>
          <w:rFonts w:ascii="Times New Roman" w:hAnsi="Times New Roman" w:cs="Times New Roman"/>
          <w:iCs/>
          <w:sz w:val="24"/>
          <w:szCs w:val="24"/>
          <w:lang w:val="sr-Cyrl-CS"/>
        </w:rPr>
        <w:t>Одбрана/безбедност:</w:t>
      </w:r>
      <w:r w:rsidRPr="005F088A">
        <w:rPr>
          <w:rFonts w:ascii="Times New Roman" w:hAnsi="Times New Roman" w:cs="Times New Roman"/>
          <w:sz w:val="24"/>
          <w:szCs w:val="24"/>
          <w:lang w:val="sr-Cyrl-CS"/>
        </w:rPr>
        <w:t xml:space="preserve"> Друштва капитала која се могу сматрати привредним друштвима од значаја за одбрану и безбедност</w:t>
      </w:r>
      <w:r w:rsidR="004E0AE2" w:rsidRPr="005F088A">
        <w:rPr>
          <w:rFonts w:ascii="Times New Roman" w:hAnsi="Times New Roman" w:cs="Times New Roman"/>
          <w:sz w:val="24"/>
          <w:szCs w:val="24"/>
          <w:lang w:val="sr-Cyrl-CS"/>
        </w:rPr>
        <w:t>;</w:t>
      </w:r>
    </w:p>
    <w:p w:rsidR="0078349E" w:rsidRPr="005F088A" w:rsidRDefault="0078349E" w:rsidP="0078349E">
      <w:pPr>
        <w:numPr>
          <w:ilvl w:val="0"/>
          <w:numId w:val="2"/>
        </w:numPr>
        <w:spacing w:before="240" w:after="240" w:line="240" w:lineRule="auto"/>
        <w:ind w:left="0" w:firstLine="709"/>
        <w:jc w:val="both"/>
        <w:rPr>
          <w:rFonts w:ascii="Times New Roman" w:hAnsi="Times New Roman" w:cs="Times New Roman"/>
          <w:sz w:val="24"/>
          <w:szCs w:val="24"/>
          <w:lang w:val="sr-Cyrl-CS"/>
        </w:rPr>
      </w:pPr>
      <w:r w:rsidRPr="005F088A">
        <w:rPr>
          <w:rFonts w:ascii="Times New Roman" w:hAnsi="Times New Roman" w:cs="Times New Roman"/>
          <w:iCs/>
          <w:sz w:val="24"/>
          <w:szCs w:val="24"/>
          <w:lang w:val="sr-Cyrl-CS"/>
        </w:rPr>
        <w:t>Стратешка инфраструктура и припадајуће непокретности:</w:t>
      </w:r>
      <w:r w:rsidRPr="005F088A">
        <w:rPr>
          <w:rFonts w:ascii="Times New Roman" w:hAnsi="Times New Roman" w:cs="Times New Roman"/>
          <w:sz w:val="24"/>
          <w:szCs w:val="24"/>
          <w:lang w:val="sr-Cyrl-CS"/>
        </w:rPr>
        <w:t xml:space="preserve"> Друштва капитала која управљају стратешком инфраструктуром и припадајућим непокретностима у областима енергетике, саобраћаја, управљања водама, електронских комуникација, медија, обраде </w:t>
      </w:r>
      <w:r w:rsidR="004E0AE2" w:rsidRPr="005F088A">
        <w:rPr>
          <w:rFonts w:ascii="Times New Roman" w:hAnsi="Times New Roman" w:cs="Times New Roman"/>
          <w:sz w:val="24"/>
          <w:szCs w:val="24"/>
          <w:lang w:val="sr-Cyrl-CS"/>
        </w:rPr>
        <w:t>и/или складиштења података и др;</w:t>
      </w:r>
    </w:p>
    <w:p w:rsidR="0078349E" w:rsidRPr="005F088A" w:rsidRDefault="0078349E" w:rsidP="0078349E">
      <w:pPr>
        <w:numPr>
          <w:ilvl w:val="0"/>
          <w:numId w:val="2"/>
        </w:numPr>
        <w:spacing w:before="240" w:after="240" w:line="240" w:lineRule="auto"/>
        <w:ind w:left="0" w:firstLine="709"/>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 xml:space="preserve">Делатност од општег интереса и пружање обавезних услуга у јавном интересу: Друштва капитала која, обављају делатност од општег интереса, укључујући енергетске, и/или пружају услуге које се обавезно пружају у складу са законом, при чему у одсуству државне интервенције (у облику државног власништва) тржиште не би могло да обезбеди потребна добра и услуге под истим условима у смислу квалитета, сигурности, </w:t>
      </w:r>
      <w:r w:rsidR="004E0AE2" w:rsidRPr="005F088A">
        <w:rPr>
          <w:rFonts w:ascii="Times New Roman" w:hAnsi="Times New Roman" w:cs="Times New Roman"/>
          <w:sz w:val="24"/>
          <w:szCs w:val="24"/>
          <w:lang w:val="sr-Cyrl-CS"/>
        </w:rPr>
        <w:t>доступности и једнаког третмана;</w:t>
      </w:r>
    </w:p>
    <w:p w:rsidR="0078349E" w:rsidRPr="005F088A" w:rsidRDefault="0078349E" w:rsidP="0078349E">
      <w:pPr>
        <w:numPr>
          <w:ilvl w:val="0"/>
          <w:numId w:val="2"/>
        </w:numPr>
        <w:spacing w:after="240" w:line="280" w:lineRule="atLeast"/>
        <w:ind w:left="0" w:firstLine="709"/>
        <w:contextualSpacing/>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Робне резерве производа: Друштва капитала која су значајни добављачи производа у систему робних резерви у смислу Закона о робним резервама („Службени гласник РСˮ, бр. 104/13, 145/14 и 95/18)</w:t>
      </w:r>
      <w:r w:rsidR="004E0AE2" w:rsidRPr="005F088A">
        <w:rPr>
          <w:rFonts w:ascii="Times New Roman" w:hAnsi="Times New Roman" w:cs="Times New Roman"/>
          <w:sz w:val="24"/>
          <w:szCs w:val="24"/>
          <w:lang w:val="sr-Cyrl-CS"/>
        </w:rPr>
        <w:t>;</w:t>
      </w:r>
    </w:p>
    <w:p w:rsidR="0078349E" w:rsidRPr="005F088A" w:rsidRDefault="0078349E" w:rsidP="0078349E">
      <w:pPr>
        <w:spacing w:after="240" w:line="280" w:lineRule="atLeast"/>
        <w:ind w:left="720"/>
        <w:contextualSpacing/>
        <w:jc w:val="both"/>
        <w:rPr>
          <w:rFonts w:ascii="Times New Roman" w:hAnsi="Times New Roman" w:cs="Times New Roman"/>
          <w:sz w:val="24"/>
          <w:szCs w:val="24"/>
          <w:lang w:val="sr-Cyrl-CS"/>
        </w:rPr>
      </w:pPr>
    </w:p>
    <w:p w:rsidR="0078349E" w:rsidRPr="005F088A" w:rsidRDefault="0078349E" w:rsidP="0078349E">
      <w:pPr>
        <w:numPr>
          <w:ilvl w:val="0"/>
          <w:numId w:val="2"/>
        </w:numPr>
        <w:spacing w:before="240" w:after="240" w:line="240" w:lineRule="auto"/>
        <w:ind w:left="0" w:firstLine="709"/>
        <w:jc w:val="both"/>
        <w:rPr>
          <w:rFonts w:ascii="Times New Roman" w:hAnsi="Times New Roman" w:cs="Times New Roman"/>
          <w:sz w:val="24"/>
          <w:szCs w:val="24"/>
          <w:lang w:val="sr-Cyrl-CS"/>
        </w:rPr>
      </w:pPr>
      <w:bookmarkStart w:id="0" w:name="_Hlk176524393"/>
      <w:r w:rsidRPr="005F088A">
        <w:rPr>
          <w:rFonts w:ascii="Times New Roman" w:hAnsi="Times New Roman" w:cs="Times New Roman"/>
          <w:sz w:val="24"/>
          <w:szCs w:val="24"/>
          <w:lang w:val="sr-Cyrl-CS"/>
        </w:rPr>
        <w:t>Испуњење циљева заштите животне средине на националном нивоу</w:t>
      </w:r>
      <w:bookmarkEnd w:id="0"/>
      <w:r w:rsidRPr="005F088A">
        <w:rPr>
          <w:rFonts w:ascii="Times New Roman" w:hAnsi="Times New Roman" w:cs="Times New Roman"/>
          <w:sz w:val="24"/>
          <w:szCs w:val="24"/>
          <w:lang w:val="sr-Cyrl-CS"/>
        </w:rPr>
        <w:t>: Друштва капитала чија је делатност повезана са заштитом животне средине на националном нивоу као што су очување биодиверзитета, ублажавање климатских промена, укључујући и промовисање започињања тзв. транзиције ка ниско угљеничном друштву</w:t>
      </w:r>
      <w:r w:rsidR="004E0AE2" w:rsidRPr="005F088A">
        <w:rPr>
          <w:rFonts w:ascii="Times New Roman" w:hAnsi="Times New Roman" w:cs="Times New Roman"/>
          <w:sz w:val="24"/>
          <w:szCs w:val="24"/>
          <w:lang w:val="sr-Cyrl-CS"/>
        </w:rPr>
        <w:t>;</w:t>
      </w:r>
    </w:p>
    <w:p w:rsidR="0078349E" w:rsidRPr="005F088A" w:rsidRDefault="0078349E" w:rsidP="0078349E">
      <w:pPr>
        <w:numPr>
          <w:ilvl w:val="0"/>
          <w:numId w:val="2"/>
        </w:numPr>
        <w:spacing w:after="240" w:line="280" w:lineRule="atLeast"/>
        <w:ind w:left="0" w:firstLine="709"/>
        <w:contextualSpacing/>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Коришћење природних богатстава: Друштва капитала која обављају делатности у оквиру којих искоришћавају природна богатства</w:t>
      </w:r>
      <w:r w:rsidR="004E0AE2" w:rsidRPr="005F088A">
        <w:rPr>
          <w:rFonts w:ascii="Times New Roman" w:hAnsi="Times New Roman" w:cs="Times New Roman"/>
          <w:sz w:val="24"/>
          <w:szCs w:val="24"/>
          <w:lang w:val="sr-Cyrl-CS"/>
        </w:rPr>
        <w:t>;</w:t>
      </w:r>
      <w:r w:rsidRPr="005F088A">
        <w:rPr>
          <w:rFonts w:ascii="Times New Roman" w:hAnsi="Times New Roman" w:cs="Times New Roman"/>
          <w:sz w:val="24"/>
          <w:szCs w:val="24"/>
          <w:lang w:val="sr-Cyrl-CS"/>
        </w:rPr>
        <w:t xml:space="preserve"> </w:t>
      </w:r>
    </w:p>
    <w:p w:rsidR="0078349E" w:rsidRPr="005F088A" w:rsidRDefault="0078349E" w:rsidP="0078349E">
      <w:pPr>
        <w:spacing w:after="240" w:line="280" w:lineRule="atLeast"/>
        <w:ind w:left="720"/>
        <w:contextualSpacing/>
        <w:jc w:val="both"/>
        <w:rPr>
          <w:rFonts w:ascii="Times New Roman" w:hAnsi="Times New Roman" w:cs="Times New Roman"/>
          <w:sz w:val="24"/>
          <w:szCs w:val="24"/>
          <w:lang w:val="sr-Cyrl-CS"/>
        </w:rPr>
      </w:pPr>
    </w:p>
    <w:p w:rsidR="0078349E" w:rsidRPr="005F088A" w:rsidRDefault="0078349E" w:rsidP="0078349E">
      <w:pPr>
        <w:numPr>
          <w:ilvl w:val="0"/>
          <w:numId w:val="2"/>
        </w:numPr>
        <w:spacing w:before="240" w:after="240" w:line="240" w:lineRule="auto"/>
        <w:ind w:left="0" w:firstLine="709"/>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Обезбеђивање коришћења добара од општег интереса/добара у општој употреби: Друштва капитала чија је делатност повезана са управљањем и коришћењем добара од општег интереса (нпр. пољопривредно земљиште, шуме, шумско земљиште, водно земљиште, водни објекти, заштићена природна добра, културна добра итд.) или добрима у општој употреби (нпр. јавни путеви и пруге, укључујући мостове и тунеле, улице, тргови, паркови, итд.)</w:t>
      </w:r>
      <w:r w:rsidR="004E0AE2" w:rsidRPr="005F088A">
        <w:rPr>
          <w:rFonts w:ascii="Times New Roman" w:hAnsi="Times New Roman" w:cs="Times New Roman"/>
          <w:sz w:val="24"/>
          <w:szCs w:val="24"/>
          <w:lang w:val="sr-Cyrl-CS"/>
        </w:rPr>
        <w:t>;</w:t>
      </w:r>
    </w:p>
    <w:p w:rsidR="0078349E" w:rsidRDefault="0078349E" w:rsidP="0078349E">
      <w:pPr>
        <w:numPr>
          <w:ilvl w:val="0"/>
          <w:numId w:val="2"/>
        </w:numPr>
        <w:spacing w:after="240" w:line="280" w:lineRule="atLeast"/>
        <w:ind w:left="0" w:firstLine="709"/>
        <w:contextualSpacing/>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 xml:space="preserve">Решавање недостатка добара/услуга: Друштва капитала код којих држава може имати интерес да их контролише путем власништва, како би се регулисала доступност роба и услуга на тржишту, односно спречио недостатак добара и услуга која су од важности за функционисање </w:t>
      </w:r>
      <w:r w:rsidR="004E0AE2" w:rsidRPr="005F088A">
        <w:rPr>
          <w:rFonts w:ascii="Times New Roman" w:hAnsi="Times New Roman" w:cs="Times New Roman"/>
          <w:sz w:val="24"/>
          <w:szCs w:val="24"/>
          <w:lang w:val="sr-Cyrl-CS"/>
        </w:rPr>
        <w:t>привреде и живот грађана;</w:t>
      </w:r>
    </w:p>
    <w:p w:rsidR="006723AA" w:rsidRPr="005F088A" w:rsidRDefault="006723AA" w:rsidP="006723AA">
      <w:pPr>
        <w:spacing w:after="240" w:line="280" w:lineRule="atLeast"/>
        <w:ind w:left="709"/>
        <w:contextualSpacing/>
        <w:jc w:val="both"/>
        <w:rPr>
          <w:rFonts w:ascii="Times New Roman" w:hAnsi="Times New Roman" w:cs="Times New Roman"/>
          <w:sz w:val="24"/>
          <w:szCs w:val="24"/>
          <w:lang w:val="sr-Cyrl-CS"/>
        </w:rPr>
      </w:pPr>
    </w:p>
    <w:p w:rsidR="0078349E" w:rsidRPr="005F088A" w:rsidRDefault="0078349E" w:rsidP="0078349E">
      <w:pPr>
        <w:spacing w:after="240" w:line="280" w:lineRule="atLeast"/>
        <w:ind w:left="720"/>
        <w:contextualSpacing/>
        <w:jc w:val="both"/>
        <w:rPr>
          <w:rFonts w:ascii="Times New Roman" w:hAnsi="Times New Roman" w:cs="Times New Roman"/>
          <w:i/>
          <w:sz w:val="24"/>
          <w:szCs w:val="24"/>
          <w:lang w:val="sr-Cyrl-CS"/>
        </w:rPr>
      </w:pPr>
    </w:p>
    <w:p w:rsidR="0078349E" w:rsidRPr="005F088A" w:rsidRDefault="0078349E" w:rsidP="0078349E">
      <w:pPr>
        <w:numPr>
          <w:ilvl w:val="0"/>
          <w:numId w:val="2"/>
        </w:numPr>
        <w:spacing w:after="240" w:line="280" w:lineRule="atLeast"/>
        <w:ind w:left="0" w:firstLine="851"/>
        <w:contextualSpacing/>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lastRenderedPageBreak/>
        <w:t>Високе баријере за улазак на тржиште: Друштва капитала која послују на тржиштима на којима постоје високе баријере за улазак и услед тога недовољна конкуренција. Високе баријере за улазак на тржиште могу укључивати правне и техничке предности, као и успостављен положај или стратешко понашање постојећи</w:t>
      </w:r>
      <w:r w:rsidR="004E0AE2" w:rsidRPr="005F088A">
        <w:rPr>
          <w:rFonts w:ascii="Times New Roman" w:hAnsi="Times New Roman" w:cs="Times New Roman"/>
          <w:sz w:val="24"/>
          <w:szCs w:val="24"/>
          <w:lang w:val="sr-Cyrl-CS"/>
        </w:rPr>
        <w:t>х значајних учесника на тржишту;</w:t>
      </w:r>
    </w:p>
    <w:p w:rsidR="0078349E" w:rsidRPr="005F088A" w:rsidRDefault="0078349E" w:rsidP="0078349E">
      <w:pPr>
        <w:spacing w:before="240" w:after="240" w:line="240" w:lineRule="auto"/>
        <w:ind w:left="709"/>
        <w:jc w:val="both"/>
        <w:rPr>
          <w:rFonts w:ascii="Times New Roman" w:hAnsi="Times New Roman" w:cs="Times New Roman"/>
          <w:sz w:val="24"/>
          <w:szCs w:val="24"/>
          <w:lang w:val="sr-Cyrl-CS"/>
        </w:rPr>
      </w:pPr>
    </w:p>
    <w:p w:rsidR="0078349E" w:rsidRPr="005F088A" w:rsidRDefault="0078349E" w:rsidP="0078349E">
      <w:pPr>
        <w:numPr>
          <w:ilvl w:val="0"/>
          <w:numId w:val="1"/>
        </w:numPr>
        <w:spacing w:before="240" w:after="240" w:line="240" w:lineRule="auto"/>
        <w:jc w:val="both"/>
        <w:rPr>
          <w:rFonts w:ascii="Times New Roman" w:hAnsi="Times New Roman" w:cs="Times New Roman"/>
          <w:bCs/>
          <w:sz w:val="24"/>
          <w:szCs w:val="24"/>
          <w:lang w:val="sr-Cyrl-CS"/>
        </w:rPr>
      </w:pPr>
      <w:r w:rsidRPr="005F088A">
        <w:rPr>
          <w:rFonts w:ascii="Times New Roman" w:hAnsi="Times New Roman" w:cs="Times New Roman"/>
          <w:bCs/>
          <w:sz w:val="24"/>
          <w:szCs w:val="24"/>
          <w:lang w:val="sr-Cyrl-CS"/>
        </w:rPr>
        <w:t>Категорија 2 – Друштва капитала од посебног интереса</w:t>
      </w:r>
    </w:p>
    <w:p w:rsidR="0078349E" w:rsidRPr="005F088A" w:rsidRDefault="0078349E" w:rsidP="0078349E">
      <w:pPr>
        <w:spacing w:before="240" w:after="240" w:line="240" w:lineRule="auto"/>
        <w:ind w:firstLine="709"/>
        <w:jc w:val="both"/>
        <w:rPr>
          <w:rFonts w:ascii="Times New Roman" w:hAnsi="Times New Roman" w:cs="Times New Roman"/>
          <w:sz w:val="24"/>
          <w:szCs w:val="24"/>
          <w:lang w:val="sr-Cyrl-CS"/>
        </w:rPr>
      </w:pPr>
      <w:r w:rsidRPr="005F088A">
        <w:rPr>
          <w:rFonts w:ascii="Times New Roman" w:hAnsi="Times New Roman" w:cs="Times New Roman"/>
          <w:sz w:val="24"/>
          <w:szCs w:val="24"/>
          <w:lang w:val="sr-Cyrl-CS"/>
        </w:rPr>
        <w:t>Ова категорија обухвата друштва капитала која послују на тржиштима са следећим карактеристикама:</w:t>
      </w:r>
    </w:p>
    <w:p w:rsidR="0078349E" w:rsidRPr="005F088A" w:rsidRDefault="0078349E" w:rsidP="0078349E">
      <w:pPr>
        <w:numPr>
          <w:ilvl w:val="1"/>
          <w:numId w:val="3"/>
        </w:numPr>
        <w:spacing w:before="240" w:after="240" w:line="240" w:lineRule="auto"/>
        <w:ind w:left="0" w:firstLine="851"/>
        <w:jc w:val="both"/>
        <w:rPr>
          <w:rFonts w:ascii="Times New Roman" w:eastAsia="Times New Roman" w:hAnsi="Times New Roman" w:cs="Times New Roman"/>
          <w:iCs/>
          <w:sz w:val="24"/>
          <w:szCs w:val="24"/>
          <w:lang w:val="sr-Cyrl-CS"/>
        </w:rPr>
      </w:pPr>
      <w:r w:rsidRPr="005F088A">
        <w:rPr>
          <w:rFonts w:ascii="Times New Roman" w:eastAsia="Times New Roman" w:hAnsi="Times New Roman" w:cs="Times New Roman"/>
          <w:iCs/>
          <w:sz w:val="24"/>
          <w:szCs w:val="24"/>
          <w:lang w:val="sr-Cyrl-CS"/>
        </w:rPr>
        <w:t>Испуњење циљева смањења друштвене неједнакости на националном нив</w:t>
      </w:r>
      <w:bookmarkStart w:id="1" w:name="_GoBack"/>
      <w:bookmarkEnd w:id="1"/>
      <w:r w:rsidRPr="005F088A">
        <w:rPr>
          <w:rFonts w:ascii="Times New Roman" w:eastAsia="Times New Roman" w:hAnsi="Times New Roman" w:cs="Times New Roman"/>
          <w:iCs/>
          <w:sz w:val="24"/>
          <w:szCs w:val="24"/>
          <w:lang w:val="sr-Cyrl-CS"/>
        </w:rPr>
        <w:t>оу</w:t>
      </w:r>
      <w:r w:rsidRPr="00E15F90">
        <w:rPr>
          <w:rFonts w:ascii="Times New Roman" w:eastAsia="Times New Roman" w:hAnsi="Times New Roman" w:cs="Times New Roman"/>
          <w:iCs/>
          <w:sz w:val="24"/>
          <w:szCs w:val="24"/>
          <w:lang w:val="sr-Cyrl-CS"/>
        </w:rPr>
        <w:t>:</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Друштва капитала која доприносе смањењу социјалне неједнакости на начин да управљају и чине доступним грађанима добра од општег интереса (</w:t>
      </w:r>
      <w:bookmarkStart w:id="2" w:name="_Hlk165907625"/>
      <w:r w:rsidRPr="005F088A">
        <w:rPr>
          <w:rFonts w:ascii="Times New Roman" w:eastAsia="Times New Roman" w:hAnsi="Times New Roman" w:cs="Times New Roman"/>
          <w:iCs/>
          <w:sz w:val="24"/>
          <w:szCs w:val="24"/>
          <w:lang w:val="sr-Cyrl-CS"/>
        </w:rPr>
        <w:t>нпр. пољопривредно земљиште, шуме, шумско земљиште, водно земљиште, водни објекти, заштићена природна добра, културна добра итд.) и добра у општој употреби (нпр. јавни путеви и пруге, укључујући мостове и тунеле, улице, тргови, паркови итд.)</w:t>
      </w:r>
      <w:bookmarkEnd w:id="2"/>
      <w:r w:rsidR="004E0AE2" w:rsidRPr="005F088A">
        <w:rPr>
          <w:rFonts w:ascii="Times New Roman" w:eastAsia="Times New Roman" w:hAnsi="Times New Roman" w:cs="Times New Roman"/>
          <w:iCs/>
          <w:sz w:val="24"/>
          <w:szCs w:val="24"/>
          <w:lang w:val="sr-Cyrl-CS"/>
        </w:rPr>
        <w:t>;</w:t>
      </w:r>
    </w:p>
    <w:p w:rsidR="0078349E" w:rsidRPr="005F088A" w:rsidRDefault="0078349E" w:rsidP="0078349E">
      <w:pPr>
        <w:numPr>
          <w:ilvl w:val="1"/>
          <w:numId w:val="3"/>
        </w:numPr>
        <w:spacing w:before="240" w:after="240" w:line="240" w:lineRule="auto"/>
        <w:ind w:left="0" w:firstLine="851"/>
        <w:jc w:val="both"/>
        <w:rPr>
          <w:rFonts w:ascii="Times New Roman" w:eastAsia="Times New Roman" w:hAnsi="Times New Roman" w:cs="Times New Roman"/>
          <w:iCs/>
          <w:sz w:val="24"/>
          <w:szCs w:val="24"/>
          <w:lang w:val="sr-Cyrl-CS"/>
        </w:rPr>
      </w:pPr>
      <w:r w:rsidRPr="005F088A">
        <w:rPr>
          <w:rFonts w:ascii="Times New Roman" w:eastAsia="Times New Roman" w:hAnsi="Times New Roman" w:cs="Times New Roman"/>
          <w:iCs/>
          <w:sz w:val="24"/>
          <w:szCs w:val="24"/>
          <w:lang w:val="sr-Cyrl-CS"/>
        </w:rPr>
        <w:t>Индустријски развој: Друштва капитала чија је делатност повезана са остваривањем циљева индустријске политике државе. Индустријска политика покушава „унапредити пословно окружење или променити структуру економске активности према секторима, технологијама или задацима за које се очекује да ће понудити боље изгледе за економски раст или друштвено благостање него што би се догодило у одсуству такве интервенцијеˮ</w:t>
      </w:r>
      <w:r w:rsidR="004E0AE2" w:rsidRPr="005F088A">
        <w:rPr>
          <w:rFonts w:ascii="Times New Roman" w:eastAsia="Times New Roman" w:hAnsi="Times New Roman" w:cs="Times New Roman"/>
          <w:iCs/>
          <w:sz w:val="24"/>
          <w:szCs w:val="24"/>
          <w:lang w:val="sr-Cyrl-CS"/>
        </w:rPr>
        <w:t>;</w:t>
      </w:r>
    </w:p>
    <w:p w:rsidR="0078349E" w:rsidRPr="005F088A" w:rsidRDefault="0078349E" w:rsidP="0018410C">
      <w:pPr>
        <w:numPr>
          <w:ilvl w:val="1"/>
          <w:numId w:val="3"/>
        </w:numPr>
        <w:spacing w:before="240" w:after="240" w:line="240" w:lineRule="auto"/>
        <w:ind w:left="0" w:firstLine="851"/>
        <w:jc w:val="both"/>
        <w:rPr>
          <w:rFonts w:ascii="Times New Roman" w:eastAsia="Times New Roman" w:hAnsi="Times New Roman" w:cs="Times New Roman"/>
          <w:i/>
          <w:iCs/>
          <w:sz w:val="24"/>
          <w:szCs w:val="24"/>
          <w:lang w:val="sr-Cyrl-CS"/>
        </w:rPr>
      </w:pPr>
      <w:r w:rsidRPr="005F088A">
        <w:rPr>
          <w:rFonts w:ascii="Times New Roman" w:eastAsia="Times New Roman" w:hAnsi="Times New Roman" w:cs="Times New Roman"/>
          <w:iCs/>
          <w:sz w:val="24"/>
          <w:szCs w:val="24"/>
          <w:lang w:val="sr-Cyrl-CS"/>
        </w:rPr>
        <w:t>Економска диверзификација:</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Друштва капитала које држава оснива или њима управља ради стварања нових сектора економије, чиме се структура домаће привреде дивер</w:t>
      </w:r>
      <w:r w:rsidR="003311A5" w:rsidRPr="005F088A">
        <w:rPr>
          <w:rFonts w:ascii="Times New Roman" w:eastAsia="Times New Roman" w:hAnsi="Times New Roman" w:cs="Times New Roman"/>
          <w:iCs/>
          <w:sz w:val="24"/>
          <w:szCs w:val="24"/>
          <w:lang w:val="sr-Cyrl-CS"/>
        </w:rPr>
        <w:t>з</w:t>
      </w:r>
      <w:r w:rsidRPr="005F088A">
        <w:rPr>
          <w:rFonts w:ascii="Times New Roman" w:eastAsia="Times New Roman" w:hAnsi="Times New Roman" w:cs="Times New Roman"/>
          <w:iCs/>
          <w:sz w:val="24"/>
          <w:szCs w:val="24"/>
          <w:lang w:val="sr-Cyrl-CS"/>
        </w:rPr>
        <w:t>ификује</w:t>
      </w:r>
      <w:r w:rsidR="004E0AE2" w:rsidRPr="005F088A">
        <w:rPr>
          <w:rFonts w:ascii="Times New Roman" w:eastAsia="Times New Roman" w:hAnsi="Times New Roman" w:cs="Times New Roman"/>
          <w:iCs/>
          <w:sz w:val="24"/>
          <w:szCs w:val="24"/>
          <w:lang w:val="sr-Cyrl-CS"/>
        </w:rPr>
        <w:t>;</w:t>
      </w:r>
    </w:p>
    <w:p w:rsidR="0078349E" w:rsidRPr="005F088A" w:rsidRDefault="0078349E" w:rsidP="0018410C">
      <w:pPr>
        <w:numPr>
          <w:ilvl w:val="1"/>
          <w:numId w:val="3"/>
        </w:numPr>
        <w:spacing w:before="240" w:after="240" w:line="240" w:lineRule="auto"/>
        <w:ind w:left="0" w:firstLine="851"/>
        <w:jc w:val="both"/>
        <w:rPr>
          <w:rFonts w:ascii="Times New Roman" w:eastAsia="Times New Roman" w:hAnsi="Times New Roman" w:cs="Times New Roman"/>
          <w:iCs/>
          <w:sz w:val="24"/>
          <w:szCs w:val="24"/>
          <w:lang w:val="sr-Cyrl-CS"/>
        </w:rPr>
      </w:pPr>
      <w:r w:rsidRPr="005F088A">
        <w:rPr>
          <w:rFonts w:ascii="Times New Roman" w:eastAsia="Times New Roman" w:hAnsi="Times New Roman" w:cs="Times New Roman"/>
          <w:iCs/>
          <w:sz w:val="24"/>
          <w:szCs w:val="24"/>
          <w:lang w:val="sr-Cyrl-CS"/>
        </w:rPr>
        <w:t>Испуњење циљева друштвеног развоја на националном нивоу:</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Друштва капитала чија је делатност повезана са друштвено-корисним активностима</w:t>
      </w:r>
      <w:r w:rsidR="004E0AE2" w:rsidRPr="005F088A">
        <w:rPr>
          <w:rFonts w:ascii="Times New Roman" w:eastAsia="Times New Roman" w:hAnsi="Times New Roman" w:cs="Times New Roman"/>
          <w:iCs/>
          <w:sz w:val="24"/>
          <w:szCs w:val="24"/>
          <w:lang w:val="sr-Cyrl-CS"/>
        </w:rPr>
        <w:t>;</w:t>
      </w:r>
      <w:r w:rsidRPr="005F088A">
        <w:rPr>
          <w:rFonts w:ascii="Times New Roman" w:eastAsia="Times New Roman" w:hAnsi="Times New Roman" w:cs="Times New Roman"/>
          <w:iCs/>
          <w:sz w:val="24"/>
          <w:szCs w:val="24"/>
          <w:lang w:val="sr-Cyrl-CS"/>
        </w:rPr>
        <w:t xml:space="preserve"> </w:t>
      </w:r>
    </w:p>
    <w:p w:rsidR="0078349E" w:rsidRPr="005F088A" w:rsidRDefault="0078349E" w:rsidP="0018410C">
      <w:pPr>
        <w:numPr>
          <w:ilvl w:val="1"/>
          <w:numId w:val="3"/>
        </w:numPr>
        <w:spacing w:before="240" w:after="0" w:line="240" w:lineRule="auto"/>
        <w:ind w:left="0" w:firstLine="851"/>
        <w:jc w:val="both"/>
        <w:rPr>
          <w:rFonts w:ascii="Times New Roman" w:eastAsia="Times New Roman" w:hAnsi="Times New Roman" w:cs="Times New Roman"/>
          <w:iCs/>
          <w:sz w:val="24"/>
          <w:szCs w:val="24"/>
          <w:lang w:val="sr-Cyrl-CS"/>
        </w:rPr>
      </w:pPr>
      <w:r w:rsidRPr="005F088A">
        <w:rPr>
          <w:rFonts w:ascii="Times New Roman" w:eastAsia="Times New Roman" w:hAnsi="Times New Roman" w:cs="Times New Roman"/>
          <w:iCs/>
          <w:sz w:val="24"/>
          <w:szCs w:val="24"/>
          <w:lang w:val="sr-Cyrl-CS"/>
        </w:rPr>
        <w:t>Остваривање дивиденде од стратешких инвестиционих улагања:</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Друштва капитала која су профитабилна, а разлог или циљ власништва Републике Србије над уделима или акцијама таквих друштава је остваривање прихода од дивиденде. Међутим, остваривање прихода од дивиденде не може бити оправдање за државно власништво у одређеном друштву само по себи, него само ако је такво власништво у складу са формулисаном инвестиционом политиком државе</w:t>
      </w:r>
      <w:r w:rsidR="004E0AE2" w:rsidRPr="005F088A">
        <w:rPr>
          <w:rFonts w:ascii="Times New Roman" w:eastAsia="Times New Roman" w:hAnsi="Times New Roman" w:cs="Times New Roman"/>
          <w:iCs/>
          <w:sz w:val="24"/>
          <w:szCs w:val="24"/>
          <w:lang w:val="sr-Cyrl-CS"/>
        </w:rPr>
        <w:t>;</w:t>
      </w:r>
      <w:r w:rsidRPr="005F088A">
        <w:rPr>
          <w:rFonts w:ascii="Times New Roman" w:eastAsia="Times New Roman" w:hAnsi="Times New Roman" w:cs="Times New Roman"/>
          <w:iCs/>
          <w:sz w:val="24"/>
          <w:szCs w:val="24"/>
          <w:lang w:val="sr-Cyrl-CS"/>
        </w:rPr>
        <w:t xml:space="preserve"> </w:t>
      </w:r>
    </w:p>
    <w:p w:rsidR="0078349E" w:rsidRPr="005F088A" w:rsidRDefault="0078349E" w:rsidP="0018410C">
      <w:pPr>
        <w:numPr>
          <w:ilvl w:val="1"/>
          <w:numId w:val="3"/>
        </w:numPr>
        <w:spacing w:before="240" w:after="240" w:line="240" w:lineRule="auto"/>
        <w:ind w:left="0" w:firstLine="851"/>
        <w:jc w:val="both"/>
        <w:rPr>
          <w:rFonts w:ascii="Times New Roman" w:eastAsia="Times New Roman" w:hAnsi="Times New Roman" w:cs="Times New Roman"/>
          <w:sz w:val="24"/>
          <w:szCs w:val="24"/>
          <w:lang w:val="sr-Cyrl-CS"/>
        </w:rPr>
      </w:pPr>
      <w:bookmarkStart w:id="3" w:name="_Hlk166582241"/>
      <w:r w:rsidRPr="005F088A">
        <w:rPr>
          <w:rFonts w:ascii="Times New Roman" w:eastAsia="Times New Roman" w:hAnsi="Times New Roman" w:cs="Times New Roman"/>
          <w:iCs/>
          <w:sz w:val="24"/>
          <w:szCs w:val="24"/>
          <w:lang w:val="sr-Cyrl-CS"/>
        </w:rPr>
        <w:t>Неефикасност тржишне регулативе:</w:t>
      </w:r>
      <w:r w:rsidRPr="005F088A">
        <w:rPr>
          <w:rFonts w:ascii="Times New Roman" w:eastAsia="Times New Roman" w:hAnsi="Times New Roman" w:cs="Times New Roman"/>
          <w:sz w:val="24"/>
          <w:szCs w:val="24"/>
          <w:lang w:val="sr-Cyrl-CS"/>
        </w:rPr>
        <w:t xml:space="preserve"> Друштва капитала која претежно послују у делатностима у којима се тржиште показало неефикасним (обично укључује приватне, законске или природне монополе, олигополе и неконкурентна тржишта) и где се зато може оправдати државна интервенција (у виду државног власништва) због ризика да тржишни субјекти остварују профите на штету друштвене заједнице. У таквим случајевима друштвена заједница у целини би могла имати користи од тога да та друштва капитала буду у државном власништву</w:t>
      </w:r>
      <w:r w:rsidR="004E0AE2" w:rsidRPr="005F088A">
        <w:rPr>
          <w:rFonts w:ascii="Times New Roman" w:eastAsia="Times New Roman" w:hAnsi="Times New Roman" w:cs="Times New Roman"/>
          <w:sz w:val="24"/>
          <w:szCs w:val="24"/>
          <w:lang w:val="sr-Cyrl-CS"/>
        </w:rPr>
        <w:t>;</w:t>
      </w:r>
      <w:r w:rsidRPr="005F088A">
        <w:rPr>
          <w:rFonts w:ascii="Times New Roman" w:eastAsia="Times New Roman" w:hAnsi="Times New Roman" w:cs="Times New Roman"/>
          <w:sz w:val="24"/>
          <w:szCs w:val="24"/>
          <w:lang w:val="sr-Cyrl-CS"/>
        </w:rPr>
        <w:t xml:space="preserve"> </w:t>
      </w:r>
    </w:p>
    <w:bookmarkEnd w:id="3"/>
    <w:p w:rsidR="0078349E" w:rsidRPr="005F088A" w:rsidRDefault="0078349E" w:rsidP="0018410C">
      <w:pPr>
        <w:numPr>
          <w:ilvl w:val="1"/>
          <w:numId w:val="3"/>
        </w:numPr>
        <w:spacing w:before="240" w:after="240" w:line="240" w:lineRule="auto"/>
        <w:ind w:left="0" w:firstLine="993"/>
        <w:jc w:val="both"/>
        <w:rPr>
          <w:rFonts w:ascii="Times New Roman" w:eastAsia="Times New Roman" w:hAnsi="Times New Roman" w:cs="Times New Roman"/>
          <w:sz w:val="24"/>
          <w:szCs w:val="24"/>
          <w:lang w:val="sr-Cyrl-CS"/>
        </w:rPr>
      </w:pPr>
      <w:r w:rsidRPr="005F088A">
        <w:rPr>
          <w:rFonts w:ascii="Times New Roman" w:eastAsia="Times New Roman" w:hAnsi="Times New Roman" w:cs="Times New Roman"/>
          <w:iCs/>
          <w:sz w:val="24"/>
          <w:szCs w:val="24"/>
          <w:lang w:val="sr-Cyrl-CS"/>
        </w:rPr>
        <w:t>Иновација:</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Друштва капитала</w:t>
      </w:r>
      <w:r w:rsidRPr="005F088A">
        <w:rPr>
          <w:rFonts w:ascii="Times New Roman" w:eastAsia="Times New Roman" w:hAnsi="Times New Roman" w:cs="Times New Roman"/>
          <w:i/>
          <w:iCs/>
          <w:sz w:val="24"/>
          <w:szCs w:val="24"/>
          <w:lang w:val="sr-Cyrl-CS"/>
        </w:rPr>
        <w:t xml:space="preserve"> </w:t>
      </w:r>
      <w:r w:rsidRPr="005F088A">
        <w:rPr>
          <w:rFonts w:ascii="Times New Roman" w:eastAsia="Times New Roman" w:hAnsi="Times New Roman" w:cs="Times New Roman"/>
          <w:iCs/>
          <w:sz w:val="24"/>
          <w:szCs w:val="24"/>
          <w:lang w:val="sr-Cyrl-CS"/>
        </w:rPr>
        <w:t>чија је делатност везана за иновације у смислу заштите ових друштва од конкуренције у периоду док та друштва не ојачају и не достигну економију обима</w:t>
      </w:r>
      <w:r w:rsidR="00F457B8" w:rsidRPr="005F088A">
        <w:rPr>
          <w:rFonts w:ascii="Times New Roman" w:eastAsia="Times New Roman" w:hAnsi="Times New Roman" w:cs="Times New Roman"/>
          <w:iCs/>
          <w:sz w:val="24"/>
          <w:szCs w:val="24"/>
          <w:lang w:val="sr-Cyrl-CS"/>
        </w:rPr>
        <w:t>.</w:t>
      </w:r>
    </w:p>
    <w:sectPr w:rsidR="0078349E" w:rsidRPr="005F088A" w:rsidSect="000729FF">
      <w:headerReference w:type="even" r:id="rId7"/>
      <w:footerReference w:type="even" r:id="rId8"/>
      <w:footerReference w:type="default" r:id="rId9"/>
      <w:headerReference w:type="first" r:id="rId10"/>
      <w:footerReference w:type="firs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6F08" w:rsidRDefault="00EA6F08" w:rsidP="000729FF">
      <w:pPr>
        <w:spacing w:after="0" w:line="240" w:lineRule="auto"/>
      </w:pPr>
      <w:r>
        <w:separator/>
      </w:r>
    </w:p>
  </w:endnote>
  <w:endnote w:type="continuationSeparator" w:id="0">
    <w:p w:rsidR="00EA6F08" w:rsidRDefault="00EA6F08" w:rsidP="00072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03" w:rsidRDefault="00326EEA">
    <w:pPr>
      <w:pStyle w:val="Footer"/>
    </w:pPr>
    <w:r>
      <w:rPr>
        <w:noProof/>
      </w:rPr>
      <mc:AlternateContent>
        <mc:Choice Requires="wps">
          <w:drawing>
            <wp:anchor distT="0" distB="0" distL="0" distR="0" simplePos="0" relativeHeight="251662336" behindDoc="0" locked="0" layoutInCell="1" allowOverlap="1" wp14:anchorId="3A546FC4" wp14:editId="5450982E">
              <wp:simplePos x="635" y="635"/>
              <wp:positionH relativeFrom="page">
                <wp:align>center</wp:align>
              </wp:positionH>
              <wp:positionV relativeFrom="page">
                <wp:align>bottom</wp:align>
              </wp:positionV>
              <wp:extent cx="443865" cy="443865"/>
              <wp:effectExtent l="0" t="0" r="14605" b="0"/>
              <wp:wrapNone/>
              <wp:docPr id="5" name="Text Box 5" descr="OFFICIAL USE">
                <a:extLst xmlns:a="http://schemas.openxmlformats.org/drawingml/2006/main">
                  <a:ext uri="{5AE41FA2-C0FF-4470-9BD4-5FADCA87CBE2}">
                    <aclsh:classification xmlns:cx1="http://schemas.microsoft.com/office/drawing/2015/9/8/chartex"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E72103" w:rsidRPr="006B6452" w:rsidRDefault="00326EE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A546FC4" id="_x0000_t202" coordsize="21600,21600" o:spt="202" path="m,l,21600r21600,l21600,xe">
              <v:stroke joinstyle="miter"/>
              <v:path gradientshapeok="t" o:connecttype="rect"/>
            </v:shapetype>
            <v:shape id="Text Box 5" o:spid="_x0000_s1027" type="#_x0000_t202" alt="OFFICIAL USE" style="position:absolute;margin-left:0;margin-top:0;width:34.95pt;height:34.95pt;z-index:2516623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IQ1hJ1oAgAAqwQAAA4AAAAAAAAAAAAAAAAALgIAAGRycy9l&#10;Mm9Eb2MueG1sUEsBAi0AFAAGAAgAAAAhADft0fjZAAAAAwEAAA8AAAAAAAAAAAAAAAAAwgQAAGRy&#10;cy9kb3ducmV2LnhtbFBLBQYAAAAABAAEAPMAAADIBQAAAAA=&#10;" filled="f" stroked="f">
              <v:textbox style="mso-fit-shape-to-text:t" inset="0,0,0,15pt">
                <w:txbxContent>
                  <w:p w:rsidR="00E72103" w:rsidRPr="006B6452" w:rsidRDefault="00326EE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6717962"/>
      <w:docPartObj>
        <w:docPartGallery w:val="Page Numbers (Bottom of Page)"/>
        <w:docPartUnique/>
      </w:docPartObj>
    </w:sdtPr>
    <w:sdtEndPr>
      <w:rPr>
        <w:noProof/>
      </w:rPr>
    </w:sdtEndPr>
    <w:sdtContent>
      <w:p w:rsidR="000729FF" w:rsidRDefault="000729FF">
        <w:pPr>
          <w:pStyle w:val="Footer"/>
          <w:jc w:val="center"/>
        </w:pPr>
        <w:r>
          <w:fldChar w:fldCharType="begin"/>
        </w:r>
        <w:r>
          <w:instrText xml:space="preserve"> PAGE   \* MERGEFORMAT </w:instrText>
        </w:r>
        <w:r>
          <w:fldChar w:fldCharType="separate"/>
        </w:r>
        <w:r w:rsidR="00E15F90">
          <w:rPr>
            <w:noProof/>
          </w:rPr>
          <w:t>2</w:t>
        </w:r>
        <w:r>
          <w:rPr>
            <w:noProof/>
          </w:rPr>
          <w:fldChar w:fldCharType="end"/>
        </w:r>
      </w:p>
    </w:sdtContent>
  </w:sdt>
  <w:p w:rsidR="00E72103" w:rsidRDefault="00EA6F0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03" w:rsidRDefault="00326EEA">
    <w:pPr>
      <w:pStyle w:val="Footer"/>
    </w:pPr>
    <w:r>
      <w:rPr>
        <w:noProof/>
      </w:rPr>
      <mc:AlternateContent>
        <mc:Choice Requires="wps">
          <w:drawing>
            <wp:anchor distT="0" distB="0" distL="0" distR="0" simplePos="0" relativeHeight="251661312" behindDoc="0" locked="0" layoutInCell="1" allowOverlap="1" wp14:anchorId="5DFBC5D9" wp14:editId="1EE1F1FF">
              <wp:simplePos x="635" y="635"/>
              <wp:positionH relativeFrom="page">
                <wp:align>center</wp:align>
              </wp:positionH>
              <wp:positionV relativeFrom="page">
                <wp:align>bottom</wp:align>
              </wp:positionV>
              <wp:extent cx="443865" cy="443865"/>
              <wp:effectExtent l="0" t="0" r="14605" b="0"/>
              <wp:wrapNone/>
              <wp:docPr id="4" name="Text Box 4" descr="OFFICIAL USE">
                <a:extLst xmlns:a="http://schemas.openxmlformats.org/drawingml/2006/main">
                  <a:ext uri="{5AE41FA2-C0FF-4470-9BD4-5FADCA87CBE2}">
                    <aclsh:classification xmlns:cx1="http://schemas.microsoft.com/office/drawing/2015/9/8/chartex"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E72103" w:rsidRPr="006B6452" w:rsidRDefault="00EA6F08" w:rsidP="006B6452">
                          <w:pPr>
                            <w:spacing w:after="0"/>
                            <w:rPr>
                              <w:rFonts w:ascii="Calibri" w:eastAsia="Calibri" w:hAnsi="Calibri" w:cs="Calibri"/>
                              <w:noProof/>
                              <w:color w:val="0000FF"/>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DFBC5D9" id="_x0000_t202" coordsize="21600,21600" o:spt="202" path="m,l,21600r21600,l21600,xe">
              <v:stroke joinstyle="miter"/>
              <v:path gradientshapeok="t" o:connecttype="rect"/>
            </v:shapetype>
            <v:shape id="Text Box 4" o:spid="_x0000_s1029" type="#_x0000_t202" alt="OFFICIAL USE" style="position:absolute;margin-left:0;margin-top:0;width:34.95pt;height:34.95pt;z-index:2516613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k1wg8GoCAACrBAAADgAAAAAAAAAAAAAAAAAuAgAAZHJz&#10;L2Uyb0RvYy54bWxQSwECLQAUAAYACAAAACEAN+3R+NkAAAADAQAADwAAAAAAAAAAAAAAAADEBAAA&#10;ZHJzL2Rvd25yZXYueG1sUEsFBgAAAAAEAAQA8wAAAMoFAAAAAA==&#10;" filled="f" stroked="f">
              <v:textbox style="mso-fit-shape-to-text:t" inset="0,0,0,15pt">
                <w:txbxContent>
                  <w:p w:rsidR="00E72103" w:rsidRPr="006B6452" w:rsidRDefault="00326EEA" w:rsidP="006B6452">
                    <w:pPr>
                      <w:spacing w:after="0"/>
                      <w:rPr>
                        <w:rFonts w:ascii="Calibri" w:eastAsia="Calibri" w:hAnsi="Calibri" w:cs="Calibri"/>
                        <w:noProof/>
                        <w:color w:val="0000FF"/>
                        <w:sz w:val="20"/>
                        <w:szCs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6F08" w:rsidRDefault="00EA6F08" w:rsidP="000729FF">
      <w:pPr>
        <w:spacing w:after="0" w:line="240" w:lineRule="auto"/>
      </w:pPr>
      <w:r>
        <w:separator/>
      </w:r>
    </w:p>
  </w:footnote>
  <w:footnote w:type="continuationSeparator" w:id="0">
    <w:p w:rsidR="00EA6F08" w:rsidRDefault="00EA6F08" w:rsidP="00072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03" w:rsidRDefault="00326EEA">
    <w:pPr>
      <w:pStyle w:val="Header"/>
    </w:pPr>
    <w:r>
      <w:rPr>
        <w:noProof/>
      </w:rPr>
      <mc:AlternateContent>
        <mc:Choice Requires="wps">
          <w:drawing>
            <wp:anchor distT="0" distB="0" distL="0" distR="0" simplePos="0" relativeHeight="251660288" behindDoc="0" locked="0" layoutInCell="1" allowOverlap="1" wp14:anchorId="600A992C" wp14:editId="11A321CD">
              <wp:simplePos x="635" y="635"/>
              <wp:positionH relativeFrom="page">
                <wp:align>center</wp:align>
              </wp:positionH>
              <wp:positionV relativeFrom="page">
                <wp:align>top</wp:align>
              </wp:positionV>
              <wp:extent cx="443865" cy="443865"/>
              <wp:effectExtent l="0" t="0" r="14605" b="12700"/>
              <wp:wrapNone/>
              <wp:docPr id="2" name="Text Box 2" descr="OFFICIAL USE">
                <a:extLst xmlns:a="http://schemas.openxmlformats.org/drawingml/2006/main">
                  <a:ext uri="{5AE41FA2-C0FF-4470-9BD4-5FADCA87CBE2}">
                    <aclsh:classification xmlns:cx1="http://schemas.microsoft.com/office/drawing/2015/9/8/chartex"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E72103" w:rsidRPr="006B6452" w:rsidRDefault="00326EE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0A992C" id="_x0000_t202" coordsize="21600,21600" o:spt="202" path="m,l,21600r21600,l21600,xe">
              <v:stroke joinstyle="miter"/>
              <v:path gradientshapeok="t" o:connecttype="rect"/>
            </v:shapetype>
            <v:shape id="Text Box 2" o:spid="_x0000_s1026" type="#_x0000_t202" alt="OFFICIAL USE" style="position:absolute;margin-left:0;margin-top:0;width:34.95pt;height:34.9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" filled="f" stroked="f">
              <v:textbox style="mso-fit-shape-to-text:t" inset="0,15pt,0,0">
                <w:txbxContent>
                  <w:p w:rsidR="00E72103" w:rsidRPr="006B6452" w:rsidRDefault="00326EEA" w:rsidP="006B6452">
                    <w:pPr>
                      <w:spacing w:after="0"/>
                      <w:rPr>
                        <w:rFonts w:ascii="Calibri" w:eastAsia="Calibri" w:hAnsi="Calibri" w:cs="Calibri"/>
                        <w:noProof/>
                        <w:color w:val="0000FF"/>
                        <w:sz w:val="20"/>
                        <w:szCs w:val="20"/>
                      </w:rPr>
                    </w:pPr>
                    <w:r w:rsidRPr="006B6452">
                      <w:rPr>
                        <w:rFonts w:ascii="Calibri" w:eastAsia="Calibri" w:hAnsi="Calibri" w:cs="Calibri"/>
                        <w:noProof/>
                        <w:color w:val="0000FF"/>
                        <w:sz w:val="20"/>
                        <w:szCs w:val="20"/>
                      </w:rPr>
                      <w:t>OFFICIAL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103" w:rsidRDefault="00326EEA">
    <w:pPr>
      <w:pStyle w:val="Header"/>
    </w:pPr>
    <w:r>
      <w:rPr>
        <w:noProof/>
      </w:rPr>
      <mc:AlternateContent>
        <mc:Choice Requires="wps">
          <w:drawing>
            <wp:anchor distT="0" distB="0" distL="0" distR="0" simplePos="0" relativeHeight="251659264" behindDoc="0" locked="0" layoutInCell="1" allowOverlap="1" wp14:anchorId="708450A9" wp14:editId="1F175A9C">
              <wp:simplePos x="635" y="635"/>
              <wp:positionH relativeFrom="page">
                <wp:align>center</wp:align>
              </wp:positionH>
              <wp:positionV relativeFrom="page">
                <wp:align>top</wp:align>
              </wp:positionV>
              <wp:extent cx="443865" cy="443865"/>
              <wp:effectExtent l="0" t="0" r="14605" b="12700"/>
              <wp:wrapNone/>
              <wp:docPr id="1" name="Text Box 1" descr="OFFICIAL USE">
                <a:extLst xmlns:a="http://schemas.openxmlformats.org/drawingml/2006/main">
                  <a:ext uri="{5AE41FA2-C0FF-4470-9BD4-5FADCA87CBE2}">
                    <aclsh:classification xmlns:cx1="http://schemas.microsoft.com/office/drawing/2015/9/8/chartex"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aclsh="http://schemas.microsoft.com/office/drawing/2020/classificationShape"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E72103" w:rsidRPr="006B6452" w:rsidRDefault="00EA6F08" w:rsidP="006B6452">
                          <w:pPr>
                            <w:spacing w:after="0"/>
                            <w:rPr>
                              <w:rFonts w:ascii="Calibri" w:eastAsia="Calibri" w:hAnsi="Calibri" w:cs="Calibri"/>
                              <w:noProof/>
                              <w:color w:val="0000FF"/>
                              <w:sz w:val="20"/>
                              <w:szCs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8450A9" id="_x0000_t202" coordsize="21600,21600" o:spt="202" path="m,l,21600r21600,l21600,xe">
              <v:stroke joinstyle="miter"/>
              <v:path gradientshapeok="t" o:connecttype="rect"/>
            </v:shapetype>
            <v:shape id="Text Box 1" o:spid="_x0000_s1028" type="#_x0000_t202" alt="OFFICIAL USE"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" filled="f" stroked="f">
              <v:textbox style="mso-fit-shape-to-text:t" inset="0,15pt,0,0">
                <w:txbxContent>
                  <w:p w:rsidR="00E72103" w:rsidRPr="006B6452" w:rsidRDefault="00326EEA" w:rsidP="006B6452">
                    <w:pPr>
                      <w:spacing w:after="0"/>
                      <w:rPr>
                        <w:rFonts w:ascii="Calibri" w:eastAsia="Calibri" w:hAnsi="Calibri" w:cs="Calibri"/>
                        <w:noProof/>
                        <w:color w:val="0000FF"/>
                        <w:sz w:val="20"/>
                        <w:szCs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82025"/>
    <w:multiLevelType w:val="hybridMultilevel"/>
    <w:tmpl w:val="8A3E10BE"/>
    <w:lvl w:ilvl="0" w:tplc="8AD0CC3A">
      <w:start w:val="1"/>
      <w:numFmt w:val="decimal"/>
      <w:lvlText w:val="%1."/>
      <w:lvlJc w:val="left"/>
      <w:pPr>
        <w:ind w:left="720"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5AC607A"/>
    <w:multiLevelType w:val="multilevel"/>
    <w:tmpl w:val="35F8CE9A"/>
    <w:lvl w:ilvl="0">
      <w:start w:val="1"/>
      <w:numFmt w:val="decimal"/>
      <w:lvlText w:val="%1."/>
      <w:lvlJc w:val="left"/>
      <w:pPr>
        <w:tabs>
          <w:tab w:val="num" w:pos="567"/>
        </w:tabs>
        <w:ind w:left="567" w:hanging="567"/>
      </w:pPr>
      <w:rPr>
        <w:rFonts w:hint="default"/>
        <w:b w:val="0"/>
        <w:bCs w:val="0"/>
      </w:rPr>
    </w:lvl>
    <w:lvl w:ilvl="1">
      <w:start w:val="1"/>
      <w:numFmt w:val="decimal"/>
      <w:lvlText w:val="%2."/>
      <w:lvlJc w:val="left"/>
      <w:pPr>
        <w:ind w:left="720" w:hanging="360"/>
      </w:pPr>
      <w:rPr>
        <w:rFonts w:ascii="Times New Roman" w:eastAsia="Times New Roman" w:hAnsi="Times New Roman" w:cs="Times New Roman"/>
        <w:i w:val="0"/>
      </w:rPr>
    </w:lvl>
    <w:lvl w:ilvl="2">
      <w:start w:val="1"/>
      <w:numFmt w:val="decimal"/>
      <w:lvlText w:val="%1.%2.%3."/>
      <w:lvlJc w:val="left"/>
      <w:pPr>
        <w:tabs>
          <w:tab w:val="num" w:pos="1701"/>
        </w:tabs>
        <w:ind w:left="1701" w:hanging="567"/>
      </w:pPr>
      <w:rPr>
        <w:rFonts w:hint="default"/>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504D61A3"/>
    <w:multiLevelType w:val="hybridMultilevel"/>
    <w:tmpl w:val="EFDEBA4E"/>
    <w:lvl w:ilvl="0" w:tplc="C220F866">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3B1B0D"/>
    <w:multiLevelType w:val="hybridMultilevel"/>
    <w:tmpl w:val="FDFC4BCC"/>
    <w:lvl w:ilvl="0" w:tplc="44C83CCE">
      <w:start w:val="1"/>
      <w:numFmt w:val="upperRoman"/>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0298F"/>
    <w:multiLevelType w:val="hybridMultilevel"/>
    <w:tmpl w:val="193A2CA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C375FF"/>
    <w:multiLevelType w:val="hybridMultilevel"/>
    <w:tmpl w:val="37AE95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49E"/>
    <w:rsid w:val="000729FF"/>
    <w:rsid w:val="00090BE7"/>
    <w:rsid w:val="000F7666"/>
    <w:rsid w:val="0018410C"/>
    <w:rsid w:val="00264D49"/>
    <w:rsid w:val="00326EEA"/>
    <w:rsid w:val="003311A5"/>
    <w:rsid w:val="004E0AE2"/>
    <w:rsid w:val="005F088A"/>
    <w:rsid w:val="006723AA"/>
    <w:rsid w:val="0078349E"/>
    <w:rsid w:val="007A53A4"/>
    <w:rsid w:val="00A312FC"/>
    <w:rsid w:val="00A75F38"/>
    <w:rsid w:val="00B8662F"/>
    <w:rsid w:val="00B958FC"/>
    <w:rsid w:val="00C24FC3"/>
    <w:rsid w:val="00E15F90"/>
    <w:rsid w:val="00EA6F08"/>
    <w:rsid w:val="00F457B8"/>
    <w:rsid w:val="00FF38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F0BAF2-9D14-4A2F-B569-67E77E419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49E"/>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34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349E"/>
    <w:rPr>
      <w:lang w:val="en-US"/>
    </w:rPr>
  </w:style>
  <w:style w:type="paragraph" w:styleId="Footer">
    <w:name w:val="footer"/>
    <w:basedOn w:val="Normal"/>
    <w:link w:val="FooterChar"/>
    <w:uiPriority w:val="99"/>
    <w:unhideWhenUsed/>
    <w:rsid w:val="00783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349E"/>
    <w:rPr>
      <w:lang w:val="en-US"/>
    </w:rPr>
  </w:style>
  <w:style w:type="paragraph" w:styleId="ListParagraph">
    <w:name w:val="List Paragraph"/>
    <w:aliases w:val="Tab Title"/>
    <w:basedOn w:val="Normal"/>
    <w:uiPriority w:val="34"/>
    <w:qFormat/>
    <w:rsid w:val="0078349E"/>
    <w:pPr>
      <w:ind w:left="720"/>
      <w:contextualSpacing/>
    </w:pPr>
  </w:style>
  <w:style w:type="paragraph" w:styleId="BalloonText">
    <w:name w:val="Balloon Text"/>
    <w:basedOn w:val="Normal"/>
    <w:link w:val="BalloonTextChar"/>
    <w:uiPriority w:val="99"/>
    <w:semiHidden/>
    <w:unhideWhenUsed/>
    <w:rsid w:val="00F457B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57B8"/>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775</Words>
  <Characters>4420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Acimovic T</dc:creator>
  <cp:keywords/>
  <dc:description/>
  <cp:lastModifiedBy>Snezana Marinovic</cp:lastModifiedBy>
  <cp:revision>8</cp:revision>
  <cp:lastPrinted>2024-09-20T10:17:00Z</cp:lastPrinted>
  <dcterms:created xsi:type="dcterms:W3CDTF">2024-09-19T08:57:00Z</dcterms:created>
  <dcterms:modified xsi:type="dcterms:W3CDTF">2024-09-20T10:17:00Z</dcterms:modified>
</cp:coreProperties>
</file>