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66C" w:rsidRPr="00E15BE2" w:rsidRDefault="00B3166C" w:rsidP="00B3166C">
      <w:pPr>
        <w:tabs>
          <w:tab w:val="center" w:pos="4535"/>
          <w:tab w:val="right" w:pos="9071"/>
        </w:tabs>
        <w:spacing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E15BE2">
        <w:rPr>
          <w:rFonts w:ascii="Times New Roman" w:eastAsia="Calibri" w:hAnsi="Times New Roman" w:cs="Times New Roman"/>
          <w:i/>
          <w:noProof/>
          <w:sz w:val="24"/>
        </w:rPr>
        <w:tab/>
      </w:r>
    </w:p>
    <w:p w:rsidR="00B3166C" w:rsidRPr="00E15BE2" w:rsidRDefault="00B3166C" w:rsidP="00B3166C">
      <w:pPr>
        <w:spacing w:before="480" w:after="480" w:line="240" w:lineRule="auto"/>
        <w:jc w:val="center"/>
        <w:rPr>
          <w:rFonts w:ascii="Times New Roman" w:eastAsia="Calibri" w:hAnsi="Times New Roman" w:cs="Times New Roman"/>
          <w:b/>
          <w:noProof/>
          <w:sz w:val="24"/>
        </w:rPr>
      </w:pPr>
      <w:r w:rsidRPr="00E15BE2">
        <w:rPr>
          <w:rFonts w:ascii="Times New Roman" w:eastAsia="Times New Roman" w:hAnsi="Times New Roman" w:cs="Times New Roman"/>
          <w:b/>
          <w:w w:val="105"/>
          <w:sz w:val="24"/>
          <w:szCs w:val="24"/>
          <w:lang w:val="sr-Cyrl-RS"/>
        </w:rPr>
        <w:t>СПОРАЗУМ</w:t>
      </w:r>
    </w:p>
    <w:p w:rsidR="00B3166C" w:rsidRPr="00E15BE2" w:rsidRDefault="00B3166C" w:rsidP="002A346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  <w:t>између Европске уније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  <w:t xml:space="preserve"> и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  <w:t xml:space="preserve"> Републике Србије о учешћу 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  <w:t xml:space="preserve">Републике 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  <w:t xml:space="preserve">Србије у 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  <w:t>„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  <w:t>Фис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  <w:t>к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  <w:t>алис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  <w:t>у”, програму Уније за сарадњу у области опорезивања</w:t>
      </w:r>
    </w:p>
    <w:p w:rsidR="00B3166C" w:rsidRPr="00E15BE2" w:rsidRDefault="00B3166C" w:rsidP="002A346C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</w:rPr>
      </w:pPr>
    </w:p>
    <w:p w:rsidR="00B3166C" w:rsidRPr="00E15BE2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A952C4">
      <w:pPr>
        <w:spacing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 xml:space="preserve">Европска комисија (у даљем тексту: Комисија) у име Европске уније, </w:t>
      </w:r>
    </w:p>
    <w:p w:rsidR="00B3166C" w:rsidRPr="00E15BE2" w:rsidRDefault="00B3166C" w:rsidP="00A952C4">
      <w:pPr>
        <w:spacing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 једне стране,  </w:t>
      </w:r>
    </w:p>
    <w:p w:rsidR="00B3166C" w:rsidRPr="00E15BE2" w:rsidRDefault="00B3166C" w:rsidP="00A952C4">
      <w:pPr>
        <w:spacing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и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     </w:t>
      </w:r>
    </w:p>
    <w:p w:rsidR="00B3166C" w:rsidRPr="00E15BE2" w:rsidRDefault="00B3166C" w:rsidP="00A952C4">
      <w:pPr>
        <w:spacing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>Влада Републике Србије (у даљем тексту: Србија),</w:t>
      </w:r>
    </w:p>
    <w:p w:rsidR="00B3166C" w:rsidRPr="00E15BE2" w:rsidRDefault="00B3166C" w:rsidP="00A952C4">
      <w:pPr>
        <w:spacing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>са друге стране,</w:t>
      </w:r>
    </w:p>
    <w:p w:rsidR="00B3166C" w:rsidRPr="00E15BE2" w:rsidRDefault="00B3166C" w:rsidP="00BE072A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>у даљем тексту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: </w:t>
      </w:r>
      <w:r w:rsidRPr="00E15BE2">
        <w:rPr>
          <w:rFonts w:ascii="Times New Roman" w:eastAsia="Calibri" w:hAnsi="Times New Roman" w:cs="Times New Roman"/>
          <w:noProof/>
          <w:sz w:val="24"/>
        </w:rPr>
        <w:t>Стране</w:t>
      </w:r>
    </w:p>
    <w:p w:rsidR="00B3166C" w:rsidRPr="00E15BE2" w:rsidRDefault="00B3166C" w:rsidP="00BE072A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BE072A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bookmarkStart w:id="0" w:name="_Hlk86144416"/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С ОБЗИРОМ на то </w:t>
      </w:r>
      <w:bookmarkEnd w:id="0"/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да Оквирни споразум између Европске заједнице и Србије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и Црне Горе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о општим принципима учешћа Србије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и Црне Горе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програмима Заједнице</w:t>
      </w:r>
      <w:r w:rsidRPr="00E15BE2">
        <w:rPr>
          <w:rFonts w:ascii="Times New Roman" w:eastAsia="Calibri" w:hAnsi="Times New Roman" w:cs="Times New Roman"/>
          <w:noProof/>
          <w:sz w:val="24"/>
          <w:vertAlign w:val="superscript"/>
          <w:lang w:val="sr-Latn-RS"/>
        </w:rPr>
        <w:footnoteReference w:id="1"/>
      </w:r>
      <w:r w:rsidRPr="00E15BE2">
        <w:rPr>
          <w:rFonts w:ascii="Times New Roman" w:eastAsia="Calibri" w:hAnsi="Times New Roman" w:cs="Times New Roman"/>
          <w:noProof/>
          <w:sz w:val="24"/>
          <w:vertAlign w:val="superscript"/>
          <w:lang w:val="sr-Cyrl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предвиђа да се одређени услови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 вези са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учешће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м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Србије у сваком појединачном програму,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нарочито у вези са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плаћањем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финансијск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ог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допринос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, утврђују путем споразума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, у облику Меморандума о разумевању,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између Комисије и надлежних органа у Србији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; </w:t>
      </w:r>
    </w:p>
    <w:p w:rsidR="00B3166C" w:rsidRPr="00E15BE2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641999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С ОБЗИРОМ на то да је програм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за сарадњу у области опорезивања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успостављен Уредбом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(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ЕУ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) 2021/847</w:t>
      </w:r>
      <w:r w:rsidRPr="00E15BE2">
        <w:rPr>
          <w:rFonts w:ascii="Times New Roman" w:eastAsia="Calibri" w:hAnsi="Times New Roman" w:cs="Times New Roman"/>
          <w:noProof/>
          <w:sz w:val="24"/>
          <w:vertAlign w:val="superscript"/>
          <w:lang w:val="sr-Cyrl-RS"/>
        </w:rPr>
        <w:footnoteReference w:id="2"/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Европског парламента и Савета</w:t>
      </w:r>
      <w:r w:rsidRPr="00E15BE2">
        <w:rPr>
          <w:rFonts w:ascii="Times New Roman" w:eastAsia="Calibri" w:hAnsi="Times New Roman" w:cs="Times New Roman"/>
          <w:noProof/>
          <w:sz w:val="24"/>
        </w:rPr>
        <w:t>;</w:t>
      </w:r>
    </w:p>
    <w:p w:rsidR="00B3166C" w:rsidRPr="00E15BE2" w:rsidRDefault="00B3166C" w:rsidP="00641999">
      <w:pPr>
        <w:spacing w:before="60" w:after="120" w:line="240" w:lineRule="auto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641999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С ОБЗИРОМ на то да одређени услови који се односе на приступање треба да се дефинишу међународним споразумом између Уније 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приступне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земље</w:t>
      </w:r>
      <w:r w:rsidRPr="00E15BE2">
        <w:rPr>
          <w:rFonts w:ascii="Times New Roman" w:eastAsia="Calibri" w:hAnsi="Times New Roman" w:cs="Times New Roman"/>
          <w:noProof/>
          <w:sz w:val="24"/>
        </w:rPr>
        <w:t>;</w:t>
      </w:r>
    </w:p>
    <w:p w:rsidR="00B3166C" w:rsidRPr="00E15BE2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С ОБЗИРОМ на то да у складу са чланом 5. тачк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(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а) 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(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б) првог подстава Уредбе (ЕУ) 2021/847, земље у процесу приступања, земље кандидати и потенцијални кандидати као и земље Европске политике суседства могу да учествују у складу са општим принципима и општим условима за учешће поменутих земаља у програмима Уније кој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успостављен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њиховим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оквирним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споразумима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 одлукама Савета за приступање, или у сличним споразумима, и 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складу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са одређеним условима који су наведени у споразумима између Уније и тих земаља</w:t>
      </w:r>
      <w:r w:rsidRPr="00E15BE2">
        <w:rPr>
          <w:rFonts w:ascii="Times New Roman" w:eastAsia="Calibri" w:hAnsi="Times New Roman" w:cs="Times New Roman"/>
          <w:noProof/>
          <w:sz w:val="24"/>
        </w:rPr>
        <w:t>;</w:t>
      </w:r>
    </w:p>
    <w:p w:rsidR="00B3166C" w:rsidRPr="00E15BE2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  <w:lang w:val="sr-Cyrl-RS"/>
        </w:rPr>
      </w:pPr>
    </w:p>
    <w:p w:rsidR="00B3166C" w:rsidRPr="00E15BE2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lastRenderedPageBreak/>
        <w:t>ПРИЗНАЈУЋИ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> 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опште принципе који су наведени у Уредби (ЕУ) 2021/847 Европског парламента и Савета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; </w:t>
      </w:r>
    </w:p>
    <w:p w:rsidR="00B3166C" w:rsidRPr="00E15BE2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B3166C">
      <w:pPr>
        <w:spacing w:before="6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ПОТВРЂУЈУЋИ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циљеве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да пружи подршку пореским органима и опорезивању како би се унапредило функционисање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унутрашњег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тржишта,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подстакла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конкурентност Уније као 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лојална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конкуренција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унутар Уније, заштитили финансијски и економски интереси Уније и њених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држава чланица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укључујући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заштиту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интерес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од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порески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х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превара, пореск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евазиј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 избегавањ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плаћања пореза, и како би се побољшала наплата пореза</w:t>
      </w:r>
      <w:r w:rsidRPr="00E15BE2">
        <w:rPr>
          <w:rFonts w:ascii="Times New Roman" w:eastAsia="Calibri" w:hAnsi="Times New Roman" w:cs="Times New Roman"/>
          <w:noProof/>
          <w:sz w:val="24"/>
        </w:rPr>
        <w:t>;</w:t>
      </w:r>
    </w:p>
    <w:p w:rsidR="00B3166C" w:rsidRDefault="00B3166C" w:rsidP="00B3166C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</w:p>
    <w:p w:rsidR="00DE3FF4" w:rsidRDefault="00DE3FF4" w:rsidP="00B3166C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</w:p>
    <w:p w:rsidR="00B3166C" w:rsidRPr="00E15BE2" w:rsidRDefault="00B3166C" w:rsidP="00B3166C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СУ СЕ УСАГЛАСИЛЕ КАКО СЛЕДИ</w:t>
      </w:r>
      <w:r w:rsidRPr="00E15BE2">
        <w:rPr>
          <w:rFonts w:ascii="Times New Roman" w:eastAsia="Calibri" w:hAnsi="Times New Roman" w:cs="Times New Roman"/>
          <w:noProof/>
          <w:sz w:val="24"/>
        </w:rPr>
        <w:t>:</w:t>
      </w:r>
    </w:p>
    <w:p w:rsidR="00B3166C" w:rsidRPr="00E15BE2" w:rsidRDefault="00B3166C" w:rsidP="00B3166C">
      <w:p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B3166C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b/>
          <w:iCs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>Члан</w:t>
      </w:r>
      <w:r w:rsidRPr="00E15BE2">
        <w:rPr>
          <w:rFonts w:ascii="Times New Roman" w:eastAsia="Calibri" w:hAnsi="Times New Roman" w:cs="Times New Roman"/>
          <w:b/>
          <w:iCs/>
          <w:noProof/>
          <w:sz w:val="24"/>
          <w:lang w:val="sr-Latn-RS"/>
        </w:rPr>
        <w:t xml:space="preserve"> 1</w:t>
      </w:r>
      <w:r w:rsidRPr="00E15BE2">
        <w:rPr>
          <w:rFonts w:ascii="Times New Roman" w:eastAsia="Calibri" w:hAnsi="Times New Roman" w:cs="Times New Roman"/>
          <w:b/>
          <w:iCs/>
          <w:noProof/>
          <w:sz w:val="24"/>
          <w:lang w:val="sr-Cyrl-RS"/>
        </w:rPr>
        <w:t>.</w:t>
      </w:r>
    </w:p>
    <w:p w:rsidR="00B3166C" w:rsidRPr="00E15BE2" w:rsidRDefault="00B3166C" w:rsidP="00B3166C">
      <w:pPr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4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lang w:val="sr-Cyrl-RS"/>
        </w:rPr>
        <w:t>Област примене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 xml:space="preserve"> приступања</w:t>
      </w:r>
      <w:r w:rsidRPr="00E15BE2" w:rsidDel="00B51C1F">
        <w:rPr>
          <w:rFonts w:ascii="Times New Roman" w:eastAsia="Calibri" w:hAnsi="Times New Roman" w:cs="Times New Roman"/>
          <w:b/>
          <w:noProof/>
          <w:sz w:val="24"/>
        </w:rPr>
        <w:t xml:space="preserve"> </w:t>
      </w:r>
    </w:p>
    <w:p w:rsidR="00B3166C" w:rsidRPr="00E15BE2" w:rsidRDefault="00B3166C" w:rsidP="00B3166C">
      <w:pPr>
        <w:spacing w:before="120" w:after="120" w:line="240" w:lineRule="auto"/>
        <w:jc w:val="both"/>
        <w:outlineLvl w:val="0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Србија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учествује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као придружена земља 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доприноси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следећим деловима програма „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Фискалис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”, који се наводе у Уредби (ЕУ) 2021/847 Европског парламента и Савета од 20. маја 2021. године</w:t>
      </w:r>
      <w:r w:rsidRPr="00E15BE2">
        <w:rPr>
          <w:rFonts w:ascii="Times New Roman" w:eastAsia="Calibri" w:hAnsi="Times New Roman" w:cs="Times New Roman"/>
          <w:noProof/>
          <w:sz w:val="24"/>
        </w:rPr>
        <w:t>:</w:t>
      </w:r>
    </w:p>
    <w:p w:rsidR="00B3166C" w:rsidRPr="00E15BE2" w:rsidRDefault="00B3166C" w:rsidP="00292C78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активности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ма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које су наведене у тачкама (а), (б), (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д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), и (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) подстав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1.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став 2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члана 7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Уредбе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(ЕУ) 2021/847, осим у случају да учешће Србије није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одговарајуће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имајући у виду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природу или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садржај активности</w:t>
      </w:r>
      <w:r w:rsidRPr="00E15BE2">
        <w:rPr>
          <w:rFonts w:ascii="Times New Roman" w:eastAsia="Calibri" w:hAnsi="Times New Roman" w:cs="Times New Roman"/>
          <w:noProof/>
          <w:sz w:val="24"/>
        </w:rPr>
        <w:t>;</w:t>
      </w:r>
    </w:p>
    <w:p w:rsidR="00B3166C" w:rsidRPr="00E15BE2" w:rsidRDefault="00B3166C" w:rsidP="00292C78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б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под условом да постоје релевантни законски услови, учешће у активностима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подизања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капацитета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ИТ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као што је наведено 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тачки (ц)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подстав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1.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став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2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 ст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3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 4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члана 7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Уредбе (ЕУ) 2021/847. Учешће у активностима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почиње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н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а дан за који се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тране усагласе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B3166C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>Члан 2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Cyrl-RS"/>
        </w:rPr>
        <w:t>.</w:t>
      </w:r>
    </w:p>
    <w:p w:rsidR="00B3166C" w:rsidRPr="00DD162F" w:rsidRDefault="00B3166C" w:rsidP="00B3166C">
      <w:pPr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 xml:space="preserve">Услови у вези са учешћем у програму 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Cyrl-RS"/>
        </w:rPr>
        <w:t>„Фискалис”</w:t>
      </w:r>
    </w:p>
    <w:p w:rsidR="00B3166C" w:rsidRPr="00E15BE2" w:rsidRDefault="00B3166C" w:rsidP="00292C78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  <w:lang w:eastAsia="de-DE"/>
        </w:rPr>
      </w:pPr>
      <w:r w:rsidRPr="00E15BE2">
        <w:rPr>
          <w:rFonts w:ascii="Times New Roman" w:eastAsia="Calibri" w:hAnsi="Times New Roman" w:cs="Times New Roman"/>
          <w:sz w:val="24"/>
        </w:rPr>
        <w:t>1.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Србија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учествује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активностима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складу са условима који су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утврђени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Оквирном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споразуму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између Европске заједнице и Србије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и Црне Горе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о општим принципима учешћ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Србије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и Црне Горе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у програмима Заједнице и у складу са условима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утврђеним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овом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поразуму, у правним актима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члану 1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поразума, као и другим правилима која се односе на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спровођење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тј. њиховим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најновијим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верзијама</w:t>
      </w:r>
      <w:r w:rsidRPr="00E15BE2">
        <w:rPr>
          <w:rFonts w:ascii="Times New Roman" w:eastAsia="Calibri" w:hAnsi="Times New Roman" w:cs="Times New Roman"/>
          <w:noProof/>
          <w:sz w:val="24"/>
          <w:lang w:eastAsia="de-DE"/>
        </w:rPr>
        <w:t xml:space="preserve">. </w:t>
      </w:r>
    </w:p>
    <w:p w:rsidR="00B3166C" w:rsidRPr="00E15BE2" w:rsidRDefault="00B3166C" w:rsidP="00292C78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  <w:lang w:bidi="en-US"/>
        </w:rPr>
      </w:pPr>
      <w:r w:rsidRPr="00E15BE2">
        <w:rPr>
          <w:rFonts w:ascii="Times New Roman" w:eastAsia="Calibri" w:hAnsi="Times New Roman" w:cs="Times New Roman"/>
          <w:sz w:val="24"/>
        </w:rPr>
        <w:t>2.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>Осим у случају да је другачије наведено у условима кој</w:t>
      </w:r>
      <w:r w:rsidRPr="00E15BE2">
        <w:rPr>
          <w:rFonts w:ascii="Times New Roman" w:eastAsia="Calibri" w:hAnsi="Times New Roman" w:cs="Times New Roman"/>
          <w:noProof/>
          <w:sz w:val="24"/>
          <w:lang w:val="sr-Cyrl-RS" w:bidi="en-US"/>
        </w:rPr>
        <w:t>и</w:t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 xml:space="preserve"> се помињу у ставу 1. овог члана, правна лица основана у Србији могу да учествују у активностима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 w:bidi="en-U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 xml:space="preserve"> под условима који су једнаки условима који се примењују на правна лица која су основана у Унији, укључујући и </w:t>
      </w:r>
      <w:r w:rsidRPr="00E15BE2">
        <w:rPr>
          <w:rFonts w:ascii="Times New Roman" w:eastAsia="Calibri" w:hAnsi="Times New Roman" w:cs="Times New Roman"/>
          <w:noProof/>
          <w:sz w:val="24"/>
          <w:lang w:val="sr-Cyrl-RS" w:bidi="en-US"/>
        </w:rPr>
        <w:t xml:space="preserve">поштовање </w:t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>рестриктивн</w:t>
      </w:r>
      <w:r w:rsidRPr="00E15BE2">
        <w:rPr>
          <w:rFonts w:ascii="Times New Roman" w:eastAsia="Calibri" w:hAnsi="Times New Roman" w:cs="Times New Roman"/>
          <w:noProof/>
          <w:sz w:val="24"/>
          <w:lang w:val="sr-Cyrl-RS" w:bidi="en-US"/>
        </w:rPr>
        <w:t>их</w:t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 xml:space="preserve"> мер</w:t>
      </w:r>
      <w:r w:rsidRPr="00E15BE2">
        <w:rPr>
          <w:rFonts w:ascii="Times New Roman" w:eastAsia="Calibri" w:hAnsi="Times New Roman" w:cs="Times New Roman"/>
          <w:noProof/>
          <w:sz w:val="24"/>
          <w:lang w:val="sr-Cyrl-RS" w:bidi="en-U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 xml:space="preserve"> ЕУ</w:t>
      </w:r>
      <w:r w:rsidRPr="00E15BE2">
        <w:rPr>
          <w:rFonts w:ascii="Times New Roman" w:eastAsia="Calibri" w:hAnsi="Times New Roman" w:cs="Times New Roman"/>
          <w:noProof/>
          <w:sz w:val="24"/>
          <w:vertAlign w:val="superscript"/>
          <w:lang w:val="sr-Latn-RS" w:bidi="en-US"/>
        </w:rPr>
        <w:footnoteReference w:id="3"/>
      </w:r>
      <w:r w:rsidRPr="00E15BE2">
        <w:rPr>
          <w:rFonts w:ascii="Times New Roman" w:eastAsia="Calibri" w:hAnsi="Times New Roman" w:cs="Times New Roman"/>
          <w:noProof/>
          <w:sz w:val="24"/>
          <w:lang w:bidi="en-US"/>
        </w:rPr>
        <w:t>.</w:t>
      </w:r>
    </w:p>
    <w:p w:rsidR="00B3166C" w:rsidRPr="00E15BE2" w:rsidRDefault="00B3166C" w:rsidP="00FC6E51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3.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Представници Србије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имају право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да учествују као посматрачи 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Одбору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кој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се наводи у члану 18. Уредбе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(ЕУ) 2021/847 којом се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успоставља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програм </w:t>
      </w:r>
      <w:bookmarkStart w:id="1" w:name="_Hlk86151627"/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</w:t>
      </w:r>
      <w:bookmarkEnd w:id="1"/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и за теме које се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односе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на Србију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, без права гласања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4.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Трошков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путовања и трошков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дневница који се односе на представнике и експерте из Србије када учествују као посматрачи у раду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Одбора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из члана 18. Уредбе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(ЕУ) 2021/847 којом се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успоставља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програм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„Фискалис”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или на другим састанцима који се односе на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спровођење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„Фискалис”, Комисија рефундира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 истом основу и у складу са процедурама које су на снази за представнике држава чланица Европске уније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5.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Србија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предузима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све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неопходне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мере,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ако је потребно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како би се обезбедило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да су роба и услуге које су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купљене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Србији или увезене у Србију, а које су делимично или у потпуности финансиране у складу са споразумима о додели бесповратних средстава и/или уговорима који су закључени у циљу реализације активности у складу са овим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поразумом, ослобођене плаћања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царинских дажбина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, увозних такси и других фискалних намета, укључујући и ПДВ, а који се примењују у Србији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FC6E51">
      <w:pPr>
        <w:numPr>
          <w:ilvl w:val="0"/>
          <w:numId w:val="1"/>
        </w:numPr>
        <w:spacing w:after="120" w:line="240" w:lineRule="auto"/>
        <w:ind w:left="900" w:hanging="900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  <w:bookmarkStart w:id="2" w:name="_Hlk111703120"/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Енглески језик се користи за процедуре које се односе на захтеве, уговоре и извештаје, као и за друге административне аспекте Програма</w:t>
      </w:r>
      <w:bookmarkEnd w:id="2"/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</w:p>
    <w:p w:rsidR="00B3166C" w:rsidRDefault="00B3166C" w:rsidP="00FC6E51">
      <w:pPr>
        <w:spacing w:after="120" w:line="240" w:lineRule="auto"/>
        <w:jc w:val="center"/>
        <w:rPr>
          <w:rFonts w:ascii="Times New Roman" w:eastAsia="Calibri" w:hAnsi="Times New Roman" w:cs="Times New Roman"/>
          <w:b/>
          <w:iCs/>
          <w:noProof/>
          <w:sz w:val="24"/>
          <w:lang w:val="sr-Latn-RS"/>
        </w:rPr>
      </w:pPr>
    </w:p>
    <w:p w:rsidR="00BD2455" w:rsidRDefault="00BD2455" w:rsidP="00FC6E51">
      <w:pPr>
        <w:spacing w:after="120" w:line="240" w:lineRule="auto"/>
        <w:jc w:val="center"/>
        <w:rPr>
          <w:rFonts w:ascii="Times New Roman" w:eastAsia="Calibri" w:hAnsi="Times New Roman" w:cs="Times New Roman"/>
          <w:b/>
          <w:iCs/>
          <w:noProof/>
          <w:sz w:val="24"/>
          <w:lang w:val="sr-Latn-RS"/>
        </w:rPr>
      </w:pPr>
    </w:p>
    <w:p w:rsidR="00B3166C" w:rsidRPr="00E15BE2" w:rsidRDefault="00B3166C" w:rsidP="00FC6E51">
      <w:pPr>
        <w:spacing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b/>
          <w:iCs/>
          <w:noProof/>
          <w:sz w:val="24"/>
          <w:lang w:val="sr-Latn-RS"/>
        </w:rPr>
        <w:t>Члан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 xml:space="preserve"> 3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Cyrl-RS"/>
        </w:rPr>
        <w:t>.</w:t>
      </w:r>
    </w:p>
    <w:p w:rsidR="00B3166C" w:rsidRPr="00E15BE2" w:rsidRDefault="00B3166C" w:rsidP="00515994">
      <w:pPr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>Финансијски допринос</w:t>
      </w:r>
    </w:p>
    <w:p w:rsidR="00B3166C" w:rsidRPr="00E15BE2" w:rsidRDefault="00B3166C" w:rsidP="00B3166C">
      <w:pPr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4"/>
        </w:rPr>
      </w:pP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1.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Учешће Србије или правних лица из Србије у програму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подлеже финансијском доприносу Србије у корист Програма и повезаних трошкова руковођења, извршења и оперативних трошкова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 оквиру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опште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г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буџет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Уније (у даљем тексту: буџет Уније). Правила која дефинишу финансијски допринос Србије су наведена у Анексу 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>I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2.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Финансијски допринос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има облик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следећег износа</w:t>
      </w:r>
      <w:r w:rsidRPr="00E15BE2">
        <w:rPr>
          <w:rFonts w:ascii="Times New Roman" w:eastAsia="Calibri" w:hAnsi="Times New Roman" w:cs="Times New Roman"/>
          <w:noProof/>
          <w:sz w:val="24"/>
        </w:rPr>
        <w:t>:</w:t>
      </w:r>
    </w:p>
    <w:p w:rsidR="00B3166C" w:rsidRPr="00E15BE2" w:rsidRDefault="00B3166C" w:rsidP="00B3166C">
      <w:pPr>
        <w:spacing w:before="120" w:after="120" w:line="240" w:lineRule="auto"/>
        <w:ind w:left="1417" w:hanging="567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оперативни допринос; и</w:t>
      </w:r>
    </w:p>
    <w:p w:rsidR="00B3166C" w:rsidRPr="00E15BE2" w:rsidRDefault="00B3166C" w:rsidP="00B3166C">
      <w:pPr>
        <w:spacing w:before="120" w:after="120" w:line="240" w:lineRule="auto"/>
        <w:ind w:left="1417" w:hanging="567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б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накнада за учешће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3.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Times New Roman" w:hAnsi="Times New Roman" w:cs="Times New Roman"/>
          <w:sz w:val="24"/>
          <w:lang w:val="sr-Latn-RS"/>
        </w:rPr>
        <w:t xml:space="preserve">Финансијски допринос </w:t>
      </w:r>
      <w:r w:rsidRPr="00E15BE2">
        <w:rPr>
          <w:rFonts w:ascii="Times New Roman" w:eastAsia="Times New Roman" w:hAnsi="Times New Roman" w:cs="Times New Roman"/>
          <w:sz w:val="24"/>
          <w:lang w:val="sr-Cyrl-RS"/>
        </w:rPr>
        <w:t>има облик</w:t>
      </w:r>
      <w:r w:rsidRPr="00E15BE2">
        <w:rPr>
          <w:rFonts w:ascii="Times New Roman" w:eastAsia="Times New Roman" w:hAnsi="Times New Roman" w:cs="Times New Roman"/>
          <w:sz w:val="24"/>
          <w:lang w:val="sr-Latn-RS"/>
        </w:rPr>
        <w:t xml:space="preserve"> годишње уплате у једној</w:t>
      </w:r>
      <w:r w:rsidRPr="00E15BE2">
        <w:rPr>
          <w:rFonts w:ascii="Times New Roman" w:eastAsia="Times New Roman" w:hAnsi="Times New Roman" w:cs="Times New Roman"/>
          <w:spacing w:val="1"/>
          <w:sz w:val="24"/>
          <w:lang w:val="sr-Latn-RS"/>
        </w:rPr>
        <w:t xml:space="preserve"> </w:t>
      </w:r>
      <w:r w:rsidRPr="00E15BE2">
        <w:rPr>
          <w:rFonts w:ascii="Times New Roman" w:eastAsia="Times New Roman" w:hAnsi="Times New Roman" w:cs="Times New Roman"/>
          <w:sz w:val="24"/>
          <w:lang w:val="sr-Latn-RS"/>
        </w:rPr>
        <w:t>рати,</w:t>
      </w:r>
      <w:r w:rsidRPr="00E15BE2">
        <w:rPr>
          <w:rFonts w:ascii="Times New Roman" w:eastAsia="Times New Roman" w:hAnsi="Times New Roman" w:cs="Times New Roman"/>
          <w:spacing w:val="-1"/>
          <w:sz w:val="24"/>
          <w:lang w:val="sr-Latn-RS"/>
        </w:rPr>
        <w:t xml:space="preserve"> </w:t>
      </w:r>
      <w:r w:rsidRPr="00E15BE2">
        <w:rPr>
          <w:rFonts w:ascii="Times New Roman" w:eastAsia="Times New Roman" w:hAnsi="Times New Roman" w:cs="Times New Roman"/>
          <w:sz w:val="24"/>
          <w:lang w:val="sr-Latn-RS"/>
        </w:rPr>
        <w:t>и на плаћање доспева најкасније у мају.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 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4.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Оперативни допринос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обухвата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оперативне трошкове и трошкове подршке Програма 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додаје се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апропријацијама за преузете обавезе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за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плаћања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на износе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утврђене буџетом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Уније који су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коначно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усвојени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за програм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5.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Оперативни допринос се заснива на кључу за допринос који је дефинисан као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однос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бруто домаћег производа (БДП) Србије по тржишним ценама и БДП-а Уније по тржишним ценама. БДП по тржишним ценама кој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 треба применити утврђују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посебне службе Комисије на основу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најновијих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података који су доступни за израчунавање буџета у години пре године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 којој доспева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годишње плаћање.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Корекције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овог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кључ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за допринос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су утврђене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Анексу 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>I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C63204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6.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Оперативни допринос се израчунава применом кључа доприноса,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према корекцији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на апропријације за преузете обавезе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утврђене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буџет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ом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Европске уније који 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коначно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усвојен за одговарајућу годину за финансирање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B3166C" w:rsidRPr="00E15BE2" w:rsidRDefault="00B3166C" w:rsidP="00C63204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7.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Накнада за учешће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износи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4% годишњег почетног оперативног доприноса израчунатог у складу са ст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5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 6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овог члана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уводи се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постепено као што је наведено у Анексу 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>I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. Накнада за учешће не подлеже ретроактивним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корекцијама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или исправкама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C63204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8.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Унија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обезбеђује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Србији информације у вези са њеним финансијским учешћем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које су укључене 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информациј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ама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вези са буџетом, рачуноводством, учинком и евалуацијом које се достављају органима Уније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за буџетско извршење и завршно извештавање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вези са програмом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. Те информације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пружају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уз дужно поштовање правила о поверљивости и заштити података Уније и Србије и не доводе у питање информације које Србија има право да добије према Анексу 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>II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C63204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9.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Сви доприноси Србије или уплате из Уније, као и обрачун износа који доспевају или ће бити примљени, врше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се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еврима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Default="00B3166C" w:rsidP="00595862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</w:pPr>
    </w:p>
    <w:p w:rsidR="009916B8" w:rsidRDefault="009916B8" w:rsidP="00595862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</w:pPr>
    </w:p>
    <w:p w:rsidR="00B3166C" w:rsidRPr="00E15BE2" w:rsidRDefault="00B3166C" w:rsidP="00595862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  <w:t>Члан 4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  <w:t>.</w:t>
      </w:r>
    </w:p>
    <w:p w:rsidR="00B3166C" w:rsidRPr="00E15BE2" w:rsidRDefault="00B3166C" w:rsidP="00B3166C">
      <w:pPr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>Праћење, извештавање и евалуација</w:t>
      </w:r>
    </w:p>
    <w:p w:rsidR="00B3166C" w:rsidRPr="00E15BE2" w:rsidRDefault="00B3166C" w:rsidP="00C63204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1.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Не доводећи у питање одговорности Комисије, Европске канцеларије за борбу против превара (ОЛАФ) и Европског ревизорског суда, у вези са праћењем и евалуацијом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учешће Србије у програму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се континуирано прати на партнерској основи што укључује Комисију и Србију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B3166C" w:rsidRPr="00E15BE2" w:rsidRDefault="00B3166C" w:rsidP="00C63204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2.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Правила у вези са добрим финансијским управљањем, укључују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и финансијску контролу, повраћај средстава и друге мере против превара у вези са финансирањем Уније према овом споразуму, утврђена су у Анексу 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>II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Default="00B3166C" w:rsidP="00595862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</w:pPr>
    </w:p>
    <w:p w:rsidR="009916B8" w:rsidRDefault="009916B8" w:rsidP="00595862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</w:pPr>
    </w:p>
    <w:p w:rsidR="00B3166C" w:rsidRPr="00E15BE2" w:rsidRDefault="00B3166C" w:rsidP="00595862">
      <w:pPr>
        <w:keepNext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  <w:t>Члан 5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Cyrl-RS"/>
        </w:rPr>
        <w:t>.</w:t>
      </w:r>
    </w:p>
    <w:p w:rsidR="00B3166C" w:rsidRPr="00E15BE2" w:rsidRDefault="00B3166C" w:rsidP="00B3166C">
      <w:pPr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lang w:val="sr-Cyrl-RS"/>
        </w:rPr>
        <w:t>Завршне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 xml:space="preserve"> одредбе</w:t>
      </w:r>
    </w:p>
    <w:p w:rsidR="00B3166C" w:rsidRPr="00E15BE2" w:rsidRDefault="00B3166C" w:rsidP="004E6146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1.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Овај споразум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ступа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на снагу на дан када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тране обавесте једна другу о завршетку својих интерних процедура у ту сврху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B3166C" w:rsidRPr="00E15BE2" w:rsidRDefault="00B3166C" w:rsidP="004E6146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2.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Овај споразум се примењ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од 1. јануара 202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3.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године.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Споразум остаје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на снази онолико дуго колико је потребно за све пројекте и активности финансиране из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, све радње неопходне за заштиту финансијских интереса Европске уније и све финансијске обавезе које проистичу из спровођења овог споразума између Страна које треба завршити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B3166C" w:rsidRPr="00E15BE2" w:rsidRDefault="00B3166C" w:rsidP="004E6146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  <w:lang w:bidi="en-US"/>
        </w:rPr>
      </w:pPr>
      <w:r w:rsidRPr="00E15BE2">
        <w:rPr>
          <w:rFonts w:ascii="Times New Roman" w:eastAsia="Calibri" w:hAnsi="Times New Roman" w:cs="Times New Roman"/>
          <w:sz w:val="24"/>
        </w:rPr>
        <w:t>3.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 xml:space="preserve">Европска унија и Србија могу </w:t>
      </w:r>
      <w:r w:rsidRPr="00E15BE2">
        <w:rPr>
          <w:rFonts w:ascii="Times New Roman" w:eastAsia="Calibri" w:hAnsi="Times New Roman" w:cs="Times New Roman"/>
          <w:noProof/>
          <w:sz w:val="24"/>
          <w:lang w:val="sr-Cyrl-RS" w:bidi="en-US"/>
        </w:rPr>
        <w:t>привремено</w:t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 xml:space="preserve"> применити овај споразум у складу са својим интерним процедурама и законодавством. </w:t>
      </w:r>
      <w:r w:rsidRPr="00E15BE2">
        <w:rPr>
          <w:rFonts w:ascii="Times New Roman" w:eastAsia="Calibri" w:hAnsi="Times New Roman" w:cs="Times New Roman"/>
          <w:noProof/>
          <w:sz w:val="24"/>
          <w:lang w:val="sr-Cyrl-RS" w:bidi="en-US"/>
        </w:rPr>
        <w:t>Привремена</w:t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 xml:space="preserve"> примена почиње од дана када су </w:t>
      </w:r>
      <w:r w:rsidRPr="00E15BE2">
        <w:rPr>
          <w:rFonts w:ascii="Times New Roman" w:eastAsia="Calibri" w:hAnsi="Times New Roman" w:cs="Times New Roman"/>
          <w:noProof/>
          <w:sz w:val="24"/>
          <w:lang w:val="sr-Cyrl-RS" w:bidi="en-U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 w:bidi="en-US"/>
        </w:rPr>
        <w:t>тране обавестиле једна другу о завршетку својих интерних процедура неопходних у ту сврху</w:t>
      </w:r>
      <w:r w:rsidRPr="00E15BE2">
        <w:rPr>
          <w:rFonts w:ascii="Times New Roman" w:eastAsia="Calibri" w:hAnsi="Times New Roman" w:cs="Times New Roman"/>
          <w:noProof/>
          <w:sz w:val="24"/>
          <w:lang w:bidi="en-US"/>
        </w:rPr>
        <w:t xml:space="preserve">. 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4.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Уколико Србија обавести Комисију која наступа у име Уније да неће завршити своје интерне процедуре неопходне за ступање на снагу овог споразума, овај споразум престаје да се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привремено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примењује на дан када Комисија прими ово обавештење, који представља датум престанка у сврху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4E6146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5.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Европска унија може обуставити примену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поразума у случају непла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ања финансијског доприноса који Србија дугује, како је описано у тачки 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>II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Анекса 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>I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hd w:val="clear" w:color="auto" w:fill="FFFFFF"/>
        <w:autoSpaceDE w:val="0"/>
        <w:autoSpaceDN w:val="0"/>
        <w:spacing w:before="120" w:after="120" w:line="240" w:lineRule="auto"/>
        <w:ind w:left="851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Комисија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обавештава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Србију о суспензији примене овог споразума званичним писмом обавештења, које ступа на снагу 15 дана након што Србија прими поменуто обавештење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. </w:t>
      </w:r>
    </w:p>
    <w:p w:rsidR="00B3166C" w:rsidRPr="00E15BE2" w:rsidRDefault="00B3166C" w:rsidP="00B3166C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У случају да се примена овог споразума суспендује, правна лица основана у Србији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немају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право да учествују у поступцима доделе који још нису завршени када суспензија ступи на снагу. Поступак доделе сматра се завршеним када су преузете законске обавезе као резултат тог поступка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1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Суспензија не утиче на правне обавезе преузете пре него што је суспензија ступила на снагу. Овај споразум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наставља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да се примењује на такве правне обавезе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1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Европска унија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обавештава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Србију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без одлагања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када Комисија прими цео износ дугованог финансијског доприноса. Суспензија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се укида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са тренутним дејством након овог обавештења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.</w:t>
      </w:r>
    </w:p>
    <w:p w:rsidR="00B3166C" w:rsidRPr="00E15BE2" w:rsidRDefault="00B3166C" w:rsidP="00B3166C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noProof/>
          <w:sz w:val="24"/>
          <w:szCs w:val="24"/>
          <w:lang w:val="en-US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Од дана укидања суспензије, правна лица Србије поново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испуњавају услове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у поступцима доделе који су покренути после овог датума и у поступцима доделе који су покренути пре овог датума, за које нису истекли рокови за подношење пријава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.</w:t>
      </w:r>
    </w:p>
    <w:p w:rsidR="00B3166C" w:rsidRPr="00E15BE2" w:rsidRDefault="00B3166C" w:rsidP="001323ED">
      <w:pPr>
        <w:spacing w:before="120" w:after="120" w:line="240" w:lineRule="auto"/>
        <w:ind w:left="851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6.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Свака Страна може да раскине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 у било ком тренутку обавештењем у писаној форми о намери да га раскине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1323ED">
      <w:pPr>
        <w:spacing w:before="120" w:after="120" w:line="240" w:lineRule="auto"/>
        <w:ind w:left="851" w:hanging="13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</w:rPr>
        <w:t xml:space="preserve"> 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Раскид ступа на снагу три календарска месеца од датума када обавештење у писаној форми стигне до примаоца. Датум на који раскид ступа на снагу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представља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датум раскида у смислу овог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поразума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</w:rPr>
        <w:t>.</w:t>
      </w:r>
    </w:p>
    <w:p w:rsidR="00B3166C" w:rsidRPr="00E15BE2" w:rsidRDefault="00B3166C" w:rsidP="001323ED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 xml:space="preserve">7. </w:t>
      </w:r>
      <w:r w:rsidRPr="00E15BE2">
        <w:rPr>
          <w:rFonts w:ascii="Times New Roman" w:eastAsia="Calibri" w:hAnsi="Times New Roman" w:cs="Times New Roman"/>
          <w:noProof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Када овај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поразум престане да се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привремено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примењује у складу са ставом 5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или буде раскинут у складу са ставом 6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 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тране су сагласне да</w:t>
      </w:r>
      <w:r w:rsidRPr="00E15BE2">
        <w:rPr>
          <w:rFonts w:ascii="Times New Roman" w:eastAsia="Calibri" w:hAnsi="Times New Roman" w:cs="Times New Roman"/>
          <w:noProof/>
          <w:sz w:val="24"/>
        </w:rPr>
        <w:t>:</w:t>
      </w:r>
    </w:p>
    <w:p w:rsidR="00B3166C" w:rsidRPr="00E15BE2" w:rsidRDefault="00B3166C" w:rsidP="001323ED">
      <w:pPr>
        <w:spacing w:before="120" w:after="120" w:line="240" w:lineRule="auto"/>
        <w:ind w:left="1418" w:hanging="567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пројекти или активности у вези са којима су преузете правне обавезе током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привремене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примене и/или након ступања на снагу овог споразума, и пре него што овај споразум престане да се примењује или буде раскинут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се настављају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до њиховог завршетка под условима који су утврђени овим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поразумом</w:t>
      </w:r>
      <w:r w:rsidRPr="00E15BE2">
        <w:rPr>
          <w:rFonts w:ascii="Times New Roman" w:eastAsia="Calibri" w:hAnsi="Times New Roman" w:cs="Times New Roman"/>
          <w:noProof/>
          <w:sz w:val="24"/>
        </w:rPr>
        <w:t>;</w:t>
      </w:r>
    </w:p>
    <w:p w:rsidR="00B3166C" w:rsidRPr="00E15BE2" w:rsidRDefault="00B3166C" w:rsidP="001323ED">
      <w:pPr>
        <w:spacing w:before="120" w:after="120" w:line="240" w:lineRule="auto"/>
        <w:ind w:left="1418" w:hanging="567"/>
        <w:jc w:val="both"/>
        <w:rPr>
          <w:rFonts w:ascii="Times New Roman" w:eastAsia="Calibri" w:hAnsi="Times New Roman" w:cs="Times New Roman"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б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годишњи финансијски допринос за годину </w:t>
      </w:r>
      <w:r w:rsidRPr="00E15BE2">
        <w:rPr>
          <w:rFonts w:ascii="Times New Roman" w:eastAsia="Calibri" w:hAnsi="Times New Roman" w:cs="Times New Roman"/>
          <w:noProof/>
          <w:sz w:val="24"/>
          <w:lang w:val="en-US"/>
        </w:rPr>
        <w:t xml:space="preserve">N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током које овај споразум престаје да се примењује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привремено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или је раскинут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се плаћа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 складу са чланом 3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  <w:r w:rsidR="00101738">
        <w:rPr>
          <w:rFonts w:ascii="Times New Roman" w:eastAsia="Calibri" w:hAnsi="Times New Roman" w:cs="Times New Roman"/>
          <w:noProof/>
          <w:sz w:val="24"/>
          <w:lang w:val="sr-Cyrl-RS"/>
        </w:rPr>
        <w:t>овог споразума;</w:t>
      </w:r>
    </w:p>
    <w:p w:rsidR="00B3166C" w:rsidRDefault="00B3166C" w:rsidP="001323ED">
      <w:pPr>
        <w:spacing w:before="120" w:after="120" w:line="240" w:lineRule="auto"/>
        <w:ind w:left="1418" w:hanging="567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ц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након године током које овај споразум престане да се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привремено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примењује, Србија, у случају приступа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ња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или рада на Заједничкој комуникационој мрежи/интерфејсу заједничког система (CCN/CSI) и њеним апликацијама,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плаћа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годишње трошкове исте, као свака земља која није придружена програму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8F2FDB" w:rsidRPr="00E15BE2" w:rsidRDefault="008F2FDB" w:rsidP="001323ED">
      <w:pPr>
        <w:spacing w:before="120" w:after="120" w:line="240" w:lineRule="auto"/>
        <w:ind w:left="1418" w:hanging="567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B3166C">
      <w:pPr>
        <w:spacing w:before="120" w:after="120" w:line="240" w:lineRule="auto"/>
        <w:ind w:left="1417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Комисија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обавештава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Србију о трошковима приступа и функционисања CCN/CSI и њених апликација што је пре могуће, а најкасније приликом објављивања првог позива за средства у финансијској години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 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Стране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уз заједничку сагласност решавају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све друге последице раскида или престанка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привремене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примене овог споразума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>8.</w:t>
      </w:r>
      <w:r w:rsidRPr="00E15BE2">
        <w:rPr>
          <w:rFonts w:ascii="Times New Roman" w:eastAsia="Calibri" w:hAnsi="Times New Roman" w:cs="Times New Roman"/>
          <w:noProof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Анекси представљају саставни део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A87EFF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t>9.</w:t>
      </w:r>
      <w:r w:rsidRPr="00E15BE2">
        <w:rPr>
          <w:rFonts w:ascii="Times New Roman" w:eastAsia="Calibri" w:hAnsi="Times New Roman" w:cs="Times New Roman"/>
          <w:noProof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Овај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 се може изменити само у писаној форми уз заједничку сагласност Страна. Ступањем на снагу измена и допуна следи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е се иста процедура која се примењује за ступање на снагу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A87EFF">
      <w:p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A87EFF">
      <w:pPr>
        <w:tabs>
          <w:tab w:val="left" w:pos="482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0C1F95">
      <w:pPr>
        <w:tabs>
          <w:tab w:val="left" w:pos="144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Сачињено у два примерка на енглеском језику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280"/>
        <w:gridCol w:w="4483"/>
      </w:tblGrid>
      <w:tr w:rsidR="001C2A96" w:rsidRPr="00E15BE2" w:rsidTr="00B33B50">
        <w:tc>
          <w:tcPr>
            <w:tcW w:w="4263" w:type="dxa"/>
            <w:tcBorders>
              <w:bottom w:val="single" w:sz="4" w:space="0" w:color="auto"/>
            </w:tcBorders>
            <w:shd w:val="clear" w:color="auto" w:fill="auto"/>
          </w:tcPr>
          <w:p w:rsidR="001C2A96" w:rsidRDefault="001C2A96" w:rsidP="00B33B50">
            <w:pPr>
              <w:spacing w:before="240" w:after="0" w:line="240" w:lineRule="auto"/>
              <w:ind w:left="-142" w:right="-108" w:firstLine="142"/>
              <w:jc w:val="center"/>
              <w:rPr>
                <w:rFonts w:ascii="Times New Roman" w:eastAsia="Calibri" w:hAnsi="Times New Roman" w:cs="Times New Roman"/>
                <w:b/>
                <w:caps/>
                <w:noProof/>
                <w:sz w:val="24"/>
                <w:lang w:val="sr-Latn-RS"/>
              </w:rPr>
            </w:pPr>
            <w:r w:rsidRPr="00E15BE2">
              <w:rPr>
                <w:rFonts w:ascii="Times New Roman" w:eastAsia="Calibri" w:hAnsi="Times New Roman" w:cs="Times New Roman"/>
                <w:noProof/>
                <w:sz w:val="24"/>
                <w:lang w:val="sr-Cyrl-RS"/>
              </w:rPr>
              <w:t>Сачињено у</w:t>
            </w:r>
            <w:r w:rsidRPr="00E15BE2">
              <w:rPr>
                <w:rFonts w:ascii="Times New Roman" w:eastAsia="Calibri" w:hAnsi="Times New Roman" w:cs="Times New Roman"/>
                <w:noProof/>
                <w:sz w:val="24"/>
                <w:lang w:val="sr-Latn-RS"/>
              </w:rPr>
              <w:t xml:space="preserve"> </w:t>
            </w:r>
            <w:r w:rsidRPr="00E15BE2">
              <w:rPr>
                <w:rFonts w:ascii="Times New Roman" w:eastAsia="Calibri" w:hAnsi="Times New Roman" w:cs="Times New Roman"/>
                <w:noProof/>
                <w:sz w:val="24"/>
                <w:lang w:val="sr-Cyrl-RS"/>
              </w:rPr>
              <w:t>Бриселу</w:t>
            </w:r>
            <w:r>
              <w:rPr>
                <w:rFonts w:ascii="Times New Roman" w:eastAsia="Calibri" w:hAnsi="Times New Roman" w:cs="Times New Roman"/>
                <w:noProof/>
                <w:sz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4"/>
                <w:u w:val="dotted"/>
                <w:lang w:val="sr-Cyrl-CS"/>
              </w:rPr>
              <w:t>5. јуна 2023.</w:t>
            </w:r>
            <w:r w:rsidRPr="00FC38B3">
              <w:rPr>
                <w:rFonts w:ascii="Times New Roman" w:eastAsia="Calibri" w:hAnsi="Times New Roman" w:cs="Times New Roman"/>
                <w:noProof/>
                <w:sz w:val="24"/>
                <w:lang w:val="sr-Cyrl-CS"/>
              </w:rPr>
              <w:t xml:space="preserve"> године</w:t>
            </w:r>
            <w:r w:rsidRPr="00E15BE2">
              <w:rPr>
                <w:rFonts w:ascii="Times New Roman" w:eastAsia="Calibri" w:hAnsi="Times New Roman" w:cs="Times New Roman"/>
                <w:noProof/>
                <w:sz w:val="24"/>
                <w:lang w:val="sr-Cyrl-CS"/>
              </w:rPr>
              <w:t xml:space="preserve">  </w:t>
            </w:r>
          </w:p>
          <w:p w:rsidR="001C2A96" w:rsidRPr="00E15BE2" w:rsidRDefault="001C2A96" w:rsidP="00B33B50">
            <w:pPr>
              <w:spacing w:before="240" w:after="0" w:line="240" w:lineRule="auto"/>
              <w:ind w:left="-142" w:right="-108" w:firstLine="142"/>
              <w:jc w:val="center"/>
              <w:rPr>
                <w:rFonts w:ascii="Times New Roman" w:eastAsia="Calibri" w:hAnsi="Times New Roman" w:cs="Times New Roman"/>
                <w:b/>
                <w:caps/>
                <w:noProof/>
                <w:sz w:val="24"/>
                <w:lang w:val="sr-Cyrl-RS"/>
              </w:rPr>
            </w:pPr>
            <w:r w:rsidRPr="00E15BE2">
              <w:rPr>
                <w:rFonts w:ascii="Times New Roman" w:eastAsia="Calibri" w:hAnsi="Times New Roman" w:cs="Times New Roman"/>
                <w:b/>
                <w:caps/>
                <w:noProof/>
                <w:sz w:val="24"/>
                <w:lang w:val="sr-Latn-RS"/>
              </w:rPr>
              <w:t xml:space="preserve">ЗА </w:t>
            </w:r>
            <w:r w:rsidRPr="00E15BE2">
              <w:rPr>
                <w:rFonts w:ascii="Times New Roman" w:eastAsia="Calibri" w:hAnsi="Times New Roman" w:cs="Times New Roman"/>
                <w:b/>
                <w:caps/>
                <w:noProof/>
                <w:sz w:val="24"/>
                <w:lang w:val="sr-Cyrl-RS"/>
              </w:rPr>
              <w:t>ЕВРОПСКУ УНИЈУ</w:t>
            </w:r>
          </w:p>
          <w:p w:rsidR="001C2A96" w:rsidRPr="00E15BE2" w:rsidRDefault="001C2A96" w:rsidP="00B33B50">
            <w:pPr>
              <w:tabs>
                <w:tab w:val="left" w:pos="1440"/>
              </w:tabs>
              <w:spacing w:before="240" w:after="0" w:line="240" w:lineRule="auto"/>
              <w:rPr>
                <w:rFonts w:ascii="Times New Roman" w:eastAsia="Calibri" w:hAnsi="Times New Roman" w:cs="Times New Roman"/>
                <w:b/>
                <w:caps/>
                <w:noProof/>
                <w:sz w:val="20"/>
                <w:szCs w:val="20"/>
              </w:rPr>
            </w:pPr>
          </w:p>
          <w:p w:rsidR="001C2A96" w:rsidRPr="00E15BE2" w:rsidRDefault="001C2A96" w:rsidP="00B33B50">
            <w:pPr>
              <w:tabs>
                <w:tab w:val="left" w:pos="1440"/>
              </w:tabs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caps/>
                <w:noProof/>
                <w:sz w:val="24"/>
              </w:rPr>
            </w:pPr>
          </w:p>
        </w:tc>
        <w:tc>
          <w:tcPr>
            <w:tcW w:w="280" w:type="dxa"/>
            <w:shd w:val="clear" w:color="auto" w:fill="auto"/>
          </w:tcPr>
          <w:p w:rsidR="001C2A96" w:rsidRPr="00E15BE2" w:rsidRDefault="001C2A96" w:rsidP="00B33B50">
            <w:pPr>
              <w:tabs>
                <w:tab w:val="left" w:pos="1440"/>
              </w:tabs>
              <w:spacing w:before="240"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</w:rPr>
            </w:pPr>
          </w:p>
        </w:tc>
        <w:tc>
          <w:tcPr>
            <w:tcW w:w="4483" w:type="dxa"/>
            <w:tcBorders>
              <w:bottom w:val="single" w:sz="4" w:space="0" w:color="auto"/>
            </w:tcBorders>
            <w:shd w:val="clear" w:color="auto" w:fill="auto"/>
          </w:tcPr>
          <w:p w:rsidR="001C2A96" w:rsidRDefault="001C2A96" w:rsidP="00B33B50">
            <w:pPr>
              <w:tabs>
                <w:tab w:val="left" w:pos="1440"/>
              </w:tabs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noProof/>
                <w:sz w:val="24"/>
                <w:lang w:val="sr-Latn-RS"/>
              </w:rPr>
            </w:pPr>
            <w:r w:rsidRPr="00E15BE2">
              <w:rPr>
                <w:rFonts w:ascii="Times New Roman" w:eastAsia="Calibri" w:hAnsi="Times New Roman" w:cs="Times New Roman"/>
                <w:noProof/>
                <w:sz w:val="24"/>
                <w:lang w:val="sr-Cyrl-RS"/>
              </w:rPr>
              <w:t>Сачињено у</w:t>
            </w:r>
            <w:r w:rsidRPr="00E15BE2">
              <w:rPr>
                <w:rFonts w:ascii="Times New Roman" w:eastAsia="Calibri" w:hAnsi="Times New Roman" w:cs="Times New Roman"/>
                <w:noProof/>
                <w:sz w:val="24"/>
                <w:lang w:val="sr-Latn-RS"/>
              </w:rPr>
              <w:t xml:space="preserve"> Београду</w:t>
            </w:r>
            <w:r w:rsidRPr="00777545">
              <w:rPr>
                <w:rFonts w:ascii="Times New Roman" w:eastAsia="Calibri" w:hAnsi="Times New Roman" w:cs="Times New Roman"/>
                <w:noProof/>
                <w:sz w:val="24"/>
                <w:lang w:val="sr-Latn-RS"/>
              </w:rPr>
              <w:t xml:space="preserve"> </w:t>
            </w:r>
            <w:r w:rsidRPr="0094641B">
              <w:rPr>
                <w:rFonts w:ascii="Times New Roman" w:eastAsia="Calibri" w:hAnsi="Times New Roman" w:cs="Times New Roman"/>
                <w:noProof/>
                <w:sz w:val="24"/>
                <w:u w:val="dotted"/>
                <w:lang w:val="sr-Cyrl-CS"/>
              </w:rPr>
              <w:t>5.</w:t>
            </w:r>
            <w:r>
              <w:rPr>
                <w:rFonts w:ascii="Times New Roman" w:eastAsia="Calibri" w:hAnsi="Times New Roman" w:cs="Times New Roman"/>
                <w:noProof/>
                <w:sz w:val="24"/>
                <w:u w:val="dotted"/>
                <w:lang w:val="sr-Cyrl-CS"/>
              </w:rPr>
              <w:t xml:space="preserve"> октобра </w:t>
            </w:r>
            <w:r w:rsidRPr="0094641B">
              <w:rPr>
                <w:rFonts w:ascii="Times New Roman" w:eastAsia="Calibri" w:hAnsi="Times New Roman" w:cs="Times New Roman"/>
                <w:noProof/>
                <w:sz w:val="24"/>
                <w:u w:val="dotted"/>
                <w:lang w:val="sr-Cyrl-CS"/>
              </w:rPr>
              <w:t>2023</w:t>
            </w:r>
            <w:r w:rsidRPr="00F4027A">
              <w:rPr>
                <w:rFonts w:ascii="Times New Roman" w:eastAsia="Calibri" w:hAnsi="Times New Roman" w:cs="Times New Roman"/>
                <w:noProof/>
                <w:sz w:val="24"/>
                <w:u w:val="dotted"/>
                <w:lang w:val="sr-Cyrl-CS"/>
              </w:rPr>
              <w:t>.</w:t>
            </w:r>
            <w:r w:rsidRPr="00FC38B3">
              <w:rPr>
                <w:rFonts w:ascii="Times New Roman" w:eastAsia="Calibri" w:hAnsi="Times New Roman" w:cs="Times New Roman"/>
                <w:noProof/>
                <w:sz w:val="24"/>
                <w:lang w:val="sr-Cyrl-CS"/>
              </w:rPr>
              <w:t xml:space="preserve"> године</w:t>
            </w:r>
          </w:p>
          <w:p w:rsidR="001C2A96" w:rsidRPr="00E15BE2" w:rsidRDefault="001C2A96" w:rsidP="00B33B50">
            <w:pPr>
              <w:tabs>
                <w:tab w:val="left" w:pos="1440"/>
              </w:tabs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noProof/>
                <w:sz w:val="24"/>
              </w:rPr>
            </w:pPr>
            <w:r w:rsidRPr="00E15BE2">
              <w:rPr>
                <w:rFonts w:ascii="Times New Roman" w:eastAsia="Calibri" w:hAnsi="Times New Roman" w:cs="Times New Roman"/>
                <w:b/>
                <w:bCs/>
                <w:caps/>
                <w:noProof/>
                <w:sz w:val="24"/>
                <w:lang w:val="sr-Latn-RS"/>
              </w:rPr>
              <w:t xml:space="preserve">ЗА </w:t>
            </w:r>
            <w:r w:rsidRPr="00E15BE2">
              <w:rPr>
                <w:rFonts w:ascii="Times New Roman" w:eastAsia="Calibri" w:hAnsi="Times New Roman" w:cs="Times New Roman"/>
                <w:b/>
                <w:bCs/>
                <w:caps/>
                <w:noProof/>
                <w:sz w:val="24"/>
                <w:lang w:val="sr-Cyrl-RS"/>
              </w:rPr>
              <w:t>ВЛАДУ РЕПУБЛИКЕ СРБИЈЕ</w:t>
            </w:r>
          </w:p>
        </w:tc>
      </w:tr>
      <w:tr w:rsidR="001C2A96" w:rsidRPr="00E15BE2" w:rsidTr="00B33B50">
        <w:trPr>
          <w:trHeight w:val="40"/>
        </w:trPr>
        <w:tc>
          <w:tcPr>
            <w:tcW w:w="4263" w:type="dxa"/>
            <w:tcBorders>
              <w:top w:val="single" w:sz="4" w:space="0" w:color="auto"/>
            </w:tcBorders>
            <w:shd w:val="clear" w:color="auto" w:fill="auto"/>
          </w:tcPr>
          <w:p w:rsidR="001C2A96" w:rsidRPr="00E15BE2" w:rsidRDefault="001C2A96" w:rsidP="00B33B50">
            <w:pPr>
              <w:widowControl w:val="0"/>
              <w:autoSpaceDE w:val="0"/>
              <w:autoSpaceDN w:val="0"/>
              <w:spacing w:before="120" w:after="0" w:line="240" w:lineRule="auto"/>
              <w:ind w:left="511" w:right="51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sr-Latn-RS"/>
              </w:rPr>
            </w:pPr>
            <w:r w:rsidRPr="00E15BE2">
              <w:rPr>
                <w:rFonts w:ascii="Times New Roman" w:eastAsia="Times New Roman" w:hAnsi="Times New Roman" w:cs="Times New Roman"/>
                <w:b/>
                <w:sz w:val="24"/>
                <w:lang w:val="sr-Cyrl-RS"/>
              </w:rPr>
              <w:t>Герасимос ТОМАС</w:t>
            </w:r>
          </w:p>
          <w:p w:rsidR="001C2A96" w:rsidRPr="00E15BE2" w:rsidRDefault="001C2A96" w:rsidP="00B33B5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sr-Cyrl-RS"/>
              </w:rPr>
            </w:pPr>
            <w:r w:rsidRPr="00E15BE2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Директор за порезе и царинску </w:t>
            </w:r>
          </w:p>
          <w:p w:rsidR="001C2A96" w:rsidRPr="00E15BE2" w:rsidRDefault="001C2A96" w:rsidP="00B33B5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sr-Cyrl-RS"/>
              </w:rPr>
            </w:pPr>
            <w:r w:rsidRPr="00E15BE2">
              <w:rPr>
                <w:rFonts w:ascii="Times New Roman" w:eastAsia="Calibri" w:hAnsi="Times New Roman" w:cs="Times New Roman"/>
                <w:sz w:val="24"/>
                <w:lang w:val="sr-Cyrl-RS"/>
              </w:rPr>
              <w:t>унију</w:t>
            </w:r>
          </w:p>
          <w:p w:rsidR="001C2A96" w:rsidRPr="00E15BE2" w:rsidRDefault="001C2A96" w:rsidP="00B33B50">
            <w:pPr>
              <w:tabs>
                <w:tab w:val="left" w:pos="1440"/>
              </w:tabs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aps/>
                <w:noProof/>
                <w:sz w:val="24"/>
                <w:lang w:val="en-US"/>
              </w:rPr>
            </w:pPr>
          </w:p>
        </w:tc>
        <w:tc>
          <w:tcPr>
            <w:tcW w:w="280" w:type="dxa"/>
            <w:shd w:val="clear" w:color="auto" w:fill="auto"/>
          </w:tcPr>
          <w:p w:rsidR="001C2A96" w:rsidRPr="00E15BE2" w:rsidRDefault="001C2A96" w:rsidP="00B33B5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lang w:val="en-US"/>
              </w:rPr>
            </w:pPr>
          </w:p>
        </w:tc>
        <w:tc>
          <w:tcPr>
            <w:tcW w:w="4483" w:type="dxa"/>
            <w:tcBorders>
              <w:top w:val="single" w:sz="4" w:space="0" w:color="auto"/>
            </w:tcBorders>
            <w:shd w:val="clear" w:color="auto" w:fill="auto"/>
          </w:tcPr>
          <w:p w:rsidR="001C2A96" w:rsidRPr="00E15BE2" w:rsidRDefault="001C2A96" w:rsidP="00B33B50">
            <w:pPr>
              <w:widowControl w:val="0"/>
              <w:autoSpaceDE w:val="0"/>
              <w:autoSpaceDN w:val="0"/>
              <w:spacing w:before="120" w:after="0" w:line="240" w:lineRule="auto"/>
              <w:ind w:left="529" w:right="53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sr-Cyrl-RS"/>
              </w:rPr>
            </w:pPr>
            <w:r w:rsidRPr="00E15BE2">
              <w:rPr>
                <w:rFonts w:ascii="Times New Roman" w:eastAsia="Times New Roman" w:hAnsi="Times New Roman" w:cs="Times New Roman"/>
                <w:b/>
                <w:sz w:val="24"/>
                <w:lang w:val="sr-Cyrl-RS"/>
              </w:rPr>
              <w:t>Синиша Мали</w:t>
            </w:r>
          </w:p>
          <w:p w:rsidR="001C2A96" w:rsidRPr="00E15BE2" w:rsidRDefault="001C2A96" w:rsidP="00B33B50">
            <w:pPr>
              <w:widowControl w:val="0"/>
              <w:autoSpaceDE w:val="0"/>
              <w:autoSpaceDN w:val="0"/>
              <w:spacing w:before="120" w:after="0" w:line="240" w:lineRule="auto"/>
              <w:ind w:left="511" w:right="515"/>
              <w:jc w:val="center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  <w:r w:rsidRPr="00E15BE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Министар финансија</w:t>
            </w:r>
          </w:p>
        </w:tc>
      </w:tr>
    </w:tbl>
    <w:p w:rsidR="001C2A96" w:rsidRPr="00E15BE2" w:rsidRDefault="001C2A96" w:rsidP="001C2A96">
      <w:pPr>
        <w:tabs>
          <w:tab w:val="left" w:pos="1440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B3166C">
      <w:pPr>
        <w:tabs>
          <w:tab w:val="left" w:pos="144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i/>
          <w:noProof/>
          <w:sz w:val="24"/>
          <w:lang w:val="sr-Latn-RS"/>
        </w:rPr>
        <w:t>АНЕКС I: Правил</w:t>
      </w:r>
      <w:bookmarkStart w:id="3" w:name="_GoBack"/>
      <w:bookmarkEnd w:id="3"/>
      <w:r w:rsidRPr="00E15BE2">
        <w:rPr>
          <w:rFonts w:ascii="Times New Roman" w:eastAsia="Calibri" w:hAnsi="Times New Roman" w:cs="Times New Roman"/>
          <w:i/>
          <w:noProof/>
          <w:sz w:val="24"/>
          <w:lang w:val="sr-Latn-RS"/>
        </w:rPr>
        <w:t xml:space="preserve">а која </w:t>
      </w:r>
      <w:r w:rsidRPr="00E15BE2">
        <w:rPr>
          <w:rFonts w:ascii="Times New Roman" w:eastAsia="Calibri" w:hAnsi="Times New Roman" w:cs="Times New Roman"/>
          <w:i/>
          <w:noProof/>
          <w:sz w:val="24"/>
          <w:lang w:val="sr-Cyrl-RS"/>
        </w:rPr>
        <w:t>уређују</w:t>
      </w:r>
      <w:r w:rsidRPr="00E15BE2">
        <w:rPr>
          <w:rFonts w:ascii="Times New Roman" w:eastAsia="Calibri" w:hAnsi="Times New Roman" w:cs="Times New Roman"/>
          <w:i/>
          <w:noProof/>
          <w:sz w:val="24"/>
          <w:lang w:val="sr-Latn-RS"/>
        </w:rPr>
        <w:t xml:space="preserve"> финансијски допринос Србије </w:t>
      </w:r>
      <w:r w:rsidRPr="00E15BE2">
        <w:rPr>
          <w:rFonts w:ascii="Times New Roman" w:eastAsia="Calibri" w:hAnsi="Times New Roman" w:cs="Times New Roman"/>
          <w:i/>
          <w:noProof/>
          <w:sz w:val="24"/>
          <w:lang w:val="sr-Cyrl-RS"/>
        </w:rPr>
        <w:t xml:space="preserve">за </w:t>
      </w:r>
      <w:r w:rsidRPr="00E15BE2">
        <w:rPr>
          <w:rFonts w:ascii="Times New Roman" w:eastAsia="Calibri" w:hAnsi="Times New Roman" w:cs="Times New Roman"/>
          <w:i/>
          <w:noProof/>
          <w:sz w:val="24"/>
          <w:lang w:val="sr-Latn-RS"/>
        </w:rPr>
        <w:t>програм „Фискали</w:t>
      </w:r>
      <w:r w:rsidRPr="00E15BE2">
        <w:rPr>
          <w:rFonts w:ascii="Times New Roman" w:eastAsia="Calibri" w:hAnsi="Times New Roman" w:cs="Times New Roman"/>
          <w:i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i/>
          <w:noProof/>
          <w:sz w:val="24"/>
          <w:lang w:val="sr-Latn-RS"/>
        </w:rPr>
        <w:t>” (202</w:t>
      </w:r>
      <w:r w:rsidRPr="00E15BE2">
        <w:rPr>
          <w:rFonts w:ascii="Times New Roman" w:eastAsia="Calibri" w:hAnsi="Times New Roman" w:cs="Times New Roman"/>
          <w:i/>
          <w:noProof/>
          <w:sz w:val="24"/>
          <w:lang w:val="sr-Cyrl-RS"/>
        </w:rPr>
        <w:t>3</w:t>
      </w:r>
      <w:r w:rsidRPr="00E15BE2">
        <w:rPr>
          <w:rFonts w:ascii="Times New Roman" w:eastAsia="Calibri" w:hAnsi="Times New Roman" w:cs="Times New Roman"/>
          <w:i/>
          <w:noProof/>
          <w:sz w:val="24"/>
          <w:lang w:val="sr-Latn-RS"/>
        </w:rPr>
        <w:t>-2027)</w:t>
      </w:r>
    </w:p>
    <w:p w:rsidR="00B3166C" w:rsidRPr="00E15BE2" w:rsidRDefault="00B3166C" w:rsidP="00B3166C">
      <w:pPr>
        <w:tabs>
          <w:tab w:val="left" w:pos="144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i/>
          <w:noProof/>
          <w:sz w:val="24"/>
          <w:lang w:val="sr-Latn-RS"/>
        </w:rPr>
        <w:t>АНЕКС II: Добро финансијско управљање</w:t>
      </w:r>
    </w:p>
    <w:p w:rsidR="00B3166C" w:rsidRPr="00E15BE2" w:rsidRDefault="00B3166C" w:rsidP="00B3166C">
      <w:pPr>
        <w:tabs>
          <w:tab w:val="left" w:pos="1440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</w:rPr>
        <w:br w:type="page"/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lang w:val="sr-Latn-RS"/>
        </w:rPr>
        <w:t>Анекс I</w:t>
      </w:r>
    </w:p>
    <w:p w:rsidR="00B3166C" w:rsidRPr="00E15BE2" w:rsidRDefault="00B3166C" w:rsidP="00B3166C">
      <w:pPr>
        <w:tabs>
          <w:tab w:val="left" w:pos="1440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4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 xml:space="preserve">Правила која 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Cyrl-RS"/>
        </w:rPr>
        <w:t>уређују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 xml:space="preserve"> финансијски допринос Србије 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Cyrl-RS"/>
        </w:rPr>
        <w:t>за програм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b/>
          <w:noProof/>
          <w:sz w:val="24"/>
          <w:lang w:val="sr-Cyrl-RS"/>
        </w:rPr>
        <w:t>„Фискалис” (2023-2027)</w:t>
      </w:r>
    </w:p>
    <w:p w:rsidR="00B3166C" w:rsidRPr="00E15BE2" w:rsidRDefault="00B3166C" w:rsidP="00B3166C">
      <w:pPr>
        <w:keepNext/>
        <w:tabs>
          <w:tab w:val="left" w:pos="850"/>
        </w:tabs>
        <w:spacing w:before="360" w:after="120" w:line="240" w:lineRule="auto"/>
        <w:ind w:left="850" w:hanging="850"/>
        <w:jc w:val="both"/>
        <w:outlineLvl w:val="0"/>
        <w:rPr>
          <w:rFonts w:ascii="Times New Roman" w:eastAsia="Calibri" w:hAnsi="Times New Roman" w:cs="Times New Roman"/>
          <w:b/>
          <w:smallCaps/>
          <w:noProof/>
          <w:sz w:val="24"/>
        </w:rPr>
      </w:pPr>
      <w:r w:rsidRPr="00E15BE2">
        <w:rPr>
          <w:rFonts w:ascii="Times New Roman" w:eastAsia="Calibri" w:hAnsi="Times New Roman" w:cs="Times New Roman"/>
          <w:b/>
          <w:smallCaps/>
          <w:noProof/>
          <w:sz w:val="24"/>
        </w:rPr>
        <w:t>I.</w:t>
      </w:r>
      <w:r w:rsidRPr="00E15BE2">
        <w:rPr>
          <w:rFonts w:ascii="Times New Roman" w:eastAsia="Calibri" w:hAnsi="Times New Roman" w:cs="Times New Roman"/>
          <w:b/>
          <w:smallCaps/>
          <w:noProof/>
          <w:sz w:val="24"/>
        </w:rPr>
        <w:tab/>
      </w:r>
      <w:r w:rsidRPr="00E15BE2">
        <w:rPr>
          <w:rFonts w:ascii="Times New Roman" w:eastAsia="Calibri" w:hAnsi="Times New Roman" w:cs="Times New Roman"/>
          <w:b/>
          <w:smallCaps/>
          <w:noProof/>
          <w:sz w:val="24"/>
          <w:lang w:val="sr-Cyrl-RS"/>
        </w:rPr>
        <w:t>Израчунавање</w:t>
      </w:r>
      <w:r w:rsidRPr="00E15BE2">
        <w:rPr>
          <w:rFonts w:ascii="Times New Roman" w:eastAsia="Calibri" w:hAnsi="Times New Roman" w:cs="Times New Roman"/>
          <w:b/>
          <w:smallCaps/>
          <w:noProof/>
          <w:sz w:val="24"/>
          <w:lang w:val="sr-Latn-RS"/>
        </w:rPr>
        <w:t xml:space="preserve"> финансијског доприноса Србије</w:t>
      </w:r>
    </w:p>
    <w:p w:rsidR="00B3166C" w:rsidRPr="00E15BE2" w:rsidRDefault="00B3166C" w:rsidP="00B3166C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8C3E96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(1)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Финансијски допринос Србије програму </w:t>
      </w:r>
      <w:bookmarkStart w:id="4" w:name="_Hlk86153097"/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bookmarkEnd w:id="4"/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утврђује се на годишњем нивоу сразмерно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,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уз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износ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који је на располагању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сваке године у буџету Уније за апропријације за обавезе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преузете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за управљање, извршење и рад програма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8C3E96">
      <w:pPr>
        <w:widowControl w:val="0"/>
        <w:numPr>
          <w:ilvl w:val="0"/>
          <w:numId w:val="2"/>
        </w:numPr>
        <w:autoSpaceDE w:val="0"/>
        <w:autoSpaceDN w:val="0"/>
        <w:spacing w:before="120" w:after="120" w:line="240" w:lineRule="auto"/>
        <w:ind w:left="810" w:right="535" w:hanging="810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Накнада за учешће која се наводи 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ч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лану 3.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став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7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поразума плаћа се у следећим фазама:</w:t>
      </w:r>
    </w:p>
    <w:p w:rsidR="00B3166C" w:rsidRPr="00E15BE2" w:rsidRDefault="00B3166C" w:rsidP="008C3E96">
      <w:pPr>
        <w:widowControl w:val="0"/>
        <w:autoSpaceDE w:val="0"/>
        <w:autoSpaceDN w:val="0"/>
        <w:spacing w:before="120" w:after="120" w:line="240" w:lineRule="auto"/>
        <w:ind w:left="1066"/>
        <w:rPr>
          <w:rFonts w:ascii="Times New Roman" w:eastAsia="Calibri" w:hAnsi="Times New Roman" w:cs="Times New Roman"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2023. година: 1,5%;</w:t>
      </w:r>
    </w:p>
    <w:p w:rsidR="00B3166C" w:rsidRPr="00E15BE2" w:rsidRDefault="00B3166C" w:rsidP="008C3E96">
      <w:pPr>
        <w:widowControl w:val="0"/>
        <w:autoSpaceDE w:val="0"/>
        <w:autoSpaceDN w:val="0"/>
        <w:spacing w:before="120" w:after="120" w:line="240" w:lineRule="auto"/>
        <w:ind w:left="1066"/>
        <w:rPr>
          <w:rFonts w:ascii="Times New Roman" w:eastAsia="Calibri" w:hAnsi="Times New Roman" w:cs="Times New Roman"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2024. година: 2%;</w:t>
      </w:r>
    </w:p>
    <w:p w:rsidR="00B3166C" w:rsidRPr="00E15BE2" w:rsidRDefault="00B3166C" w:rsidP="008C3E96">
      <w:pPr>
        <w:widowControl w:val="0"/>
        <w:autoSpaceDE w:val="0"/>
        <w:autoSpaceDN w:val="0"/>
        <w:spacing w:before="120" w:after="120" w:line="240" w:lineRule="auto"/>
        <w:ind w:left="1066"/>
        <w:rPr>
          <w:rFonts w:ascii="Times New Roman" w:eastAsia="Calibri" w:hAnsi="Times New Roman" w:cs="Times New Roman"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2025. година: 2,5%;</w:t>
      </w:r>
    </w:p>
    <w:p w:rsidR="00B3166C" w:rsidRPr="00E15BE2" w:rsidRDefault="00B3166C" w:rsidP="008C3E96">
      <w:pPr>
        <w:widowControl w:val="0"/>
        <w:autoSpaceDE w:val="0"/>
        <w:autoSpaceDN w:val="0"/>
        <w:spacing w:before="120" w:after="120" w:line="240" w:lineRule="auto"/>
        <w:ind w:left="1066"/>
        <w:rPr>
          <w:rFonts w:ascii="Times New Roman" w:eastAsia="Calibri" w:hAnsi="Times New Roman" w:cs="Times New Roman"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2026. година: 3%;</w:t>
      </w:r>
    </w:p>
    <w:p w:rsidR="00B3166C" w:rsidRPr="00E15BE2" w:rsidRDefault="00B3166C" w:rsidP="008C3E96">
      <w:pPr>
        <w:spacing w:before="120" w:after="120" w:line="240" w:lineRule="auto"/>
        <w:ind w:left="850" w:firstLine="216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2027. година: 4%.</w:t>
      </w:r>
    </w:p>
    <w:p w:rsidR="00B3166C" w:rsidRPr="00E15BE2" w:rsidRDefault="00B3166C" w:rsidP="008C3E96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(3)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У складу са чланом 3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став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5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овог споразума, оперативни допринос који Србија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треба да плати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за своје учеш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е у програму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израчунава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се за одговарају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е финансијске године применом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корекције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кључа доприноса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B3166C" w:rsidRPr="00E15BE2" w:rsidRDefault="00B3166C" w:rsidP="008C3E96">
      <w:pPr>
        <w:spacing w:before="120" w:after="120" w:line="240" w:lineRule="auto"/>
        <w:ind w:left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Корекција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кључа доприноса</w:t>
      </w:r>
      <w:r w:rsidRPr="00E15BE2">
        <w:rPr>
          <w:rFonts w:ascii="Times New Roman" w:eastAsia="Calibri" w:hAnsi="Times New Roman" w:cs="Times New Roman"/>
          <w:noProof/>
          <w:sz w:val="24"/>
        </w:rPr>
        <w:t>:</w:t>
      </w:r>
    </w:p>
    <w:p w:rsidR="00B3166C" w:rsidRPr="00E15BE2" w:rsidRDefault="00B3166C" w:rsidP="008C3E96">
      <w:pPr>
        <w:widowControl w:val="0"/>
        <w:autoSpaceDE w:val="0"/>
        <w:autoSpaceDN w:val="0"/>
        <w:spacing w:before="120" w:after="120" w:line="240" w:lineRule="auto"/>
        <w:ind w:left="13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E15BE2">
        <w:rPr>
          <w:rFonts w:ascii="Times New Roman" w:eastAsia="Times New Roman" w:hAnsi="Times New Roman" w:cs="Times New Roman"/>
          <w:sz w:val="24"/>
          <w:szCs w:val="24"/>
          <w:lang w:val="sr-Cyrl-RS"/>
        </w:rPr>
        <w:t>Усклађен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кључ доприноса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Latn-RS"/>
        </w:rPr>
        <w:t>=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Latn-RS"/>
        </w:rPr>
        <w:t>кључ доприноса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Latn-RS"/>
        </w:rPr>
        <w:t>×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15BE2">
        <w:rPr>
          <w:rFonts w:ascii="Times New Roman" w:eastAsia="Times New Roman" w:hAnsi="Times New Roman" w:cs="Times New Roman"/>
          <w:sz w:val="24"/>
          <w:szCs w:val="24"/>
          <w:lang w:val="sr-Latn-RS"/>
        </w:rPr>
        <w:t>коефицијент</w:t>
      </w:r>
    </w:p>
    <w:p w:rsidR="00B3166C" w:rsidRDefault="00B3166C" w:rsidP="008C3E96">
      <w:pPr>
        <w:spacing w:before="120" w:after="120" w:line="240" w:lineRule="auto"/>
        <w:ind w:left="850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</w:p>
    <w:p w:rsidR="00B3166C" w:rsidRPr="00E15BE2" w:rsidRDefault="00B3166C" w:rsidP="008C3E96">
      <w:pPr>
        <w:spacing w:before="120" w:after="120" w:line="240" w:lineRule="auto"/>
        <w:ind w:left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Коефицијент који се користи за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наведено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израчунавање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корекције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за кључ доприноса 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0,65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1D1355">
      <w:pPr>
        <w:spacing w:after="120" w:line="240" w:lineRule="auto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532281">
      <w:pPr>
        <w:keepNext/>
        <w:tabs>
          <w:tab w:val="left" w:pos="850"/>
        </w:tabs>
        <w:spacing w:after="120" w:line="240" w:lineRule="auto"/>
        <w:ind w:left="851" w:hanging="850"/>
        <w:jc w:val="both"/>
        <w:outlineLvl w:val="0"/>
        <w:rPr>
          <w:rFonts w:ascii="Times New Roman" w:eastAsia="Calibri" w:hAnsi="Times New Roman" w:cs="Times New Roman"/>
          <w:b/>
          <w:smallCaps/>
          <w:noProof/>
          <w:sz w:val="24"/>
        </w:rPr>
      </w:pPr>
      <w:r w:rsidRPr="00E15BE2">
        <w:rPr>
          <w:rFonts w:ascii="Times New Roman" w:eastAsia="Calibri" w:hAnsi="Times New Roman" w:cs="Times New Roman"/>
          <w:b/>
          <w:smallCaps/>
          <w:noProof/>
          <w:sz w:val="24"/>
        </w:rPr>
        <w:t>II.</w:t>
      </w:r>
      <w:r w:rsidRPr="00E15BE2">
        <w:rPr>
          <w:rFonts w:ascii="Times New Roman" w:eastAsia="Calibri" w:hAnsi="Times New Roman" w:cs="Times New Roman"/>
          <w:b/>
          <w:smallCaps/>
          <w:noProof/>
          <w:sz w:val="24"/>
        </w:rPr>
        <w:tab/>
      </w:r>
      <w:r w:rsidRPr="00E15BE2">
        <w:rPr>
          <w:rFonts w:ascii="Times New Roman" w:eastAsia="Calibri" w:hAnsi="Times New Roman" w:cs="Times New Roman"/>
          <w:b/>
          <w:smallCaps/>
          <w:noProof/>
          <w:sz w:val="24"/>
          <w:lang w:val="sr-Latn-RS"/>
        </w:rPr>
        <w:t>Плаћање фина</w:t>
      </w:r>
      <w:r w:rsidRPr="00E15BE2">
        <w:rPr>
          <w:rFonts w:ascii="Times New Roman" w:eastAsia="Calibri" w:hAnsi="Times New Roman" w:cs="Times New Roman"/>
          <w:b/>
          <w:smallCaps/>
          <w:noProof/>
          <w:sz w:val="24"/>
          <w:lang w:val="sr-Cyrl-RS"/>
        </w:rPr>
        <w:t>н</w:t>
      </w:r>
      <w:r w:rsidRPr="00E15BE2">
        <w:rPr>
          <w:rFonts w:ascii="Times New Roman" w:eastAsia="Calibri" w:hAnsi="Times New Roman" w:cs="Times New Roman"/>
          <w:b/>
          <w:smallCaps/>
          <w:noProof/>
          <w:sz w:val="24"/>
          <w:lang w:val="sr-Latn-RS"/>
        </w:rPr>
        <w:t>сијског доприноса Србије</w:t>
      </w:r>
    </w:p>
    <w:p w:rsidR="00B3166C" w:rsidRPr="00E15BE2" w:rsidRDefault="00B3166C" w:rsidP="00532281">
      <w:pPr>
        <w:spacing w:after="120" w:line="240" w:lineRule="auto"/>
        <w:ind w:left="851"/>
        <w:jc w:val="both"/>
        <w:rPr>
          <w:rFonts w:ascii="Times New Roman" w:eastAsia="Calibri" w:hAnsi="Times New Roman" w:cs="Times New Roman"/>
          <w:noProof/>
          <w:sz w:val="24"/>
        </w:rPr>
      </w:pPr>
    </w:p>
    <w:p w:rsidR="00B3166C" w:rsidRPr="00E15BE2" w:rsidRDefault="00B3166C" w:rsidP="00532281">
      <w:pPr>
        <w:spacing w:before="120" w:after="120" w:line="240" w:lineRule="auto"/>
        <w:ind w:left="851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(1)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Комисија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доставља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Србији, у најкраћем могућем року, а најкасније приликом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објаве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првог позива за средства у финансијској години, следеће податке</w:t>
      </w:r>
      <w:r w:rsidRPr="00E15BE2">
        <w:rPr>
          <w:rFonts w:ascii="Times New Roman" w:eastAsia="Calibri" w:hAnsi="Times New Roman" w:cs="Times New Roman"/>
          <w:noProof/>
          <w:sz w:val="24"/>
        </w:rPr>
        <w:t>:</w:t>
      </w:r>
    </w:p>
    <w:p w:rsidR="00B3166C" w:rsidRPr="00B01083" w:rsidRDefault="00B3166C" w:rsidP="00B3166C">
      <w:pPr>
        <w:spacing w:before="120" w:after="120" w:line="240" w:lineRule="auto"/>
        <w:ind w:left="1417" w:hanging="567"/>
        <w:jc w:val="both"/>
        <w:rPr>
          <w:rFonts w:ascii="Times New Roman" w:eastAsia="Calibri" w:hAnsi="Times New Roman" w:cs="Times New Roman"/>
          <w:noProof/>
          <w:sz w:val="24"/>
          <w:lang w:val="sr-Cyrl-RS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износ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апропријација за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преузете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обавезe у буџету Уније који су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коначно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усвојени за предметну годину за буџетске линије које покривају учешће Србије</w:t>
      </w:r>
      <w:r w:rsidR="00B01083">
        <w:rPr>
          <w:rFonts w:ascii="Times New Roman" w:eastAsia="Calibri" w:hAnsi="Times New Roman" w:cs="Times New Roman"/>
          <w:noProof/>
          <w:sz w:val="24"/>
          <w:lang w:val="sr-Cyrl-RS"/>
        </w:rPr>
        <w:t>;</w:t>
      </w:r>
    </w:p>
    <w:p w:rsidR="00B3166C" w:rsidRPr="00E15BE2" w:rsidRDefault="00B3166C" w:rsidP="00B3166C">
      <w:pPr>
        <w:spacing w:before="120" w:after="120" w:line="240" w:lineRule="auto"/>
        <w:ind w:left="1417" w:hanging="567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</w:t>
      </w:r>
      <w:r w:rsidRPr="00E15BE2">
        <w:rPr>
          <w:rFonts w:ascii="Times New Roman" w:eastAsia="Calibri" w:hAnsi="Times New Roman" w:cs="Times New Roman"/>
          <w:sz w:val="24"/>
          <w:lang w:val="sr-Cyrl-RS"/>
        </w:rPr>
        <w:t>б</w:t>
      </w:r>
      <w:r w:rsidRPr="00E15BE2">
        <w:rPr>
          <w:rFonts w:ascii="Times New Roman" w:eastAsia="Calibri" w:hAnsi="Times New Roman" w:cs="Times New Roman"/>
          <w:sz w:val="24"/>
        </w:rPr>
        <w:t>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износ накнаде за учешће из члана 3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. став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7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поразума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B3166C" w:rsidRPr="00E15BE2" w:rsidRDefault="00B3166C" w:rsidP="00B3166C">
      <w:pPr>
        <w:spacing w:before="120" w:after="120" w:line="240" w:lineRule="auto"/>
        <w:ind w:left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На основу свог Нацрта буџета, Комисија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даје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процену информација за наредну годину под тачкама (а) и (б) што је пре могуће, а најкасније до 1. септембра финансијске године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Default="00B3166C" w:rsidP="00B3166C">
      <w:pPr>
        <w:numPr>
          <w:ilvl w:val="0"/>
          <w:numId w:val="3"/>
        </w:numPr>
        <w:spacing w:before="120" w:after="120" w:line="240" w:lineRule="auto"/>
        <w:ind w:left="851" w:hanging="851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Комисија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објављује, 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најкасније у априлу сваке финансијске године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,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позив за средства Србији у складу са њеним доприносом према овом споразуму.</w:t>
      </w:r>
    </w:p>
    <w:p w:rsidR="009A277C" w:rsidRPr="00E15BE2" w:rsidRDefault="009A277C" w:rsidP="009A277C">
      <w:pPr>
        <w:spacing w:before="120" w:after="120" w:line="240" w:lineRule="auto"/>
        <w:ind w:left="851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</w:p>
    <w:p w:rsidR="00B3166C" w:rsidRPr="00E15BE2" w:rsidRDefault="00B3166C" w:rsidP="00B3166C">
      <w:pPr>
        <w:spacing w:before="120" w:after="120" w:line="240" w:lineRule="auto"/>
        <w:ind w:left="810"/>
        <w:jc w:val="both"/>
        <w:rPr>
          <w:rFonts w:ascii="Times New Roman" w:eastAsia="Calibri" w:hAnsi="Times New Roman" w:cs="Times New Roman"/>
          <w:noProof/>
          <w:sz w:val="24"/>
          <w:lang w:val="sr-Latn-RS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озив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за средства предвиђа уплату доприноса Србије најкасније у року од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45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дана од објављивања позива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за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уп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л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ату средстава.</w:t>
      </w:r>
    </w:p>
    <w:p w:rsidR="00B3166C" w:rsidRPr="00E15BE2" w:rsidRDefault="00B3166C" w:rsidP="00B3166C">
      <w:pPr>
        <w:spacing w:before="120" w:after="120" w:line="240" w:lineRule="auto"/>
        <w:ind w:left="81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За прву годину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спровођења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поразума, Комисија ће објавити јединствени позив за уплату средстава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у року од 60 дана од потписивања овог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поразума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sz w:val="24"/>
        </w:rPr>
        <w:t>(3)</w:t>
      </w:r>
      <w:r w:rsidRPr="00E15BE2">
        <w:rPr>
          <w:rFonts w:ascii="Times New Roman" w:eastAsia="Calibri" w:hAnsi="Times New Roman" w:cs="Times New Roman"/>
          <w:sz w:val="24"/>
        </w:rPr>
        <w:tab/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Latn-RS"/>
        </w:rPr>
        <w:t xml:space="preserve">Србија плаћа свој финансијски допринос 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Cyrl-RS"/>
        </w:rPr>
        <w:t>према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Latn-RS"/>
        </w:rPr>
        <w:t xml:space="preserve"> овом 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Cyrl-RS"/>
        </w:rPr>
        <w:t>с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Latn-RS"/>
        </w:rPr>
        <w:t xml:space="preserve">поразуму у складу са тачком 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Cyrl-RS"/>
        </w:rPr>
        <w:t>(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Latn-RS"/>
        </w:rPr>
        <w:t>II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Cyrl-RS"/>
        </w:rPr>
        <w:t>)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Latn-RS"/>
        </w:rPr>
        <w:t xml:space="preserve"> овог Анекса. У случају да Србија не изврши плаћање у року, Комисија 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Cyrl-RS"/>
        </w:rPr>
        <w:t>доставља</w:t>
      </w:r>
      <w:r w:rsidRPr="00E15BE2">
        <w:rPr>
          <w:rFonts w:ascii="Times New Roman" w:eastAsia="Times New Roman" w:hAnsi="Times New Roman" w:cs="Times New Roman"/>
          <w:spacing w:val="-2"/>
          <w:sz w:val="24"/>
          <w:lang w:val="sr-Latn-RS"/>
        </w:rPr>
        <w:t xml:space="preserve"> службени допис опомене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Свако кашњење у плаћању финансијског доприноса доводи до плаћања затезне камате од стране Србије на преостали износ од дана доспећа</w:t>
      </w:r>
      <w:r w:rsidRPr="00E15BE2">
        <w:rPr>
          <w:rFonts w:ascii="Times New Roman" w:eastAsia="Calibri" w:hAnsi="Times New Roman" w:cs="Times New Roman"/>
          <w:noProof/>
          <w:sz w:val="24"/>
        </w:rPr>
        <w:t xml:space="preserve">. </w:t>
      </w:r>
    </w:p>
    <w:p w:rsidR="00B3166C" w:rsidRPr="00E15BE2" w:rsidRDefault="00B3166C" w:rsidP="00B3166C">
      <w:pPr>
        <w:spacing w:before="120" w:after="120" w:line="240" w:lineRule="auto"/>
        <w:ind w:left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Каматна стопа за износе потраживања који нису плаћени до дана доспећа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стопа коју примењује Европска централна банка на своје главне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послове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рефинансирања, како је објављено у серији Ц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</w:t>
      </w:r>
      <w:r w:rsidRPr="00E15BE2">
        <w:rPr>
          <w:rFonts w:ascii="Times New Roman" w:eastAsia="Calibri" w:hAnsi="Times New Roman" w:cs="Times New Roman"/>
          <w:i/>
          <w:iCs/>
          <w:noProof/>
          <w:sz w:val="24"/>
          <w:lang w:val="sr-Latn-RS"/>
        </w:rPr>
        <w:t>Службеног листа Европске уније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”, на снази првог календарског дана месеца у који пада рок доспећа, увећано за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три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и по процентн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поен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spacing w:before="120" w:after="120" w:line="240" w:lineRule="auto"/>
        <w:ind w:left="850"/>
        <w:jc w:val="both"/>
        <w:rPr>
          <w:rFonts w:ascii="Times New Roman" w:eastAsia="Calibri" w:hAnsi="Times New Roman" w:cs="Times New Roman"/>
          <w:noProof/>
          <w:sz w:val="24"/>
        </w:rPr>
      </w:pP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>У случају да је кашњење у пла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ању доприноса такво да може значајно угрозити спровођење и управљање програмом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, Комисија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суспендује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учеш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е Србије у програму 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након неизвршења плаћања, 20 радних дана након званичног дописа/опомене, не доводећи у питање обавезе Уније према ве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lang w:val="sr-Latn-RS"/>
        </w:rPr>
        <w:t xml:space="preserve"> додељеним уговорима о бесповратним средствима и/или уговорима који се односе на спровођење индиректних активности за које је Србија изабрана</w:t>
      </w:r>
      <w:r w:rsidRPr="00E15BE2">
        <w:rPr>
          <w:rFonts w:ascii="Times New Roman" w:eastAsia="Calibri" w:hAnsi="Times New Roman" w:cs="Times New Roman"/>
          <w:noProof/>
          <w:sz w:val="24"/>
        </w:rPr>
        <w:t>.</w:t>
      </w:r>
    </w:p>
    <w:p w:rsidR="00B3166C" w:rsidRPr="00E15BE2" w:rsidRDefault="00B3166C" w:rsidP="00B3166C">
      <w:pPr>
        <w:tabs>
          <w:tab w:val="left" w:pos="1440"/>
        </w:tabs>
        <w:spacing w:before="240" w:after="240" w:line="240" w:lineRule="auto"/>
        <w:jc w:val="center"/>
        <w:rPr>
          <w:rFonts w:ascii="Times New Roman" w:eastAsia="Calibri" w:hAnsi="Times New Roman" w:cs="Times New Roman"/>
          <w:strike/>
          <w:noProof/>
          <w:sz w:val="24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</w:rPr>
        <w:br w:type="page"/>
      </w:r>
    </w:p>
    <w:p w:rsidR="00B3166C" w:rsidRPr="00E15BE2" w:rsidRDefault="00B3166C" w:rsidP="0053228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E15BE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Анекс II</w:t>
      </w:r>
    </w:p>
    <w:p w:rsidR="00B3166C" w:rsidRPr="00E15BE2" w:rsidRDefault="00B3166C" w:rsidP="0053228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E15BE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Добро финансијско управљање</w:t>
      </w:r>
    </w:p>
    <w:p w:rsidR="00B3166C" w:rsidRPr="00E15BE2" w:rsidRDefault="00B3166C" w:rsidP="0053228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en-IE"/>
        </w:rPr>
        <w:t>Заштита финансијских интереса и повраћај</w:t>
      </w:r>
    </w:p>
    <w:p w:rsidR="00B3166C" w:rsidRPr="00E15BE2" w:rsidRDefault="00B3166C" w:rsidP="00B3166C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  <w:r w:rsidRPr="00E15BE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IE"/>
        </w:rPr>
        <w:t>Члан 1</w:t>
      </w:r>
      <w:r w:rsidRPr="00E15BE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>.</w:t>
      </w:r>
    </w:p>
    <w:p w:rsidR="00B3166C" w:rsidRPr="00E15BE2" w:rsidRDefault="00B3166C" w:rsidP="005322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i/>
          <w:iCs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>Контроле и ревизије</w:t>
      </w:r>
    </w:p>
    <w:p w:rsidR="00B3166C" w:rsidRPr="00E15BE2" w:rsidRDefault="00B3166C" w:rsidP="005322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5322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1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Европска унија има право да, у складу са важећим актима једне или више институција или тела Уније и како је предвиђено релевантним споразумима и/или уговорима, спроводи техничке, научне, финансијске или друге врсте контрола и ревизија у просторијама било ког физичког лица које има пребивалиште или било ког правног лица са седиштем у Србији и које прима средства Европске уније, као и било ко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г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трећег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лиц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укључено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г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у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извршење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средстава Уније са пребивалиштем или седиштем у Србији. Такве контроле и ревизије могу обављати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заступници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институција и тела Европске уније, посебно Европске комисије и Европског ревизорског суда, или друга лица овлашћена од стране Европске комисије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924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924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2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Заступници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институција и тела Европске уније, посебно Европске комисије и Европског ревизорског суда, и друга лица овлашћена од стране Европске комисије,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имају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одговарајући приступ сајтовима, радовима и документима (и у електронској и папирној верзији) и свим информацијама потребним за обављање таквих ревизија, укључујући право на добијање физичке/електронске копије и извода из било ког документа или садржаја било ког медија података у поседу контролисаног физичког или правног лица или контролисаног трећег лица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924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924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3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Србија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спречава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нити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поставља било коју посебну препреку за право уласка у Србију и приступ просторијама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заступницима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и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другим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лицима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из става 2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по основу вршења њихових дужности из овог члана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924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924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</w:rPr>
        <w:t>4</w:t>
      </w:r>
      <w:r w:rsidRPr="00E15BE2">
        <w:rPr>
          <w:rFonts w:ascii="Times New Roman" w:eastAsia="Calibri" w:hAnsi="Times New Roman" w:cs="Times New Roman"/>
          <w:noProof/>
          <w:sz w:val="24"/>
          <w:szCs w:val="24"/>
        </w:rPr>
        <w:t xml:space="preserve">. </w:t>
      </w:r>
      <w:r w:rsidRPr="00E15BE2" w:rsidDel="00E16BA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Контроле и ревизије могу се вршити, такође након суспензије примене овог споразума у складу са чланом 5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. став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5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или његовог раскида, под условима утврђеним у важећим актима једне или више институција Европске уније или тела и како је предвиђено у релевантним споразумима и/или уговорима у вези са било којом законском обавезом за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извршење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буџета Европске уније коју је преузела Европска унија пре датума када је обустављена примена овог споразума у складу са његовим чланом 5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. став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5, или раскид овог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споразума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ступа на снагу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</w:rPr>
        <w:t xml:space="preserve">. </w:t>
      </w:r>
    </w:p>
    <w:p w:rsidR="00B3166C" w:rsidRPr="00E15BE2" w:rsidRDefault="00B3166C" w:rsidP="00924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keepNext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  <w:t>Члан 2</w:t>
      </w: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br/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Борба против неправилности, превара и других кривичних дела која утичу на финансијске интересе Уније</w:t>
      </w:r>
    </w:p>
    <w:p w:rsidR="00B3166C" w:rsidRPr="00E15BE2" w:rsidRDefault="00B3166C" w:rsidP="00B3166C">
      <w:pPr>
        <w:keepNext/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RS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1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Европска комисија и Европска канцеларија за борбу против превара (ОЛАФ) овлашћени су да спроводе административне истраге, укључујући провере и инспекције на лицу места, на територији Србије. Ове истраге се спровод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у складу са одредбама и условима утврђеним важећим актима једне или више институција Уније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2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Надлежни органи Србије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обавештавају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Европску комисију или ОЛАФ у разумном року о свакој чињеници или сумњи коју су уочили у вези са неправилностима, преваром или другим незаконитим активностима које утичу на финансијске интересе Уније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3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Провере и инспекције на лицу места могу се вршити у просторијама било ког физичког лица са пребивалиштем или правног лица основаног у Србији и примаоца средстава Уније, као и било ког трећег лица укљученог у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извршење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средстава Уније који је резидент или је основано у Србији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>.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4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Провере и инспекције на лицу места припрема и спроводи Европска комисија или ОЛАФ у блиској сарадњи са надлежним органом Србије којег одреди Влада Србије.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меновани орган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се обавештава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у разумном року унапред о предмету, сврси и правном основу провера и инспекција, како би могао да пружи помоћ. У том циљу, службена лица надлежних органа Србије могу да учествују у контролама и инспекцијским надзорима на лицу места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5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На захтев органа Србије, провере и инспекције на лицу места могу се обављати заједно са Европском комисијом или ОЛАФ-ом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6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Представници Комисије и особље ОЛАФ-а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имају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приступ свим информацијама и документацији, укључујући компјутерске податке, о одређеним активностима које су потребне за правилно спровођење провера и инспекција на лицу места. Они могу,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нарочито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, копирати релевантне документе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>.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7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Када се лице, субјект или неко тре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е лице опире провери или инспекцији на лицу места, органи Србије, поступају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и у складу са националним правилима и прописима,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пружају помоћ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Европској комисији или ОЛАФ-у, како би им омогу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или да испуне своју дужност у вршењу контроле или инспекције на лицу места. Ова помоћ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укључује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предузимање одговарајућих мера предострожности у складу са националним законом, посебно у циљу заштите доказа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>.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8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Европска комисија или ОЛАФ обавештава органе Србије о резултатима таквих провера и инспекција. Конкретно, Европска комисија или ОЛАФ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пријављује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надлежном органу Србије у најкраћем могућем року сваку чињеницу или сумњу у вези са неправилностима коју су приметили током провере или инспекције на лицу места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9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Не доводе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и у питање примену српског кривичног закона, Европска комисија може изре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и административне мере и казне правним или физичким лицима Србије која учествују у спровођењу програма или активности у складу са законодавством Европске уније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10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У циљу правилне примене овог члана, Европска комисија или ОЛАФ и надлежни органи Србије редовно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размењују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информације и, на захтев једне од страна овог споразума,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саветују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једни друге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>.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11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У циљу олакшавања ефикасне сарадње и размене информација са ОЛАФ-ом, Србија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одређује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контакт тачку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12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нформације размењене између Европске комисије или ОЛАФ-а и надлежних органа Србије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одвија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се уз дужно поштовање захтева поверљивости. Лични подаци укључени у размену информација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заштићени у складу са важећим правилима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>.</w:t>
      </w: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13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Власти Србије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сарађују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са Европским јавним тужилаштвом како би му омогу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иле да испуни своју дужност да истражује, кривично гони и изриче пресуде починиоцима и саучесницима у кривичним делима која утичу на финансијске интересе Европске уније у складу са важе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ћ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им законодавством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>.</w:t>
      </w:r>
    </w:p>
    <w:p w:rsidR="0058732D" w:rsidRDefault="0058732D" w:rsidP="00311459">
      <w:pPr>
        <w:keepNext/>
        <w:autoSpaceDE w:val="0"/>
        <w:autoSpaceDN w:val="0"/>
        <w:adjustRightInd w:val="0"/>
        <w:spacing w:before="120" w:after="120" w:line="360" w:lineRule="auto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AA3729" w:rsidRPr="00E15BE2" w:rsidRDefault="00AA3729" w:rsidP="00311459">
      <w:pPr>
        <w:keepNext/>
        <w:autoSpaceDE w:val="0"/>
        <w:autoSpaceDN w:val="0"/>
        <w:adjustRightInd w:val="0"/>
        <w:spacing w:before="120" w:after="120" w:line="360" w:lineRule="auto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keepNext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Члан</w:t>
      </w: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 xml:space="preserve"> 3</w:t>
      </w: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.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br/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Повраћај и извршење</w:t>
      </w:r>
    </w:p>
    <w:p w:rsidR="00B3166C" w:rsidRPr="00E15BE2" w:rsidRDefault="00B3166C" w:rsidP="00B3166C">
      <w:pPr>
        <w:keepNext/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</w:pPr>
    </w:p>
    <w:p w:rsidR="00B3166C" w:rsidRPr="00E15BE2" w:rsidRDefault="00B3166C" w:rsidP="002361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1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Одлуке Европске комисије којима се намеће новчана обавеза правним или физичким лицима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 изузетком држава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у вези са потраживањима која проистичу из програма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„Фискалис</w:t>
      </w:r>
      <w:r w:rsidRPr="00E15BE2">
        <w:rPr>
          <w:rFonts w:ascii="Times New Roman" w:eastAsia="Calibri" w:hAnsi="Times New Roman" w:cs="Times New Roman"/>
          <w:noProof/>
          <w:sz w:val="24"/>
          <w:lang w:val="sr-Cyrl-RS"/>
        </w:rPr>
        <w:t>”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се извршавају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у Србији. Решењу се прилаже налог за извршење, без икакве друге формалности осим провере веродостојности решења од стране националног органа који је за ову сврху одредила Влада Србије. Влада Србије саопштава Комисији и Суду правде Европске уније одлуку о именовању свог националног тела. У складу са чланом 4. Анекса II, Европска комисија има право да такве извршне одлуке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саопшти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директно лицима са пребивалиштем и правним лицима основаним у Србији.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звршење се одвија у складу са законом и правилима Србије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2361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2361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2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Пресуде и налози Суда правде Европске уније донети уз примену арбитражне клаузуле садржане у уговору или споразуму у вези са програмима, активностима, акцијама или пројектима Уније, извршни су у Србији на исти начин као и одлуке Европске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омисије из става 1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 овог члана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2361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2361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>3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Суд правде Европске уније је надлежан да преиспитује законитост одлуке Комисије из става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1.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и да обустави њено извршење. Међутим, за притужбе да се извршење спроводи на неправилан начин надлежни су судови Србије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2361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Члан</w:t>
      </w: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en-IE"/>
        </w:rPr>
        <w:t xml:space="preserve"> 4</w:t>
      </w:r>
      <w:r w:rsidRPr="00E15BE2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.</w:t>
      </w:r>
    </w:p>
    <w:p w:rsidR="00B3166C" w:rsidRPr="00E15BE2" w:rsidRDefault="00B3166C" w:rsidP="00EA17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Комуникација и размена информација</w:t>
      </w:r>
    </w:p>
    <w:p w:rsidR="00B3166C" w:rsidRPr="00E15BE2" w:rsidRDefault="00B3166C" w:rsidP="00EA17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EA172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нституције и тела Европске уније укључена у спровођење програма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„Фискалис”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, или у контролу над тим програмом, имају право да директно комуницирају, укључујући и путем система електронске размене, са сваким физичким лицем са пребивалиштем или правним лицем са седиштем у Србији и који прима средства Уније, као и било којим трећим лицем укљученим у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извршење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средстава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Уније са пребивалиштем или оснивањем у Србији. Таква лица, 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субјекти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и стране могу директно институцијама и телима Европске уније доставити све релевантне информације и документацију коју су обавезни да доставе на основу законодавства Европске уније које се примењује на програм Уније и уговора или споразума закључених ради спровођења тог програма</w:t>
      </w:r>
      <w:r w:rsidRPr="00E15BE2">
        <w:rPr>
          <w:rFonts w:ascii="Times New Roman" w:eastAsia="Calibri" w:hAnsi="Times New Roman" w:cs="Times New Roman"/>
          <w:noProof/>
          <w:sz w:val="24"/>
          <w:szCs w:val="24"/>
          <w:lang w:val="en-IE"/>
        </w:rPr>
        <w:t xml:space="preserve">. </w:t>
      </w:r>
    </w:p>
    <w:p w:rsidR="00B3166C" w:rsidRPr="00E15BE2" w:rsidRDefault="00B3166C" w:rsidP="00EA1720">
      <w:pPr>
        <w:spacing w:after="0" w:line="360" w:lineRule="auto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EA1720">
      <w:pPr>
        <w:spacing w:after="0" w:line="360" w:lineRule="auto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</w:p>
    <w:p w:rsidR="00B3166C" w:rsidRPr="00E15BE2" w:rsidRDefault="00B3166C" w:rsidP="00B3166C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  <w:lang w:val="en-IE"/>
        </w:rPr>
      </w:pPr>
      <w:r w:rsidRPr="00E15BE2">
        <w:rPr>
          <w:rFonts w:ascii="Times New Roman" w:eastAsia="Calibri" w:hAnsi="Times New Roman" w:cs="Times New Roman"/>
          <w:i/>
          <w:noProof/>
          <w:sz w:val="24"/>
        </w:rPr>
        <w:tab/>
      </w:r>
    </w:p>
    <w:p w:rsidR="00B3166C" w:rsidRDefault="00B3166C" w:rsidP="00B3166C">
      <w:pPr>
        <w:spacing w:line="360" w:lineRule="auto"/>
      </w:pPr>
    </w:p>
    <w:p w:rsidR="00153E96" w:rsidRDefault="00153E96"/>
    <w:sectPr w:rsidR="00153E96" w:rsidSect="0096008C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E11" w:rsidRDefault="00464E11" w:rsidP="00B3166C">
      <w:pPr>
        <w:spacing w:after="0" w:line="240" w:lineRule="auto"/>
      </w:pPr>
      <w:r>
        <w:separator/>
      </w:r>
    </w:p>
  </w:endnote>
  <w:endnote w:type="continuationSeparator" w:id="0">
    <w:p w:rsidR="00464E11" w:rsidRDefault="00464E11" w:rsidP="00B31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E11" w:rsidRDefault="00464E11" w:rsidP="00B3166C">
      <w:pPr>
        <w:spacing w:after="0" w:line="240" w:lineRule="auto"/>
      </w:pPr>
      <w:r>
        <w:separator/>
      </w:r>
    </w:p>
  </w:footnote>
  <w:footnote w:type="continuationSeparator" w:id="0">
    <w:p w:rsidR="00464E11" w:rsidRDefault="00464E11" w:rsidP="00B3166C">
      <w:pPr>
        <w:spacing w:after="0" w:line="240" w:lineRule="auto"/>
      </w:pPr>
      <w:r>
        <w:continuationSeparator/>
      </w:r>
    </w:p>
  </w:footnote>
  <w:footnote w:id="1">
    <w:p w:rsidR="00B3166C" w:rsidRPr="0099101A" w:rsidRDefault="00B3166C" w:rsidP="005D0A0B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99101A">
        <w:rPr>
          <w:rFonts w:ascii="Times New Roman" w:hAnsi="Times New Roman" w:cs="Times New Roman"/>
          <w:lang w:val="sr-Cyrl-RS"/>
        </w:rPr>
        <w:t xml:space="preserve">Сл. лист ЕУ бр. </w:t>
      </w:r>
      <w:r w:rsidRPr="0099101A">
        <w:rPr>
          <w:rFonts w:ascii="Times New Roman" w:hAnsi="Times New Roman" w:cs="Times New Roman"/>
          <w:lang w:val="sr-Latn-RS"/>
        </w:rPr>
        <w:t xml:space="preserve">192, 22.07.2005, </w:t>
      </w:r>
      <w:r w:rsidRPr="0099101A">
        <w:rPr>
          <w:rFonts w:ascii="Times New Roman" w:hAnsi="Times New Roman" w:cs="Times New Roman"/>
          <w:lang w:val="sr-Cyrl-RS"/>
        </w:rPr>
        <w:t>стр</w:t>
      </w:r>
      <w:r w:rsidRPr="0099101A">
        <w:rPr>
          <w:rFonts w:ascii="Times New Roman" w:hAnsi="Times New Roman" w:cs="Times New Roman"/>
          <w:lang w:val="sr-Latn-RS"/>
        </w:rPr>
        <w:t>.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99101A">
        <w:rPr>
          <w:rFonts w:ascii="Times New Roman" w:hAnsi="Times New Roman" w:cs="Times New Roman"/>
          <w:lang w:val="sr-Cyrl-RS"/>
        </w:rPr>
        <w:t>29</w:t>
      </w:r>
    </w:p>
  </w:footnote>
  <w:footnote w:id="2">
    <w:p w:rsidR="00B3166C" w:rsidRPr="0099101A" w:rsidRDefault="00B3166C" w:rsidP="005D0A0B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99101A">
        <w:rPr>
          <w:rStyle w:val="FootnoteReference"/>
          <w:rFonts w:ascii="Times New Roman" w:hAnsi="Times New Roman" w:cs="Times New Roman"/>
        </w:rPr>
        <w:footnoteRef/>
      </w:r>
      <w:r w:rsidRPr="0099101A">
        <w:rPr>
          <w:rFonts w:ascii="Times New Roman" w:hAnsi="Times New Roman" w:cs="Times New Roman"/>
        </w:rPr>
        <w:t xml:space="preserve"> </w:t>
      </w:r>
      <w:r w:rsidRPr="0099101A">
        <w:rPr>
          <w:rFonts w:ascii="Times New Roman" w:hAnsi="Times New Roman" w:cs="Times New Roman"/>
          <w:lang w:val="sr-Cyrl-RS"/>
        </w:rPr>
        <w:t xml:space="preserve">Сл. лист ЕУ бр. </w:t>
      </w:r>
      <w:r w:rsidRPr="0099101A">
        <w:rPr>
          <w:rFonts w:ascii="Times New Roman" w:hAnsi="Times New Roman" w:cs="Times New Roman"/>
          <w:lang w:val="sr-Latn-RS"/>
        </w:rPr>
        <w:t xml:space="preserve">188, 28.05.2021, </w:t>
      </w:r>
      <w:r w:rsidRPr="0099101A">
        <w:rPr>
          <w:rFonts w:ascii="Times New Roman" w:hAnsi="Times New Roman" w:cs="Times New Roman"/>
          <w:lang w:val="sr-Cyrl-RS"/>
        </w:rPr>
        <w:t>стр</w:t>
      </w:r>
      <w:r w:rsidRPr="0099101A">
        <w:rPr>
          <w:rFonts w:ascii="Times New Roman" w:hAnsi="Times New Roman" w:cs="Times New Roman"/>
          <w:lang w:val="sr-Latn-RS"/>
        </w:rPr>
        <w:t>.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99101A">
        <w:rPr>
          <w:rFonts w:ascii="Times New Roman" w:hAnsi="Times New Roman" w:cs="Times New Roman"/>
          <w:lang w:val="sr-Latn-RS"/>
        </w:rPr>
        <w:t>1-17</w:t>
      </w:r>
    </w:p>
  </w:footnote>
  <w:footnote w:id="3">
    <w:p w:rsidR="00B3166C" w:rsidRPr="004F47FB" w:rsidRDefault="00B3166C" w:rsidP="00292C78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4F47FB">
        <w:rPr>
          <w:rFonts w:ascii="Times New Roman" w:hAnsi="Times New Roman" w:cs="Times New Roman"/>
          <w:lang w:val="sr-Latn-RS"/>
        </w:rPr>
        <w:t xml:space="preserve">Рестриктивне мере ЕУ су усвојене у складу са чланом 29. </w:t>
      </w:r>
      <w:r w:rsidRPr="004F47FB">
        <w:rPr>
          <w:rFonts w:ascii="Times New Roman" w:hAnsi="Times New Roman" w:cs="Times New Roman"/>
          <w:lang w:val="sr-Cyrl-RS"/>
        </w:rPr>
        <w:t>Уговора</w:t>
      </w:r>
      <w:r w:rsidRPr="004F47FB">
        <w:rPr>
          <w:rFonts w:ascii="Times New Roman" w:hAnsi="Times New Roman" w:cs="Times New Roman"/>
          <w:lang w:val="sr-Latn-RS"/>
        </w:rPr>
        <w:t xml:space="preserve"> о Европској унији или чланом 215. </w:t>
      </w:r>
      <w:r w:rsidRPr="004F47FB">
        <w:rPr>
          <w:rFonts w:ascii="Times New Roman" w:hAnsi="Times New Roman" w:cs="Times New Roman"/>
          <w:lang w:val="sr-Cyrl-RS"/>
        </w:rPr>
        <w:t>Уговора</w:t>
      </w:r>
      <w:r w:rsidRPr="004F47FB">
        <w:rPr>
          <w:rFonts w:ascii="Times New Roman" w:hAnsi="Times New Roman" w:cs="Times New Roman"/>
          <w:lang w:val="sr-Latn-RS"/>
        </w:rPr>
        <w:t xml:space="preserve"> о функционисању Европске уније.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711C8"/>
    <w:multiLevelType w:val="hybridMultilevel"/>
    <w:tmpl w:val="B8E80F00"/>
    <w:lvl w:ilvl="0" w:tplc="703C4F60">
      <w:start w:val="2"/>
      <w:numFmt w:val="decimal"/>
      <w:lvlText w:val="(%1)"/>
      <w:lvlJc w:val="left"/>
      <w:pPr>
        <w:ind w:left="1066" w:hanging="85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2143C"/>
    <w:multiLevelType w:val="hybridMultilevel"/>
    <w:tmpl w:val="CD62B04C"/>
    <w:lvl w:ilvl="0" w:tplc="90544CC6">
      <w:start w:val="2"/>
      <w:numFmt w:val="decimal"/>
      <w:lvlText w:val="(%1)"/>
      <w:lvlJc w:val="left"/>
      <w:pPr>
        <w:ind w:left="1066" w:hanging="85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02F96"/>
    <w:multiLevelType w:val="hybridMultilevel"/>
    <w:tmpl w:val="0F3CE800"/>
    <w:lvl w:ilvl="0" w:tplc="EBF6DCD8">
      <w:start w:val="6"/>
      <w:numFmt w:val="decimal"/>
      <w:lvlText w:val="%1."/>
      <w:lvlJc w:val="left"/>
      <w:pPr>
        <w:ind w:left="1066" w:hanging="8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F424AF6">
      <w:numFmt w:val="bullet"/>
      <w:lvlText w:val="•"/>
      <w:lvlJc w:val="left"/>
      <w:pPr>
        <w:ind w:left="1936" w:hanging="850"/>
      </w:pPr>
      <w:rPr>
        <w:rFonts w:hint="default"/>
        <w:lang w:val="en-US" w:eastAsia="en-US" w:bidi="ar-SA"/>
      </w:rPr>
    </w:lvl>
    <w:lvl w:ilvl="2" w:tplc="48AAF800">
      <w:numFmt w:val="bullet"/>
      <w:lvlText w:val="•"/>
      <w:lvlJc w:val="left"/>
      <w:pPr>
        <w:ind w:left="2813" w:hanging="850"/>
      </w:pPr>
      <w:rPr>
        <w:rFonts w:hint="default"/>
        <w:lang w:val="en-US" w:eastAsia="en-US" w:bidi="ar-SA"/>
      </w:rPr>
    </w:lvl>
    <w:lvl w:ilvl="3" w:tplc="9C04C786">
      <w:numFmt w:val="bullet"/>
      <w:lvlText w:val="•"/>
      <w:lvlJc w:val="left"/>
      <w:pPr>
        <w:ind w:left="3689" w:hanging="850"/>
      </w:pPr>
      <w:rPr>
        <w:rFonts w:hint="default"/>
        <w:lang w:val="en-US" w:eastAsia="en-US" w:bidi="ar-SA"/>
      </w:rPr>
    </w:lvl>
    <w:lvl w:ilvl="4" w:tplc="0CE897F0">
      <w:numFmt w:val="bullet"/>
      <w:lvlText w:val="•"/>
      <w:lvlJc w:val="left"/>
      <w:pPr>
        <w:ind w:left="4566" w:hanging="850"/>
      </w:pPr>
      <w:rPr>
        <w:rFonts w:hint="default"/>
        <w:lang w:val="en-US" w:eastAsia="en-US" w:bidi="ar-SA"/>
      </w:rPr>
    </w:lvl>
    <w:lvl w:ilvl="5" w:tplc="6AFCBA3C">
      <w:numFmt w:val="bullet"/>
      <w:lvlText w:val="•"/>
      <w:lvlJc w:val="left"/>
      <w:pPr>
        <w:ind w:left="5443" w:hanging="850"/>
      </w:pPr>
      <w:rPr>
        <w:rFonts w:hint="default"/>
        <w:lang w:val="en-US" w:eastAsia="en-US" w:bidi="ar-SA"/>
      </w:rPr>
    </w:lvl>
    <w:lvl w:ilvl="6" w:tplc="3F309254">
      <w:numFmt w:val="bullet"/>
      <w:lvlText w:val="•"/>
      <w:lvlJc w:val="left"/>
      <w:pPr>
        <w:ind w:left="6319" w:hanging="850"/>
      </w:pPr>
      <w:rPr>
        <w:rFonts w:hint="default"/>
        <w:lang w:val="en-US" w:eastAsia="en-US" w:bidi="ar-SA"/>
      </w:rPr>
    </w:lvl>
    <w:lvl w:ilvl="7" w:tplc="4D3088C8">
      <w:numFmt w:val="bullet"/>
      <w:lvlText w:val="•"/>
      <w:lvlJc w:val="left"/>
      <w:pPr>
        <w:ind w:left="7196" w:hanging="850"/>
      </w:pPr>
      <w:rPr>
        <w:rFonts w:hint="default"/>
        <w:lang w:val="en-US" w:eastAsia="en-US" w:bidi="ar-SA"/>
      </w:rPr>
    </w:lvl>
    <w:lvl w:ilvl="8" w:tplc="C8BEC17C">
      <w:numFmt w:val="bullet"/>
      <w:lvlText w:val="•"/>
      <w:lvlJc w:val="left"/>
      <w:pPr>
        <w:ind w:left="8073" w:hanging="85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66C"/>
    <w:rsid w:val="000C1F95"/>
    <w:rsid w:val="00101738"/>
    <w:rsid w:val="001323ED"/>
    <w:rsid w:val="00153E96"/>
    <w:rsid w:val="001C2A96"/>
    <w:rsid w:val="001D1355"/>
    <w:rsid w:val="00236187"/>
    <w:rsid w:val="00292C78"/>
    <w:rsid w:val="002A346C"/>
    <w:rsid w:val="00311459"/>
    <w:rsid w:val="00346B22"/>
    <w:rsid w:val="003C3C19"/>
    <w:rsid w:val="00464E11"/>
    <w:rsid w:val="004B4AA1"/>
    <w:rsid w:val="004E6146"/>
    <w:rsid w:val="004F0542"/>
    <w:rsid w:val="00515994"/>
    <w:rsid w:val="00532281"/>
    <w:rsid w:val="0058732D"/>
    <w:rsid w:val="00595862"/>
    <w:rsid w:val="005D0A0B"/>
    <w:rsid w:val="005D1E47"/>
    <w:rsid w:val="006037B4"/>
    <w:rsid w:val="00622396"/>
    <w:rsid w:val="00641999"/>
    <w:rsid w:val="007460FA"/>
    <w:rsid w:val="00763A6E"/>
    <w:rsid w:val="00777545"/>
    <w:rsid w:val="007F12A0"/>
    <w:rsid w:val="008125F9"/>
    <w:rsid w:val="00863063"/>
    <w:rsid w:val="008733B8"/>
    <w:rsid w:val="008C3E96"/>
    <w:rsid w:val="008C42AB"/>
    <w:rsid w:val="008F2FDB"/>
    <w:rsid w:val="00924649"/>
    <w:rsid w:val="0095297D"/>
    <w:rsid w:val="009916B8"/>
    <w:rsid w:val="0099702D"/>
    <w:rsid w:val="009A277C"/>
    <w:rsid w:val="009E3125"/>
    <w:rsid w:val="00A87EFF"/>
    <w:rsid w:val="00A952C4"/>
    <w:rsid w:val="00AA3729"/>
    <w:rsid w:val="00B01083"/>
    <w:rsid w:val="00B16B2D"/>
    <w:rsid w:val="00B23392"/>
    <w:rsid w:val="00B3166C"/>
    <w:rsid w:val="00B9297C"/>
    <w:rsid w:val="00BD2455"/>
    <w:rsid w:val="00BE072A"/>
    <w:rsid w:val="00C013F8"/>
    <w:rsid w:val="00C46BFA"/>
    <w:rsid w:val="00C51CD8"/>
    <w:rsid w:val="00C63204"/>
    <w:rsid w:val="00D00495"/>
    <w:rsid w:val="00D52545"/>
    <w:rsid w:val="00DC54BB"/>
    <w:rsid w:val="00DE3FF4"/>
    <w:rsid w:val="00E47F08"/>
    <w:rsid w:val="00E7178B"/>
    <w:rsid w:val="00EA1720"/>
    <w:rsid w:val="00F0028D"/>
    <w:rsid w:val="00F25F4D"/>
    <w:rsid w:val="00F3171D"/>
    <w:rsid w:val="00F4027A"/>
    <w:rsid w:val="00F476F2"/>
    <w:rsid w:val="00FB6294"/>
    <w:rsid w:val="00FC38B3"/>
    <w:rsid w:val="00FC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79022-73AE-4CF3-9582-049D47A2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31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16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166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3387</Words>
  <Characters>19311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Mandić</dc:creator>
  <cp:keywords/>
  <dc:description/>
  <cp:lastModifiedBy>Daktilobiro02</cp:lastModifiedBy>
  <cp:revision>61</cp:revision>
  <cp:lastPrinted>2024-05-20T07:55:00Z</cp:lastPrinted>
  <dcterms:created xsi:type="dcterms:W3CDTF">2024-05-13T10:38:00Z</dcterms:created>
  <dcterms:modified xsi:type="dcterms:W3CDTF">2024-06-26T11:43:00Z</dcterms:modified>
</cp:coreProperties>
</file>