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C0866C" w14:textId="2E4C23CE" w:rsidR="00C56ED2" w:rsidRPr="00F4317C" w:rsidRDefault="00C56ED2" w:rsidP="00C56ED2">
      <w:pPr>
        <w:spacing w:before="240" w:after="12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ПРОГРАМ</w:t>
      </w:r>
      <w:r w:rsidRPr="00F4317C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br/>
        <w:t xml:space="preserve">ФИНАНСИРАЊА АКТИВНОСТИ И МЕРА УНАПРЕЂЕЊА </w:t>
      </w:r>
      <w:r w:rsidRPr="00F4317C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br/>
        <w:t>ЕНЕРГЕТСКЕ ЕФИКАСНОСТИ У 202</w:t>
      </w:r>
      <w:r w:rsidR="00A662FC" w:rsidRPr="00F4317C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4</w:t>
      </w:r>
      <w:r w:rsidRPr="00F4317C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. ГОДИНИ </w:t>
      </w:r>
    </w:p>
    <w:p w14:paraId="42F1B713" w14:textId="4D6832B1" w:rsidR="00C56ED2" w:rsidRPr="00F4317C" w:rsidRDefault="00C56ED2" w:rsidP="00007C4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I</w:t>
      </w:r>
      <w:r w:rsidR="0008158C" w:rsidRPr="00F4317C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  <w:r w:rsidRPr="00F4317C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УВОД</w:t>
      </w:r>
    </w:p>
    <w:p w14:paraId="459C6921" w14:textId="77777777" w:rsidR="00007C44" w:rsidRPr="00F4317C" w:rsidRDefault="00007C44" w:rsidP="00007C4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14:paraId="15CBD8D4" w14:textId="77777777" w:rsidR="00A662FC" w:rsidRPr="00F4317C" w:rsidRDefault="00C56ED2" w:rsidP="00007C4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Стратегијом развоја енергетике Републике Србије до 2025. године са пројекцијама до 2030. године („Службени гласник РС”, број 101/15), енергетска ефикасност и веће коришћење обновљивих извора енергије сврстани су међу приоритете. </w:t>
      </w:r>
    </w:p>
    <w:p w14:paraId="57094A0A" w14:textId="77777777" w:rsidR="00A662FC" w:rsidRPr="00F4317C" w:rsidRDefault="00A662FC" w:rsidP="00A662F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1C0F1C9B" w14:textId="4849ECAB" w:rsidR="001E0C22" w:rsidRPr="00F4317C" w:rsidRDefault="00C56ED2" w:rsidP="00A662F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Унапређење енергетске ефикасности, како у секторима производње, тако и у секторима потрошње енергије препознато је као један од кључних елемената енергетске политике Републике Србије, с обзиром да доприноси сигурности снабдевања енергијом, смањењу потрошње енергије у приватном и комерцијалном сектору, повећању конкурентности индустрије и повећању стандарда грађана, односно доприноси смањењу увозне зависности и смањењу негативних ефеката сектора енергетике на животну средину, а нарочито емисије гасова који стварају ефекат стаклене баште. С обзиром на тенденцију ка декарбонизацији енергетска ефикасност у наредном периоду имаће још значајнију улогу што ће бити рефлектовано сетом стратешких документа чија је израда у току.</w:t>
      </w:r>
    </w:p>
    <w:p w14:paraId="7B2763B7" w14:textId="77777777" w:rsidR="00A662FC" w:rsidRPr="00F4317C" w:rsidRDefault="00A662FC" w:rsidP="00A662F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320CF06B" w14:textId="311025BB" w:rsidR="001E0C22" w:rsidRPr="00F4317C" w:rsidRDefault="001E0C22" w:rsidP="0008158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Законодавно-правни оквир за уређивање енергетске ефикасности и рационалне употребе енергије у Републици Србији успостављен је усвајањем Закона о енергетској ефикасности и рационалној употреби енергије („Службени гласник РС”, број 40/21), у даљем тексту: Закон), Закона о планирању и изградњи </w:t>
      </w:r>
      <w:r w:rsidRPr="00F4317C">
        <w:rPr>
          <w:rFonts w:ascii="Times New Roman" w:eastAsia="Times New Roman" w:hAnsi="Times New Roman" w:cs="Times New Roman"/>
          <w:sz w:val="24"/>
          <w:szCs w:val="24"/>
          <w:lang w:val="sr-Cyrl-CS"/>
        </w:rPr>
        <w:t>(„Службени гласник РС”, бр. 72/09, 81/09 - исправка, 64/10 –  УС, 24/11, 121/12, 42/13 – УС, 50/13 –  УС, 98/13 – УС, 132/14, 145/14, 83/18, 31/19, 37/19 - др. закон, 9/20, 52/21 и 62/23)</w:t>
      </w: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и њиховим подзаконским прописима</w:t>
      </w:r>
      <w:r w:rsidR="00510682"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 а нарочито Правилником о енергетској ефикасности зграда („Службени гласник РС“, број 61/11), Правилником о условима, садржини и начину издавања сертификата о енергетским својствима зграда („Службени гласник РС</w:t>
      </w:r>
      <w:r w:rsidR="0008158C" w:rsidRPr="00F4317C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510682"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 број 69/12, 44/18 - др. закон и 111/22)</w:t>
      </w: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510682"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и Правилником о садржини, начину и поступку израде и начину вршења контроле техничке документације према класи и намени објеката</w:t>
      </w:r>
      <w:r w:rsidR="0008158C"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             </w:t>
      </w:r>
      <w:r w:rsidR="00510682"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(„Службени гласник РС</w:t>
      </w:r>
      <w:r w:rsidR="0008158C" w:rsidRPr="00F4317C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510682"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 број 96/23).</w:t>
      </w:r>
    </w:p>
    <w:p w14:paraId="121856AB" w14:textId="77777777" w:rsidR="00A662FC" w:rsidRPr="00F4317C" w:rsidRDefault="00A662FC" w:rsidP="00A662F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3C336A36" w14:textId="6AA717FE" w:rsidR="00C56ED2" w:rsidRPr="00F4317C" w:rsidRDefault="00C56ED2" w:rsidP="00A662F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На основу обавеза Републике Србије које проистичу из Уговора о оснивању Енергетске заједнице</w:t>
      </w:r>
      <w:r w:rsidRPr="00F4317C">
        <w:rPr>
          <w:rFonts w:ascii="Times New Roman" w:hAnsi="Times New Roman" w:cs="Times New Roman"/>
          <w:sz w:val="24"/>
          <w:szCs w:val="24"/>
          <w:lang w:val="sr-Cyrl-CS"/>
        </w:rPr>
        <w:t xml:space="preserve"> између Европске заједнице и Републике Албаније, Републике Бугарске, Босне и Херцеговине, Републике Хрватске, </w:t>
      </w:r>
      <w:r w:rsidR="0008158C" w:rsidRPr="00F4317C">
        <w:rPr>
          <w:rFonts w:ascii="Times New Roman" w:hAnsi="Times New Roman" w:cs="Times New Roman"/>
          <w:sz w:val="24"/>
          <w:szCs w:val="24"/>
          <w:lang w:val="sr-Cyrl-CS"/>
        </w:rPr>
        <w:t>Северне</w:t>
      </w:r>
      <w:r w:rsidRPr="00F4317C">
        <w:rPr>
          <w:rFonts w:ascii="Times New Roman" w:hAnsi="Times New Roman" w:cs="Times New Roman"/>
          <w:sz w:val="24"/>
          <w:szCs w:val="24"/>
          <w:lang w:val="sr-Cyrl-CS"/>
        </w:rPr>
        <w:t xml:space="preserve"> Македоније, Републике Црне Горе, Румуније, Републике Србије и Привремене Мисије Уједињених нација на Косову у складу са Резолуцијом 1244 Савета безбедности Уједињених нација, који је потврђен Законом о ратификацији </w:t>
      </w: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Уговора о оснивању Енергетске заједнице</w:t>
      </w:r>
      <w:r w:rsidRPr="00F4317C">
        <w:rPr>
          <w:rFonts w:ascii="Times New Roman" w:hAnsi="Times New Roman" w:cs="Times New Roman"/>
          <w:sz w:val="24"/>
          <w:szCs w:val="24"/>
          <w:lang w:val="sr-Cyrl-CS"/>
        </w:rPr>
        <w:t xml:space="preserve"> између Европске заједнице и Републике Албаније, Републике Бугарске, Босне и Херцеговине, Републике Хрватске, </w:t>
      </w:r>
      <w:r w:rsidR="0008158C" w:rsidRPr="00F4317C">
        <w:rPr>
          <w:rFonts w:ascii="Times New Roman" w:hAnsi="Times New Roman" w:cs="Times New Roman"/>
          <w:sz w:val="24"/>
          <w:szCs w:val="24"/>
          <w:lang w:val="sr-Cyrl-CS"/>
        </w:rPr>
        <w:t>Северне</w:t>
      </w:r>
      <w:r w:rsidRPr="00F4317C">
        <w:rPr>
          <w:rFonts w:ascii="Times New Roman" w:hAnsi="Times New Roman" w:cs="Times New Roman"/>
          <w:sz w:val="24"/>
          <w:szCs w:val="24"/>
          <w:lang w:val="sr-Cyrl-CS"/>
        </w:rPr>
        <w:t xml:space="preserve"> Македоније, Републике Црне Горе, Румуније, Републике Србије и Привремене Мисије Уједињених нација на Косову у складу са Резолуцијом 1244 Савета безбедности Уједињених нација (</w:t>
      </w: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„Службени гласник РСˮ, број 62/06), Одлуке Министарског савета Енергетске заједнице број D/2015/08/MC-EnC од 14. августа 2015. године о примени Директиве 2012/27/ЕУ Европског парламента и Савета о енергетској ефикасности, као и Закона о eфикасном коришћењу енергије, усвојен је Четврти акциони план за енергетску ефикасност Републике Србије за период до 31. децембра 2021. године </w:t>
      </w:r>
      <w:r w:rsidRPr="00F4317C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„Службени гласник РСˮ, број 86/21 - у даљем тексту: 4. АПЕЕ). Наведеним акционим планом предвиђен је низ мера за унапређење енергетске </w:t>
      </w: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lastRenderedPageBreak/>
        <w:t xml:space="preserve">ефикасности у секторима домаћинства, јавног и комерцијалног сектора, индустрије, транспорта и сектора производње енергије. У оквиру 4. АПЕЕ утврђен је индикативни циљ Републике Србије до краја 2021. године према коме потрошња примарне енергије не треба да пређе 17,981 Mtoe примарне енергије, а потрошња финалне енергије 13,103 Mtoe финалне енергије за енергетске сврхе. </w:t>
      </w:r>
      <w:r w:rsidRPr="00F4317C">
        <w:rPr>
          <w:rFonts w:ascii="Times New Roman" w:hAnsi="Times New Roman" w:cs="Times New Roman"/>
          <w:sz w:val="24"/>
          <w:szCs w:val="24"/>
          <w:lang w:val="sr-Cyrl-CS"/>
        </w:rPr>
        <w:t xml:space="preserve">Циљеви у области енергетске ефикасности за наредни период (за 2030. и </w:t>
      </w: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2050. годину) биће утврђени Интегрисаним националним енергетским и климатским планом (ИНЕКП), чија је израда у току у складу са Законом о енергетици </w:t>
      </w:r>
      <w:r w:rsidRPr="00F4317C">
        <w:rPr>
          <w:lang w:val="sr-Cyrl-CS"/>
        </w:rPr>
        <w:t>(</w:t>
      </w: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„Службени гласник РСˮ, </w:t>
      </w:r>
      <w:r w:rsidRPr="00F4317C">
        <w:rPr>
          <w:rFonts w:ascii="Times New Roman" w:eastAsia="Times New Roman" w:hAnsi="Times New Roman" w:cs="Times New Roman"/>
          <w:sz w:val="24"/>
          <w:szCs w:val="24"/>
          <w:lang w:val="sr-Cyrl-CS"/>
        </w:rPr>
        <w:t>бр</w:t>
      </w:r>
      <w:r w:rsidR="0008158C" w:rsidRPr="00F4317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F431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145/14, 95/18</w:t>
      </w:r>
      <w:r w:rsidR="0008158C" w:rsidRPr="00F431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F4317C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08158C" w:rsidRPr="00F431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F4317C">
        <w:rPr>
          <w:rFonts w:ascii="Times New Roman" w:eastAsia="Times New Roman" w:hAnsi="Times New Roman" w:cs="Times New Roman"/>
          <w:sz w:val="24"/>
          <w:szCs w:val="24"/>
          <w:lang w:val="sr-Cyrl-CS"/>
        </w:rPr>
        <w:t>др.закон</w:t>
      </w:r>
      <w:r w:rsidR="005D41E2" w:rsidRPr="00F431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F4317C">
        <w:rPr>
          <w:rFonts w:ascii="Times New Roman" w:eastAsia="Times New Roman" w:hAnsi="Times New Roman" w:cs="Times New Roman"/>
          <w:sz w:val="24"/>
          <w:szCs w:val="24"/>
          <w:lang w:val="sr-Cyrl-CS"/>
        </w:rPr>
        <w:t>40/21</w:t>
      </w:r>
      <w:r w:rsidR="005D41E2" w:rsidRPr="00F431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35/23 </w:t>
      </w:r>
      <w:r w:rsidR="0008158C" w:rsidRPr="00F4317C">
        <w:rPr>
          <w:rFonts w:ascii="Times New Roman" w:eastAsia="Times New Roman" w:hAnsi="Times New Roman" w:cs="Times New Roman"/>
          <w:sz w:val="24"/>
          <w:szCs w:val="24"/>
          <w:lang w:val="sr-Cyrl-CS"/>
        </w:rPr>
        <w:t>- др. з</w:t>
      </w:r>
      <w:r w:rsidR="005D41E2" w:rsidRPr="00F4317C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акон и 62/23</w:t>
      </w: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)</w:t>
      </w:r>
      <w:r w:rsidR="0008158C"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</w:t>
      </w: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а чије се доношење очекује у 202</w:t>
      </w:r>
      <w:r w:rsidR="001E0C22"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4</w:t>
      </w: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. години. Циљеви у Европској унији предвиђају повећање енергетске ефикасности за 32,5% до 2030. године, па се очекује да циљеви у наредном периоду за Републику Србију буду такође веома амбициозни. </w:t>
      </w:r>
    </w:p>
    <w:p w14:paraId="60A55205" w14:textId="77777777" w:rsidR="00A662FC" w:rsidRPr="00F4317C" w:rsidRDefault="00A662FC" w:rsidP="00A662F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29E1C9CD" w14:textId="206E6103" w:rsidR="00310D33" w:rsidRPr="00F4317C" w:rsidRDefault="00C56ED2" w:rsidP="00310D33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За достизање свих будућих циљева кључну улогу имаће Управа за финансирање и подстицање енергетске ефикасности (у даљем тексту: Управа). Успостављање одрживог начина финансирања пројеката енергетске ефикасности као приоритетне активност препознато је у оквиру Уредбе о утврђивању Програма остваривања Стратегије развоја енергетике Републике Србије до 2025. године са пројекцијама до 2030. године за период од 2017. до 2023. године („Службени гласник РСˮ, број 104/17 - у даљем тексту ПОС) као и потреба да се за финансирање енергетске ефикасности обезбеде већа средства. ПОС је предвидео да с</w:t>
      </w:r>
      <w:r w:rsid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е финансирање посебно усмери на </w:t>
      </w:r>
      <w:r w:rsidR="001F441C"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домаћинства, јавни и комерцијални сектор</w:t>
      </w: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. </w:t>
      </w:r>
      <w:r w:rsidR="001E0C22"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Успостављање одрживог механизма финансирања предвиђено је и Програмом економских реформи за период од 202</w:t>
      </w:r>
      <w:r w:rsidR="005D41E2"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4</w:t>
      </w:r>
      <w:r w:rsidR="001E0C22"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 године до 202</w:t>
      </w:r>
      <w:r w:rsidR="005D41E2"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6</w:t>
      </w:r>
      <w:r w:rsidR="001E0C22"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. године. </w:t>
      </w:r>
    </w:p>
    <w:p w14:paraId="77D53CD1" w14:textId="77777777" w:rsidR="00310D33" w:rsidRPr="00F4317C" w:rsidRDefault="00310D33" w:rsidP="00310D33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1AF5A5FB" w14:textId="560779B7" w:rsidR="001E0C22" w:rsidRPr="00F4317C" w:rsidRDefault="00C56ED2" w:rsidP="00A765F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Законом је основана </w:t>
      </w:r>
      <w:r w:rsidR="001E0C22"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Управа за финансирање и подстицање енергетске ефикасности, за обављање извршних и стручних послова који се односе на финансирање послова ефикасног коришћења енергије у складу са овим законом и прописима донетим на основу овог закона и примену мера енергетске ефикасности, а односе се на реализацију активности, и то нарочито на:</w:t>
      </w:r>
    </w:p>
    <w:p w14:paraId="03C30EF8" w14:textId="3A639FC9" w:rsidR="00C56ED2" w:rsidRPr="00F4317C" w:rsidRDefault="001E0C22" w:rsidP="00A765FA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C56ED2"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1) примену мера у циљу ефикасног коришћења енергије у секторима производње, преноса, дистрибуције и потрошње енергије;</w:t>
      </w:r>
    </w:p>
    <w:p w14:paraId="6D21EF5F" w14:textId="77777777" w:rsidR="00C56ED2" w:rsidRPr="00F4317C" w:rsidRDefault="00C56ED2" w:rsidP="00A765FA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2) подстицање развоја система енергетског менаџмента;</w:t>
      </w:r>
    </w:p>
    <w:p w14:paraId="49E900F4" w14:textId="77777777" w:rsidR="00C56ED2" w:rsidRPr="00F4317C" w:rsidRDefault="00C56ED2" w:rsidP="00A765FA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3) промовисање и спровођење енергетских прегледа објеката/зграда, производних процеса и услуга;</w:t>
      </w:r>
    </w:p>
    <w:p w14:paraId="0AD66AC8" w14:textId="77777777" w:rsidR="00C56ED2" w:rsidRPr="00F4317C" w:rsidRDefault="00C56ED2" w:rsidP="00A765FA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4) подстицање коришћења микро-когенерацијских јединица, уколико по основу истих микро-когенерацијских јединица нису остварени други подстицаји у складу са овим законом;</w:t>
      </w:r>
    </w:p>
    <w:p w14:paraId="5ECB41D6" w14:textId="77777777" w:rsidR="00C56ED2" w:rsidRPr="00F4317C" w:rsidRDefault="00C56ED2" w:rsidP="00A765FA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5) подстицање развоја енергетских услуга на тржишту Републике Србије;</w:t>
      </w:r>
    </w:p>
    <w:p w14:paraId="36A99E03" w14:textId="77777777" w:rsidR="00C56ED2" w:rsidRPr="00F4317C" w:rsidRDefault="00C56ED2" w:rsidP="00A765FA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6) подстицање производње електричне и топлотне енергије из обновљивих извора за сопствене потребе;</w:t>
      </w:r>
    </w:p>
    <w:p w14:paraId="241FA8D1" w14:textId="77777777" w:rsidR="00C56ED2" w:rsidRPr="00F4317C" w:rsidRDefault="00C56ED2" w:rsidP="00A765FA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7) подизање свести о значају и ефектима спровођења мера енергетске ефикасности;</w:t>
      </w:r>
    </w:p>
    <w:p w14:paraId="6D9C1797" w14:textId="77777777" w:rsidR="00C56ED2" w:rsidRPr="00F4317C" w:rsidRDefault="00C56ED2" w:rsidP="00A765FA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8) остале активности које за циљ имају ефикасније коришћење енергије.</w:t>
      </w:r>
    </w:p>
    <w:p w14:paraId="1841E881" w14:textId="1949B08A" w:rsidR="00C56ED2" w:rsidRPr="00F4317C" w:rsidRDefault="00C56ED2" w:rsidP="00A765FA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Коришћење средстава којима располаже Управа врши се у складу са Програмом финансирања активности и мера унапређења енергетске ефикасности у 202</w:t>
      </w:r>
      <w:r w:rsidR="001E0C22"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4</w:t>
      </w: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. години (у даљем тексту: Програм). </w:t>
      </w:r>
    </w:p>
    <w:p w14:paraId="58284069" w14:textId="77777777" w:rsidR="00A765FA" w:rsidRPr="00F4317C" w:rsidRDefault="00A765FA" w:rsidP="00A765FA">
      <w:pPr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CS" w:eastAsia="sr-Latn-RS"/>
        </w:rPr>
      </w:pPr>
    </w:p>
    <w:p w14:paraId="3E5C47DA" w14:textId="77777777" w:rsidR="00ED0F31" w:rsidRPr="00F4317C" w:rsidRDefault="00C56ED2" w:rsidP="00ED0F3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Програмом </w:t>
      </w:r>
      <w:r w:rsidR="00BF1C8A"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се </w:t>
      </w: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одређују циљеви програма, мере унапређења енергетске ефикасности које ће бити финансиране, начин финансирања и носиоци Програма.</w:t>
      </w:r>
    </w:p>
    <w:p w14:paraId="4C9316AC" w14:textId="77777777" w:rsidR="00ED0F31" w:rsidRPr="00F4317C" w:rsidRDefault="00ED0F31" w:rsidP="00ED0F3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6C362B0A" w14:textId="27674326" w:rsidR="00ED0F31" w:rsidRPr="00F4317C" w:rsidRDefault="00C56ED2" w:rsidP="00ED0F31">
      <w:pPr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lastRenderedPageBreak/>
        <w:t>II</w:t>
      </w:r>
      <w:r w:rsidR="0008158C" w:rsidRPr="00F4317C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  <w:r w:rsidRPr="00F4317C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ЦИЉЕВИ ПРОГРАМА</w:t>
      </w:r>
    </w:p>
    <w:p w14:paraId="1CF127C1" w14:textId="77777777" w:rsidR="00ED0F31" w:rsidRPr="00F4317C" w:rsidRDefault="00ED0F31" w:rsidP="00ED0F3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507EEEC0" w14:textId="751E0D4D" w:rsidR="00C56ED2" w:rsidRPr="00F4317C" w:rsidRDefault="00C56ED2" w:rsidP="00ED0F31">
      <w:pPr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Основни циљ Програма је финансијска подршка мерама и механизмима унапређења енергетске ефикасности предвиђених Законом  и стратешким документима из области енергетике. </w:t>
      </w:r>
    </w:p>
    <w:p w14:paraId="309A2D0B" w14:textId="77777777" w:rsidR="00C56ED2" w:rsidRPr="00F4317C" w:rsidRDefault="00C56ED2" w:rsidP="00007C4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Програмом треба да буду постигнути следећи посебни циљеви:</w:t>
      </w:r>
    </w:p>
    <w:p w14:paraId="25BECB0D" w14:textId="77777777" w:rsidR="00C56ED2" w:rsidRPr="00F4317C" w:rsidRDefault="00C56ED2" w:rsidP="00007C4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1) остваривање уштеде енергије и њено рационално коришћење применом проверених савремених технологија и производа чије је коришћење економски оправдано;</w:t>
      </w:r>
    </w:p>
    <w:p w14:paraId="23807336" w14:textId="77777777" w:rsidR="00C56ED2" w:rsidRPr="00F4317C" w:rsidRDefault="00C56ED2" w:rsidP="00007C4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2) коришћење обновљивих извора енергије за сопствене потребе;</w:t>
      </w:r>
    </w:p>
    <w:p w14:paraId="11D0AF05" w14:textId="77777777" w:rsidR="00C56ED2" w:rsidRPr="00F4317C" w:rsidRDefault="00C56ED2" w:rsidP="00007C4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3) упосленост привредних субјеката;</w:t>
      </w:r>
    </w:p>
    <w:p w14:paraId="0DD70279" w14:textId="77777777" w:rsidR="00C56ED2" w:rsidRPr="00F4317C" w:rsidRDefault="00C56ED2" w:rsidP="00007C4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4) заштита животне средине кроз смањене емисије гасова који стварају ефекат стаклене баште (ГХГ гасови);</w:t>
      </w:r>
    </w:p>
    <w:p w14:paraId="0C86A384" w14:textId="77777777" w:rsidR="00C56ED2" w:rsidRPr="00F4317C" w:rsidRDefault="00C56ED2" w:rsidP="00007C4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5) повећање јавне свести о значају енергетске ефикасности.</w:t>
      </w:r>
    </w:p>
    <w:p w14:paraId="6C40CE43" w14:textId="77777777" w:rsidR="00007C44" w:rsidRPr="00F4317C" w:rsidRDefault="00007C44" w:rsidP="00007C44">
      <w:pPr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14:paraId="243BC457" w14:textId="20C7BC10" w:rsidR="00C56ED2" w:rsidRPr="00F4317C" w:rsidRDefault="00C56ED2" w:rsidP="00007C44">
      <w:pPr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III</w:t>
      </w:r>
      <w:r w:rsidR="0008158C" w:rsidRPr="00F4317C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  <w:r w:rsidRPr="00F4317C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НОСИОЦИ ПРОГРАМА</w:t>
      </w:r>
    </w:p>
    <w:p w14:paraId="6772808D" w14:textId="77777777" w:rsidR="00007C44" w:rsidRPr="00F4317C" w:rsidRDefault="00007C44" w:rsidP="00AF5D15">
      <w:pPr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14:paraId="23E7F8BA" w14:textId="77777777" w:rsidR="00C56ED2" w:rsidRPr="00F4317C" w:rsidRDefault="00C56ED2" w:rsidP="00AF5D1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Носиоци Програма су:</w:t>
      </w:r>
    </w:p>
    <w:p w14:paraId="153DB71D" w14:textId="77777777" w:rsidR="00C56ED2" w:rsidRPr="00F4317C" w:rsidRDefault="00C56ED2" w:rsidP="00007C4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1) Република Србија;</w:t>
      </w:r>
    </w:p>
    <w:p w14:paraId="7BA68835" w14:textId="77777777" w:rsidR="00C56ED2" w:rsidRPr="00F4317C" w:rsidRDefault="00C56ED2" w:rsidP="00AF5D1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2) јединице локалне самоуправе и градске општине (у даљем тексту: ЈЛС), привредна друштва, односно друга правна лица чији је оснивач ЈЛС, аутономна покрајина, односно Република Србија.</w:t>
      </w:r>
    </w:p>
    <w:p w14:paraId="3EC44DB1" w14:textId="77777777" w:rsidR="00C56ED2" w:rsidRPr="00F4317C" w:rsidRDefault="00C56ED2" w:rsidP="00AF5D1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sr-Cyrl-CS" w:eastAsia="sr-Latn-RS"/>
        </w:rPr>
      </w:pPr>
    </w:p>
    <w:p w14:paraId="0BE563A2" w14:textId="614398A2" w:rsidR="00C56ED2" w:rsidRPr="00F4317C" w:rsidRDefault="00C56ED2" w:rsidP="00AF5D15">
      <w:pPr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IV</w:t>
      </w:r>
      <w:r w:rsidR="0008158C" w:rsidRPr="00F4317C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  <w:r w:rsidRPr="00F4317C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ФИНАНСИРАЊЕ МЕРА УНАПРЕЂЕЊА ЕНЕРГЕТСКЕ ЕФИКАСНОСТИ СРЕДСТВИМА УПРАВЕ </w:t>
      </w:r>
    </w:p>
    <w:p w14:paraId="0D20A214" w14:textId="77777777" w:rsidR="00007C44" w:rsidRPr="00F4317C" w:rsidRDefault="00007C44" w:rsidP="00007C44">
      <w:pPr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14:paraId="7A2BF9A4" w14:textId="77777777" w:rsidR="00C56ED2" w:rsidRPr="00F4317C" w:rsidRDefault="00C56ED2" w:rsidP="00D3273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Мере унапређења енергетске ефикасности које се финансирају или суфинансирају у складу са Програмом су следеће:</w:t>
      </w:r>
    </w:p>
    <w:p w14:paraId="041506D6" w14:textId="77777777" w:rsidR="00C56ED2" w:rsidRPr="00F4317C" w:rsidRDefault="00C56ED2" w:rsidP="00D3273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1) унапређење термичког омотача зграде, односно свих елемената зграде који раздвајају унутрашњи грејани простор од спољашњег простора и негрејаног простора зграде путем:</w:t>
      </w:r>
    </w:p>
    <w:p w14:paraId="35B3F5C4" w14:textId="77777777" w:rsidR="00C56ED2" w:rsidRPr="00F4317C" w:rsidRDefault="00C56ED2" w:rsidP="00D3273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(1) замене спољних прозора и врата и других транспарентних елемената термичког омотача (мера обухвата и пратећу oпрему за прозоре/врата, као што су окапнице, прозорске даске, ролетне, капци и др, као и пратеће грађевинске радове на демонтажи и правилној монтажи прозора/врата, као што је демонтажа старих прозора/врата и одвоз на депонију, правилна монтажа прозора, обрада око прозора гипс-картон плочама, глетовање, обрада ивица и кречење око прозора/врата са унутрашње стране зида и др.),</w:t>
      </w:r>
    </w:p>
    <w:p w14:paraId="53E8389E" w14:textId="77777777" w:rsidR="00C56ED2" w:rsidRPr="00F4317C" w:rsidRDefault="00C56ED2" w:rsidP="00D3273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(2) постављања термичке изолације зидова, крова, таваница изнад отворених пролаза, зидова, подова на тлу и осталих делова термичког омотача према негрејаном простору;</w:t>
      </w:r>
    </w:p>
    <w:p w14:paraId="0ED0EC21" w14:textId="77777777" w:rsidR="00C56ED2" w:rsidRPr="00F4317C" w:rsidRDefault="00C56ED2" w:rsidP="00D3273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2) унапређење термотехничких система у зграде путем замене система или дела система ефикаснијим системом путем:</w:t>
      </w:r>
    </w:p>
    <w:p w14:paraId="7FFF6296" w14:textId="77777777" w:rsidR="00C56ED2" w:rsidRPr="00F4317C" w:rsidRDefault="00C56ED2" w:rsidP="00D3273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(1) замене постојећег котла ефикаснијим котлом (грејач простора или комбиновани грејач),</w:t>
      </w:r>
    </w:p>
    <w:p w14:paraId="037601F7" w14:textId="77777777" w:rsidR="00C56ED2" w:rsidRPr="00F4317C" w:rsidRDefault="00C56ED2" w:rsidP="00D3273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(2) замене постојеће или уградња нове цевне мреже, грејних тела и пратећег прибора,</w:t>
      </w:r>
    </w:p>
    <w:p w14:paraId="613622BE" w14:textId="77777777" w:rsidR="00C56ED2" w:rsidRPr="00F4317C" w:rsidRDefault="00C56ED2" w:rsidP="00D3273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(3) уградње електронски регулисаних циркулационих пумпи,</w:t>
      </w:r>
    </w:p>
    <w:p w14:paraId="74DFADD5" w14:textId="77777777" w:rsidR="00C56ED2" w:rsidRPr="00F4317C" w:rsidRDefault="00C56ED2" w:rsidP="00D3273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(4) уградње термостатских вентила на свим грејним телима,</w:t>
      </w:r>
    </w:p>
    <w:p w14:paraId="441CCA47" w14:textId="77777777" w:rsidR="00C56ED2" w:rsidRPr="00F4317C" w:rsidRDefault="00C56ED2" w:rsidP="00D3273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lastRenderedPageBreak/>
        <w:t>(5) уградње уређаја за мерење предате количине топлоте свим појединачним потрошачима,</w:t>
      </w:r>
    </w:p>
    <w:p w14:paraId="1F88D00D" w14:textId="77777777" w:rsidR="00C56ED2" w:rsidRPr="00F4317C" w:rsidRDefault="00C56ED2" w:rsidP="00D3273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(6) уградње топлотних пумпи (грејач простора или комбиновани грејач),</w:t>
      </w:r>
    </w:p>
    <w:p w14:paraId="5EA2366C" w14:textId="77777777" w:rsidR="00C56ED2" w:rsidRPr="00F4317C" w:rsidRDefault="00C56ED2" w:rsidP="00D32737">
      <w:pPr>
        <w:spacing w:before="60" w:after="6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(7) уградње опреме за даљинску контролу и аутоматску регулацију рада термотехничких система,</w:t>
      </w:r>
    </w:p>
    <w:p w14:paraId="100EB3D1" w14:textId="77777777" w:rsidR="00C56ED2" w:rsidRPr="00F4317C" w:rsidRDefault="00C56ED2" w:rsidP="00D3273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(8) замене постојећих и уградњом нових ефикасних система за климатизацију,</w:t>
      </w:r>
    </w:p>
    <w:p w14:paraId="1F14FF97" w14:textId="77777777" w:rsidR="00C56ED2" w:rsidRPr="00F4317C" w:rsidRDefault="00C56ED2" w:rsidP="00D3273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(9) замене постојећих или уградњом нових система за вентилацију са рекуперацијом топлоте,</w:t>
      </w:r>
    </w:p>
    <w:p w14:paraId="039E1335" w14:textId="77777777" w:rsidR="00C56ED2" w:rsidRPr="00F4317C" w:rsidRDefault="00C56ED2" w:rsidP="00D3273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(10) замене постојећих или уградњом нових система за централну припрему потрошне топле воде;</w:t>
      </w:r>
    </w:p>
    <w:p w14:paraId="62539971" w14:textId="77777777" w:rsidR="00C56ED2" w:rsidRPr="00F4317C" w:rsidRDefault="00C56ED2" w:rsidP="00D3273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3) модернизација система унутрашњег осветљења у објектима путем:</w:t>
      </w:r>
    </w:p>
    <w:p w14:paraId="3C325EF0" w14:textId="77777777" w:rsidR="00C56ED2" w:rsidRPr="00F4317C" w:rsidRDefault="00C56ED2" w:rsidP="00D3273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(1) замене извора светлости, односно светиљки,</w:t>
      </w:r>
    </w:p>
    <w:p w14:paraId="737103B0" w14:textId="77777777" w:rsidR="00C56ED2" w:rsidRPr="00F4317C" w:rsidRDefault="00C56ED2" w:rsidP="00D3273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(2) инсталирања савремене опреме за контролу и управљање системом унутрашњег осветљења (даљинска контрола, регулатори осветљења и др.);</w:t>
      </w:r>
    </w:p>
    <w:p w14:paraId="51A7635C" w14:textId="77777777" w:rsidR="00C56ED2" w:rsidRPr="00F4317C" w:rsidRDefault="00C56ED2" w:rsidP="00D3273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4) уградња соларних колектора у инсталацију за централну припрему потрошне топле воде;</w:t>
      </w:r>
    </w:p>
    <w:p w14:paraId="1D9B93F8" w14:textId="77777777" w:rsidR="00C56ED2" w:rsidRPr="00F4317C" w:rsidRDefault="00C56ED2" w:rsidP="00D3273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5) модернизација система јавног осветљења у ЈЛС путем:</w:t>
      </w:r>
    </w:p>
    <w:p w14:paraId="748858DF" w14:textId="77777777" w:rsidR="00C56ED2" w:rsidRPr="00F4317C" w:rsidRDefault="00C56ED2" w:rsidP="00D3273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(1) замене извора светлости, односно светиљки,</w:t>
      </w:r>
    </w:p>
    <w:p w14:paraId="2DC663AA" w14:textId="77777777" w:rsidR="00C56ED2" w:rsidRPr="00F4317C" w:rsidRDefault="00C56ED2" w:rsidP="00D3273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(2) уградње савремене опреме за контролу и управљање системом осветљења (даљинска контрола, регулатори интензитета осветљења и др.);</w:t>
      </w:r>
    </w:p>
    <w:p w14:paraId="2EEA45F4" w14:textId="77777777" w:rsidR="00C56ED2" w:rsidRPr="00F4317C" w:rsidRDefault="00C56ED2" w:rsidP="00D3273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6) рехабилитација  даљинског система за производњу и дистрибуцију топлотне енергије у циљу унапређења енергетске ефикасности тих система;</w:t>
      </w:r>
    </w:p>
    <w:p w14:paraId="6C8A6945" w14:textId="77777777" w:rsidR="00C56ED2" w:rsidRPr="00F4317C" w:rsidRDefault="00C56ED2" w:rsidP="00D3273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7) уградња соларних панела и пратеће инсталације за производњу електричне енергије за сопствене потребе, уградња двосмерног мерног уређаја за мерење предате и примљене електричне енергије и израда неопходне техничке документације и извештаја извођача радова на уградњи соларних панела и пратеће инсталације за производњу електричне енергије који су у складу са законом неопходни приликом прикључења на дистрибутивни систем;</w:t>
      </w:r>
    </w:p>
    <w:p w14:paraId="14F56EC9" w14:textId="77777777" w:rsidR="00C56ED2" w:rsidRPr="00F4317C" w:rsidRDefault="00C56ED2" w:rsidP="00D3273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8) обука запослених у зградама које су предмет пројеката финансираних средствима подстицаја за унапређење енергетске ефикасности из ефикасног коришћења енергије;</w:t>
      </w:r>
    </w:p>
    <w:p w14:paraId="26A7CC18" w14:textId="77777777" w:rsidR="00C56ED2" w:rsidRPr="00F4317C" w:rsidRDefault="00C56ED2" w:rsidP="00D32737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        9)  друге мере за унапређење енергетске ефикасности.</w:t>
      </w:r>
    </w:p>
    <w:p w14:paraId="2BA46260" w14:textId="77777777" w:rsidR="00D32737" w:rsidRPr="00F4317C" w:rsidRDefault="00D32737" w:rsidP="00D32737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0E4D7B9B" w14:textId="77777777" w:rsidR="00C56ED2" w:rsidRPr="00F4317C" w:rsidRDefault="00C56ED2" w:rsidP="00855DF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Мере из става 1. ове главе се могу финансирати и донацијама уколико исте буду обезбеђене.</w:t>
      </w:r>
    </w:p>
    <w:p w14:paraId="34E98E70" w14:textId="77777777" w:rsidR="00855DF1" w:rsidRPr="00F4317C" w:rsidRDefault="00855DF1" w:rsidP="00855DF1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4D8B9657" w14:textId="423CA653" w:rsidR="00C56ED2" w:rsidRPr="00F4317C" w:rsidRDefault="00C56ED2" w:rsidP="00855DF1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V</w:t>
      </w:r>
      <w:r w:rsidR="0008158C" w:rsidRPr="00F4317C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  <w:r w:rsidRPr="00F4317C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НАЧИН ФИНАНСИРАЊА</w:t>
      </w:r>
    </w:p>
    <w:p w14:paraId="69A625B8" w14:textId="77777777" w:rsidR="00855DF1" w:rsidRPr="00F4317C" w:rsidRDefault="00855DF1" w:rsidP="00855DF1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14:paraId="33682A55" w14:textId="77777777" w:rsidR="00855DF1" w:rsidRPr="00F4317C" w:rsidRDefault="00C56ED2" w:rsidP="00855DF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За реализацију Програма и преузетих обавеза на основу Уредбе о утврђивању Програма финансирања активности и мера унапређења ефикасног коришћења енергије у 202</w:t>
      </w:r>
      <w:r w:rsidR="00111670"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3</w:t>
      </w: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. години </w:t>
      </w:r>
      <w:r w:rsidR="00111670"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(„Службени гласник РС”, број 29/23) </w:t>
      </w: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користе се средства Управе која су обезбеђена на основу Закона о буџету Републике Србије </w:t>
      </w:r>
      <w:r w:rsidR="00111670"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за 2024. годину („Службени гласник РС”, број 92/23), у износу од 8</w:t>
      </w:r>
      <w:r w:rsidR="00BF1C8A"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0</w:t>
      </w:r>
      <w:r w:rsidR="00111670"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0.000.000,00 динара, на Разделу 28 - Министарство рударства и енергетике, Глава 28.2 – Управа за финансирање и подстицање енергетске ефикасности, Програм 0502 – Енергетска ефикасност, Функција 430 – Гориво и енергија, Програмска активност 0002 – Мере за унапређење енергетске ефикасности, на апропријацији економској класификацији 463 - Трансфери осталим нивоима власти. Средства за финансирање пројеката унапређења енергетске ефикасности могу се определити као бесповратна средства.</w:t>
      </w:r>
    </w:p>
    <w:p w14:paraId="5597A9A6" w14:textId="77777777" w:rsidR="00855DF1" w:rsidRPr="00F4317C" w:rsidRDefault="00855DF1" w:rsidP="00855DF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1A97BC50" w14:textId="77777777" w:rsidR="00855DF1" w:rsidRPr="00F4317C" w:rsidRDefault="00C56ED2" w:rsidP="00855DF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 складу са ставом 1. ове главе, средства ће у овој години бити опредељена за финансирање пројеката унапређења енергетске ефикасности јавних објеката у ЈЛС.</w:t>
      </w:r>
    </w:p>
    <w:p w14:paraId="486D08B3" w14:textId="77777777" w:rsidR="00855DF1" w:rsidRPr="00F4317C" w:rsidRDefault="00855DF1" w:rsidP="00855DF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766C6229" w14:textId="12A0B6E2" w:rsidR="00C56ED2" w:rsidRPr="00F4317C" w:rsidRDefault="00C56ED2" w:rsidP="00855DF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F4317C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Финансирање пројеката врши се у складу са прописом из члана 75. став 5. Закона  којим се уређују ближи услови за расподелу и коришћење средстава, начин расподеле тих средстава, као и начин праћења наменског коришћења средстава и уговорених права и обавеза.</w:t>
      </w:r>
    </w:p>
    <w:p w14:paraId="339569EB" w14:textId="77777777" w:rsidR="00CA064B" w:rsidRPr="00F4317C" w:rsidRDefault="00CA064B">
      <w:pPr>
        <w:rPr>
          <w:lang w:val="sr-Cyrl-CS"/>
        </w:rPr>
      </w:pPr>
    </w:p>
    <w:sectPr w:rsidR="00CA064B" w:rsidRPr="00F4317C" w:rsidSect="00227622">
      <w:footerReference w:type="default" r:id="rId6"/>
      <w:pgSz w:w="11906" w:h="16838"/>
      <w:pgMar w:top="1440" w:right="1440" w:bottom="1440" w:left="1440" w:header="0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3E37B" w14:textId="77777777" w:rsidR="00E70BF3" w:rsidRDefault="00E70BF3">
      <w:r>
        <w:separator/>
      </w:r>
    </w:p>
  </w:endnote>
  <w:endnote w:type="continuationSeparator" w:id="0">
    <w:p w14:paraId="2E8B295B" w14:textId="77777777" w:rsidR="00E70BF3" w:rsidRDefault="00E70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63032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67D519" w14:textId="46DBFFEE" w:rsidR="0008158C" w:rsidRDefault="000815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317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449A72C" w14:textId="77777777" w:rsidR="007A4AA5" w:rsidRDefault="007A4A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10D21" w14:textId="77777777" w:rsidR="00E70BF3" w:rsidRDefault="00E70BF3">
      <w:r>
        <w:separator/>
      </w:r>
    </w:p>
  </w:footnote>
  <w:footnote w:type="continuationSeparator" w:id="0">
    <w:p w14:paraId="60D56977" w14:textId="77777777" w:rsidR="00E70BF3" w:rsidRDefault="00E70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ED2"/>
    <w:rsid w:val="00007C44"/>
    <w:rsid w:val="00066A96"/>
    <w:rsid w:val="0008158C"/>
    <w:rsid w:val="00092843"/>
    <w:rsid w:val="000A1B63"/>
    <w:rsid w:val="0011090C"/>
    <w:rsid w:val="00111670"/>
    <w:rsid w:val="001E0C22"/>
    <w:rsid w:val="001E7774"/>
    <w:rsid w:val="001F441C"/>
    <w:rsid w:val="00227622"/>
    <w:rsid w:val="00310D33"/>
    <w:rsid w:val="00330B12"/>
    <w:rsid w:val="00510682"/>
    <w:rsid w:val="00595FB0"/>
    <w:rsid w:val="005D41E2"/>
    <w:rsid w:val="007A4AA5"/>
    <w:rsid w:val="00855DF1"/>
    <w:rsid w:val="009204A3"/>
    <w:rsid w:val="009D34DD"/>
    <w:rsid w:val="00A040CA"/>
    <w:rsid w:val="00A662FC"/>
    <w:rsid w:val="00A765FA"/>
    <w:rsid w:val="00AF5D15"/>
    <w:rsid w:val="00B5516B"/>
    <w:rsid w:val="00BF1C8A"/>
    <w:rsid w:val="00C12E88"/>
    <w:rsid w:val="00C56ED2"/>
    <w:rsid w:val="00CA064B"/>
    <w:rsid w:val="00D1636C"/>
    <w:rsid w:val="00D32737"/>
    <w:rsid w:val="00E70BF3"/>
    <w:rsid w:val="00ED0F31"/>
    <w:rsid w:val="00F05962"/>
    <w:rsid w:val="00F14F4E"/>
    <w:rsid w:val="00F4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5B0E3"/>
  <w15:chartTrackingRefBased/>
  <w15:docId w15:val="{EAB72C45-4610-4AAC-B2DF-AC21B9FB4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ED2"/>
    <w:pPr>
      <w:suppressAutoHyphens/>
      <w:spacing w:after="0" w:line="240" w:lineRule="auto"/>
    </w:pPr>
    <w:rPr>
      <w:rFonts w:eastAsia="Calibri"/>
      <w:kern w:val="0"/>
      <w:lang w:val="sr-Latn-R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6ED2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6ED2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ED2"/>
    <w:pPr>
      <w:keepNext/>
      <w:keepLines/>
      <w:suppressAutoHyphens w:val="0"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6ED2"/>
    <w:pPr>
      <w:keepNext/>
      <w:keepLines/>
      <w:suppressAutoHyphens w:val="0"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6ED2"/>
    <w:pPr>
      <w:keepNext/>
      <w:keepLines/>
      <w:suppressAutoHyphens w:val="0"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6ED2"/>
    <w:pPr>
      <w:keepNext/>
      <w:keepLines/>
      <w:suppressAutoHyphens w:val="0"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6ED2"/>
    <w:pPr>
      <w:keepNext/>
      <w:keepLines/>
      <w:suppressAutoHyphens w:val="0"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6ED2"/>
    <w:pPr>
      <w:keepNext/>
      <w:keepLines/>
      <w:suppressAutoHyphens w:val="0"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6ED2"/>
    <w:pPr>
      <w:keepNext/>
      <w:keepLines/>
      <w:suppressAutoHyphens w:val="0"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6E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6E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E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6E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6E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6E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6E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6E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6E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56ED2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56E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6ED2"/>
    <w:pPr>
      <w:numPr>
        <w:ilvl w:val="1"/>
      </w:numPr>
      <w:suppressAutoHyphens w:val="0"/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56E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56ED2"/>
    <w:pPr>
      <w:suppressAutoHyphens w:val="0"/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56E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56ED2"/>
    <w:pPr>
      <w:suppressAutoHyphens w:val="0"/>
      <w:spacing w:after="160" w:line="259" w:lineRule="auto"/>
      <w:ind w:left="720"/>
      <w:contextualSpacing/>
    </w:pPr>
    <w:rPr>
      <w:rFonts w:eastAsiaTheme="minorHAnsi"/>
      <w:kern w:val="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56E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6E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6E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56ED2"/>
    <w:rPr>
      <w:b/>
      <w:bCs/>
      <w:smallCaps/>
      <w:color w:val="0F4761" w:themeColor="accent1" w:themeShade="BF"/>
      <w:spacing w:val="5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C56ED2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C56ED2"/>
    <w:pPr>
      <w:tabs>
        <w:tab w:val="center" w:pos="4680"/>
        <w:tab w:val="right" w:pos="9360"/>
      </w:tabs>
    </w:pPr>
    <w:rPr>
      <w:rFonts w:eastAsiaTheme="minorHAnsi"/>
      <w:kern w:val="2"/>
      <w14:ligatures w14:val="standardContextual"/>
    </w:rPr>
  </w:style>
  <w:style w:type="character" w:customStyle="1" w:styleId="FooterChar1">
    <w:name w:val="Footer Char1"/>
    <w:basedOn w:val="DefaultParagraphFont"/>
    <w:uiPriority w:val="99"/>
    <w:semiHidden/>
    <w:rsid w:val="00C56ED2"/>
    <w:rPr>
      <w:rFonts w:eastAsia="Calibri"/>
      <w:kern w:val="0"/>
      <w:lang w:val="sr-Latn-R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815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158C"/>
    <w:rPr>
      <w:rFonts w:eastAsia="Calibri"/>
      <w:kern w:val="0"/>
      <w:lang w:val="sr-Latn-R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1789</Words>
  <Characters>10199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Mitić</dc:creator>
  <cp:keywords/>
  <dc:description/>
  <cp:lastModifiedBy>Ivana Vojinović</cp:lastModifiedBy>
  <cp:revision>2</cp:revision>
  <dcterms:created xsi:type="dcterms:W3CDTF">2024-06-13T12:23:00Z</dcterms:created>
  <dcterms:modified xsi:type="dcterms:W3CDTF">2024-06-13T12:23:00Z</dcterms:modified>
</cp:coreProperties>
</file>