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4E8F4" w14:textId="77777777" w:rsidR="00BB0E7D" w:rsidRPr="004F5D67" w:rsidRDefault="00BB0E7D" w:rsidP="009E34B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92DB4B5" w14:textId="5AA0F5F7" w:rsidR="000568F2" w:rsidRPr="004F5D67" w:rsidRDefault="00F13079" w:rsidP="000568F2">
      <w:pPr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bookmarkStart w:id="0" w:name="_Toc161827219"/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</w:t>
      </w:r>
    </w:p>
    <w:p w14:paraId="0CB5E8D9" w14:textId="77777777" w:rsidR="000568F2" w:rsidRPr="004F5D67" w:rsidRDefault="000568F2" w:rsidP="000568F2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928C5DB" w14:textId="77777777" w:rsidR="000568F2" w:rsidRPr="004F5D67" w:rsidRDefault="000568F2" w:rsidP="000568F2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64609A6" w14:textId="77777777" w:rsidR="000568F2" w:rsidRPr="004F5D67" w:rsidRDefault="000568F2" w:rsidP="000568F2">
      <w:pPr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EC6E098" w14:textId="2F78BF0C" w:rsidR="000568F2" w:rsidRPr="004F5D67" w:rsidRDefault="000568F2" w:rsidP="000568F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СТРАТЕШКИ ПЛАН</w:t>
      </w:r>
    </w:p>
    <w:p w14:paraId="6EA30F24" w14:textId="77777777" w:rsidR="000568F2" w:rsidRPr="004F5D67" w:rsidRDefault="000568F2" w:rsidP="000568F2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 БОРБУ ПРОТИВ ПРЕВАРА И УПРАВЉАЊЕ НЕПРАВИЛНОСТИМА У ПОСТУПАЊУ СА ФИНАНСИЈСКИМ СРЕДСТВИМА ЕВРОПСКЕ УНИЈЕ У РЕПУБЛИЦИ СРБИЈИ ЗА ПЕРИОД 2024−2026. ГОДИНЕ</w:t>
      </w:r>
    </w:p>
    <w:p w14:paraId="581F9C37" w14:textId="11E7DD14" w:rsidR="000568F2" w:rsidRPr="004F5D67" w:rsidRDefault="000568F2" w:rsidP="000568F2">
      <w:pPr>
        <w:pStyle w:val="Heading1"/>
        <w:spacing w:before="0"/>
        <w:jc w:val="center"/>
        <w:rPr>
          <w:sz w:val="24"/>
          <w:szCs w:val="24"/>
          <w:lang w:val="sr-Cyrl-CS"/>
        </w:rPr>
      </w:pPr>
    </w:p>
    <w:p w14:paraId="07190ABB" w14:textId="77777777" w:rsidR="000568F2" w:rsidRPr="004F5D67" w:rsidRDefault="000568F2" w:rsidP="000568F2">
      <w:pPr>
        <w:rPr>
          <w:lang w:val="sr-Cyrl-CS"/>
        </w:rPr>
      </w:pPr>
    </w:p>
    <w:p w14:paraId="04B0A281" w14:textId="1466561D" w:rsidR="00471F75" w:rsidRPr="004F5D67" w:rsidRDefault="0007368D" w:rsidP="009E34BA">
      <w:pPr>
        <w:pStyle w:val="Heading1"/>
        <w:spacing w:before="0"/>
        <w:rPr>
          <w:sz w:val="24"/>
          <w:szCs w:val="24"/>
          <w:lang w:val="sr-Cyrl-CS"/>
        </w:rPr>
      </w:pPr>
      <w:r w:rsidRPr="004F5D67">
        <w:rPr>
          <w:sz w:val="24"/>
          <w:szCs w:val="24"/>
          <w:lang w:val="sr-Cyrl-CS"/>
        </w:rPr>
        <w:t>I</w:t>
      </w:r>
      <w:r w:rsidR="00681EFB">
        <w:rPr>
          <w:sz w:val="24"/>
          <w:szCs w:val="24"/>
          <w:lang w:val="sr-Cyrl-CS"/>
        </w:rPr>
        <w:t xml:space="preserve">. </w:t>
      </w:r>
      <w:r w:rsidRPr="004F5D67">
        <w:rPr>
          <w:sz w:val="24"/>
          <w:szCs w:val="24"/>
          <w:lang w:val="sr-Cyrl-CS"/>
        </w:rPr>
        <w:t xml:space="preserve"> </w:t>
      </w:r>
      <w:r w:rsidR="008E76D9" w:rsidRPr="004F5D67">
        <w:rPr>
          <w:sz w:val="24"/>
          <w:szCs w:val="24"/>
          <w:lang w:val="sr-Cyrl-CS"/>
        </w:rPr>
        <w:t>У</w:t>
      </w:r>
      <w:r w:rsidR="0027140D" w:rsidRPr="004F5D67">
        <w:rPr>
          <w:sz w:val="24"/>
          <w:szCs w:val="24"/>
          <w:lang w:val="sr-Cyrl-CS"/>
        </w:rPr>
        <w:t>вод</w:t>
      </w:r>
      <w:bookmarkEnd w:id="0"/>
    </w:p>
    <w:p w14:paraId="329BE62F" w14:textId="77777777" w:rsidR="00E50A04" w:rsidRPr="004F5D67" w:rsidRDefault="00E50A04" w:rsidP="009E34B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34B966" w14:textId="7F3CE957" w:rsidR="00CC7A3F" w:rsidRPr="004F5D67" w:rsidRDefault="00992522" w:rsidP="00733298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Једа</w:t>
      </w:r>
      <w:r w:rsidR="009B1E6D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 од главних стратешких циљева Р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епублике </w:t>
      </w:r>
      <w:r w:rsidR="009B1E6D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Србије 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је п</w:t>
      </w:r>
      <w:r w:rsidR="0007368D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унопр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="00094B55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вно чланство у Европској унији. Како 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би се </w:t>
      </w:r>
      <w:r w:rsidR="00094B55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наведени циљ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остварио неопходно је</w:t>
      </w:r>
      <w:r w:rsidR="00E2791F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између осталог,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07368D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достизање стандарда Европске уније, успостављање владавине права</w:t>
      </w:r>
      <w:r w:rsidR="00A1242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07368D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унапређење институционалног оквира, као и економски развој и напредак државе. </w:t>
      </w:r>
      <w:r w:rsidR="00094B55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 тим у вези, а и</w:t>
      </w:r>
      <w:r w:rsidR="00BD3DF1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мајући у виду преуз</w:t>
      </w:r>
      <w:r w:rsidR="00E2791F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ете обав</w:t>
      </w:r>
      <w:r w:rsidR="009B1E6D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езе</w:t>
      </w:r>
      <w:r w:rsidR="00094B55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9B1E6D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094B55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Република Србија</w:t>
      </w:r>
      <w:r w:rsidR="009B1E6D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094B55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спроводи</w:t>
      </w:r>
      <w:r w:rsidR="00BD3DF1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07368D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реформе и предузима </w:t>
      </w:r>
      <w:r w:rsidR="0017005B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неопходне</w:t>
      </w:r>
      <w:r w:rsidR="00094B55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07368D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мере</w:t>
      </w:r>
      <w:r w:rsidR="0017005B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а све у циљу</w:t>
      </w:r>
      <w:r w:rsidR="0007368D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оствар</w:t>
      </w:r>
      <w:r w:rsidR="0017005B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ења</w:t>
      </w:r>
      <w:r w:rsidR="0007368D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задовољавајући</w:t>
      </w:r>
      <w:r w:rsidR="0017005B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х</w:t>
      </w:r>
      <w:r w:rsidR="005E7629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резултатa</w:t>
      </w:r>
      <w:r w:rsidR="00BD3DF1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процесу европских интеграција</w:t>
      </w:r>
      <w:r w:rsidR="0007368D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</w:t>
      </w:r>
      <w:r w:rsidR="00BD3DF1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оквиру тог процеса, свим д</w:t>
      </w:r>
      <w:r w:rsidR="00074C01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ржавама кандидатима за чланство,</w:t>
      </w:r>
      <w:r w:rsidR="00BD3DF1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074C01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Европска унија </w:t>
      </w:r>
      <w:r w:rsidR="00E40589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пружа савет</w:t>
      </w:r>
      <w:r w:rsidR="00012E2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одавну и финансијску помоћ, кроз</w:t>
      </w:r>
      <w:r w:rsidR="009A4EB0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раз</w:t>
      </w:r>
      <w:r w:rsidR="00E40589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личите претприступне механизме.</w:t>
      </w:r>
    </w:p>
    <w:p w14:paraId="048B456E" w14:textId="58FE5FB6" w:rsidR="00911760" w:rsidRPr="004F5D67" w:rsidRDefault="00A1242C" w:rsidP="00733298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Република Србија је, у циљу ефикасне</w:t>
      </w:r>
      <w:r w:rsidR="00232967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</w:t>
      </w:r>
      <w:r w:rsidR="00F0223B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ефективне</w:t>
      </w:r>
      <w:r w:rsidR="00B120C3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употребе наведенe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B120C3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финансијске помоћи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012E2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преузела обавезу да </w:t>
      </w:r>
      <w:r w:rsidR="0007368D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осигура </w:t>
      </w:r>
      <w:r w:rsidR="00B120C3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одговорно коришћење исте</w:t>
      </w:r>
      <w:r w:rsidR="0007368D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да успостави систем контроле како би се потенцијалне неправилности</w:t>
      </w:r>
      <w:r w:rsidR="00D827C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прева</w:t>
      </w:r>
      <w:r w:rsidR="005E7629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 правовремено уочиле.</w:t>
      </w:r>
      <w:r w:rsidR="003F53C4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14:paraId="326BADB1" w14:textId="7C78080A" w:rsidR="0029662B" w:rsidRPr="004F5D67" w:rsidRDefault="00E44B7A" w:rsidP="00733298">
      <w:pPr>
        <w:pStyle w:val="PASUS"/>
        <w:spacing w:before="0" w:after="0"/>
        <w:rPr>
          <w:lang w:val="sr-Cyrl-CS"/>
        </w:rPr>
      </w:pPr>
      <w:r w:rsidRPr="004F5D67">
        <w:rPr>
          <w:color w:val="000000"/>
          <w:lang w:val="sr-Cyrl-CS"/>
        </w:rPr>
        <w:t>Како би унапредила област заштите финансијских интереса Е</w:t>
      </w:r>
      <w:r w:rsidR="007E3966" w:rsidRPr="004F5D67">
        <w:rPr>
          <w:color w:val="000000"/>
          <w:lang w:val="sr-Cyrl-CS"/>
        </w:rPr>
        <w:t>вропске уније</w:t>
      </w:r>
      <w:r w:rsidR="00911760" w:rsidRPr="004F5D67">
        <w:rPr>
          <w:color w:val="000000"/>
          <w:lang w:val="sr-Cyrl-CS"/>
        </w:rPr>
        <w:t xml:space="preserve">, Влада је, на предлог Министарства финансија, </w:t>
      </w:r>
      <w:r w:rsidR="0007368D" w:rsidRPr="004F5D67">
        <w:rPr>
          <w:color w:val="000000"/>
          <w:lang w:val="sr-Cyrl-CS"/>
        </w:rPr>
        <w:t>дана 26. октобра 2017. године</w:t>
      </w:r>
      <w:r w:rsidR="006502B7" w:rsidRPr="004F5D67">
        <w:rPr>
          <w:color w:val="000000"/>
          <w:lang w:val="sr-Cyrl-CS"/>
        </w:rPr>
        <w:t>,</w:t>
      </w:r>
      <w:r w:rsidR="0007368D" w:rsidRPr="004F5D67">
        <w:rPr>
          <w:color w:val="000000"/>
          <w:lang w:val="sr-Cyrl-CS"/>
        </w:rPr>
        <w:t xml:space="preserve"> </w:t>
      </w:r>
      <w:r w:rsidR="00911760" w:rsidRPr="004F5D67">
        <w:rPr>
          <w:color w:val="000000"/>
          <w:lang w:val="sr-Cyrl-CS"/>
        </w:rPr>
        <w:t>донела</w:t>
      </w:r>
      <w:r w:rsidR="0007368D" w:rsidRPr="004F5D67">
        <w:rPr>
          <w:color w:val="000000"/>
          <w:lang w:val="sr-Cyrl-CS"/>
        </w:rPr>
        <w:t xml:space="preserve"> Стратегију за сузбијање неправилности и превара у поступању са финансијским средствима Европске уније у </w:t>
      </w:r>
      <w:r w:rsidR="00911760" w:rsidRPr="004F5D67">
        <w:rPr>
          <w:color w:val="000000"/>
          <w:lang w:val="sr-Cyrl-CS"/>
        </w:rPr>
        <w:t>Републици Србији за период 2017</w:t>
      </w:r>
      <w:r w:rsidR="007E3966" w:rsidRPr="004F5D67">
        <w:rPr>
          <w:color w:val="000000"/>
          <w:lang w:val="sr-Cyrl-CS"/>
        </w:rPr>
        <w:t>–</w:t>
      </w:r>
      <w:r w:rsidR="0007368D" w:rsidRPr="004F5D67">
        <w:rPr>
          <w:color w:val="000000"/>
          <w:lang w:val="sr-Cyrl-CS"/>
        </w:rPr>
        <w:t>2020. године („Сл</w:t>
      </w:r>
      <w:r w:rsidR="00911760" w:rsidRPr="004F5D67">
        <w:rPr>
          <w:color w:val="000000"/>
          <w:lang w:val="sr-Cyrl-CS"/>
        </w:rPr>
        <w:t xml:space="preserve">ужбени гласник РСˮ, број 98/17 </w:t>
      </w:r>
      <w:r w:rsidR="007E3966" w:rsidRPr="004F5D67">
        <w:rPr>
          <w:color w:val="000000"/>
          <w:lang w:val="sr-Cyrl-CS"/>
        </w:rPr>
        <w:t>–</w:t>
      </w:r>
      <w:r w:rsidR="0007368D" w:rsidRPr="004F5D67">
        <w:rPr>
          <w:color w:val="000000"/>
          <w:lang w:val="sr-Cyrl-CS"/>
        </w:rPr>
        <w:t xml:space="preserve"> </w:t>
      </w:r>
      <w:r w:rsidR="007E3966" w:rsidRPr="004F5D67">
        <w:rPr>
          <w:color w:val="000000"/>
          <w:lang w:val="sr-Cyrl-CS"/>
        </w:rPr>
        <w:t>у даљем тексту: Стратегија 2017–</w:t>
      </w:r>
      <w:r w:rsidR="0007368D" w:rsidRPr="004F5D67">
        <w:rPr>
          <w:color w:val="000000"/>
          <w:lang w:val="sr-Cyrl-CS"/>
        </w:rPr>
        <w:t xml:space="preserve">2020) са пратећим акционим </w:t>
      </w:r>
      <w:r w:rsidR="0007368D" w:rsidRPr="004F5D67">
        <w:rPr>
          <w:lang w:val="sr-Cyrl-CS"/>
        </w:rPr>
        <w:t>планом.</w:t>
      </w:r>
      <w:r w:rsidR="00D827CC" w:rsidRPr="004F5D67">
        <w:rPr>
          <w:lang w:val="sr-Cyrl-CS"/>
        </w:rPr>
        <w:t xml:space="preserve"> </w:t>
      </w:r>
      <w:r w:rsidR="007E3966" w:rsidRPr="004F5D67">
        <w:rPr>
          <w:lang w:val="sr-Cyrl-CS"/>
        </w:rPr>
        <w:t>Стратегија 2017</w:t>
      </w:r>
      <w:r w:rsidR="007E3966" w:rsidRPr="004F5D67">
        <w:rPr>
          <w:color w:val="000000"/>
          <w:lang w:val="sr-Cyrl-CS"/>
        </w:rPr>
        <w:t>–</w:t>
      </w:r>
      <w:r w:rsidR="00D4116F" w:rsidRPr="004F5D67">
        <w:rPr>
          <w:lang w:val="sr-Cyrl-CS"/>
        </w:rPr>
        <w:t xml:space="preserve">2020 је представљала документ који први пут у Републици Србији област заштите финансијских </w:t>
      </w:r>
      <w:r w:rsidR="007F5A18" w:rsidRPr="004F5D67">
        <w:rPr>
          <w:lang w:val="sr-Cyrl-CS"/>
        </w:rPr>
        <w:t>интереса</w:t>
      </w:r>
      <w:r w:rsidR="00D4116F" w:rsidRPr="004F5D67">
        <w:rPr>
          <w:lang w:val="sr-Cyrl-CS"/>
        </w:rPr>
        <w:t xml:space="preserve"> Е</w:t>
      </w:r>
      <w:r w:rsidR="007E3966" w:rsidRPr="004F5D67">
        <w:rPr>
          <w:lang w:val="sr-Cyrl-CS"/>
        </w:rPr>
        <w:t>вропске уније</w:t>
      </w:r>
      <w:r w:rsidR="00D4116F" w:rsidRPr="004F5D67">
        <w:rPr>
          <w:lang w:val="sr-Cyrl-CS"/>
        </w:rPr>
        <w:t>, а самим тим и сопствених</w:t>
      </w:r>
      <w:r w:rsidR="007F5A18" w:rsidRPr="004F5D67">
        <w:rPr>
          <w:lang w:val="sr-Cyrl-CS"/>
        </w:rPr>
        <w:t xml:space="preserve"> финансијских интереса</w:t>
      </w:r>
      <w:r w:rsidR="00D4116F" w:rsidRPr="004F5D67">
        <w:rPr>
          <w:lang w:val="sr-Cyrl-CS"/>
        </w:rPr>
        <w:t xml:space="preserve">, третира на целовит и темељан начин дефинисањем области примене, повезивањем широког круга државних </w:t>
      </w:r>
      <w:r w:rsidR="00127E9C" w:rsidRPr="004F5D67">
        <w:rPr>
          <w:lang w:val="sr-Cyrl-CS"/>
        </w:rPr>
        <w:t>органа</w:t>
      </w:r>
      <w:r w:rsidR="00D4116F" w:rsidRPr="004F5D67">
        <w:rPr>
          <w:lang w:val="sr-Cyrl-CS"/>
        </w:rPr>
        <w:t xml:space="preserve"> који кроз сарадњу и размену информација доприносе ефикаснијем поступању са идентификованим неправилностима и сумњама на превару.</w:t>
      </w:r>
    </w:p>
    <w:p w14:paraId="023B1278" w14:textId="6288DB97" w:rsidR="00CC7A3F" w:rsidRPr="004F5D67" w:rsidRDefault="003F53C4" w:rsidP="00733298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Након </w:t>
      </w:r>
      <w:r w:rsidR="00911760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имплементације </w:t>
      </w:r>
      <w:r w:rsidR="00911760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Стратегије 2017</w:t>
      </w:r>
      <w:r w:rsidR="007E396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–</w:t>
      </w:r>
      <w:r w:rsidR="00911760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2020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, дана 21. октобра 2021. године</w:t>
      </w:r>
      <w:r w:rsidR="00C003D6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2060" w:rsidRPr="004F5D67">
        <w:rPr>
          <w:rFonts w:ascii="Times New Roman" w:hAnsi="Times New Roman" w:cs="Times New Roman"/>
          <w:sz w:val="24"/>
          <w:szCs w:val="24"/>
          <w:lang w:val="sr-Cyrl-CS"/>
        </w:rPr>
        <w:t>Влада је, такође на предлог Министарства финансија</w:t>
      </w:r>
      <w:r w:rsidR="00C003D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, донела Закључак </w:t>
      </w:r>
      <w:r w:rsidR="00C003D6" w:rsidRPr="004F5D67">
        <w:rPr>
          <w:rFonts w:ascii="Times New Roman" w:hAnsi="Times New Roman" w:cs="Times New Roman"/>
          <w:noProof/>
          <w:sz w:val="24"/>
          <w:szCs w:val="24"/>
          <w:lang w:val="sr-Cyrl-CS" w:eastAsia="en-GB"/>
        </w:rPr>
        <w:t xml:space="preserve">05 Број: 48-9638/2021-1 </w:t>
      </w:r>
      <w:r w:rsidR="00C003D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којим је </w:t>
      </w:r>
      <w:r w:rsidR="00B562B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усвојен </w:t>
      </w:r>
      <w:r w:rsidR="00C003D6" w:rsidRPr="004F5D67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B562BD" w:rsidRPr="004F5D67">
        <w:rPr>
          <w:rFonts w:ascii="Times New Roman" w:hAnsi="Times New Roman" w:cs="Times New Roman"/>
          <w:sz w:val="24"/>
          <w:szCs w:val="24"/>
          <w:lang w:val="sr-Cyrl-CS"/>
        </w:rPr>
        <w:t>тратешки план за борбу против превара</w:t>
      </w:r>
      <w:r w:rsidR="00C5455E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и управљање неправилностима у поступању са финансијским средствима </w:t>
      </w:r>
      <w:r w:rsidR="00130C66" w:rsidRPr="004F5D6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5455E" w:rsidRPr="004F5D67">
        <w:rPr>
          <w:rFonts w:ascii="Times New Roman" w:hAnsi="Times New Roman" w:cs="Times New Roman"/>
          <w:sz w:val="24"/>
          <w:szCs w:val="24"/>
          <w:lang w:val="sr-Cyrl-CS"/>
        </w:rPr>
        <w:t>вропске уније у Републици С</w:t>
      </w:r>
      <w:r w:rsidR="007E3966" w:rsidRPr="004F5D67">
        <w:rPr>
          <w:rFonts w:ascii="Times New Roman" w:hAnsi="Times New Roman" w:cs="Times New Roman"/>
          <w:sz w:val="24"/>
          <w:szCs w:val="24"/>
          <w:lang w:val="sr-Cyrl-CS"/>
        </w:rPr>
        <w:t>рбији за период 2021</w:t>
      </w:r>
      <w:r w:rsidR="007E396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–</w:t>
      </w:r>
      <w:r w:rsidR="007A3BA4" w:rsidRPr="004F5D67">
        <w:rPr>
          <w:rFonts w:ascii="Times New Roman" w:hAnsi="Times New Roman" w:cs="Times New Roman"/>
          <w:sz w:val="24"/>
          <w:szCs w:val="24"/>
          <w:lang w:val="sr-Cyrl-CS"/>
        </w:rPr>
        <w:t>2023</w:t>
      </w:r>
      <w:r w:rsidR="00C003D6" w:rsidRPr="004F5D67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  <w:r w:rsidR="007A3BA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003D6" w:rsidRPr="004F5D67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7A3BA4" w:rsidRPr="004F5D67">
        <w:rPr>
          <w:rFonts w:ascii="Times New Roman" w:eastAsia="Times New Roman" w:hAnsi="Times New Roman" w:cs="Times New Roman"/>
          <w:sz w:val="24"/>
          <w:szCs w:val="24"/>
          <w:lang w:val="sr-Cyrl-CS"/>
        </w:rPr>
        <w:t>„Службени гласник РС</w:t>
      </w:r>
      <w:r w:rsidR="00C003D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ˮ</w:t>
      </w:r>
      <w:r w:rsidR="007A3BA4" w:rsidRPr="004F5D67">
        <w:rPr>
          <w:rFonts w:ascii="Times New Roman" w:eastAsia="Times New Roman" w:hAnsi="Times New Roman" w:cs="Times New Roman"/>
          <w:sz w:val="24"/>
          <w:szCs w:val="24"/>
          <w:lang w:val="sr-Cyrl-CS"/>
        </w:rPr>
        <w:t>, бр</w:t>
      </w:r>
      <w:r w:rsidR="00C003D6" w:rsidRPr="004F5D67">
        <w:rPr>
          <w:rFonts w:ascii="Times New Roman" w:eastAsia="Times New Roman" w:hAnsi="Times New Roman" w:cs="Times New Roman"/>
          <w:sz w:val="24"/>
          <w:szCs w:val="24"/>
          <w:lang w:val="sr-Cyrl-CS"/>
        </w:rPr>
        <w:t>ој 99/</w:t>
      </w:r>
      <w:r w:rsidR="007A3BA4" w:rsidRPr="004F5D67">
        <w:rPr>
          <w:rFonts w:ascii="Times New Roman" w:eastAsia="Times New Roman" w:hAnsi="Times New Roman" w:cs="Times New Roman"/>
          <w:sz w:val="24"/>
          <w:szCs w:val="24"/>
          <w:lang w:val="sr-Cyrl-CS"/>
        </w:rPr>
        <w:t>21</w:t>
      </w:r>
      <w:r w:rsidR="007D76D6" w:rsidRPr="004F5D6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E396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–</w:t>
      </w:r>
      <w:r w:rsidR="007D76D6" w:rsidRPr="004F5D6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даљем те</w:t>
      </w:r>
      <w:r w:rsidR="009B2617" w:rsidRPr="004F5D67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7D76D6" w:rsidRPr="004F5D67">
        <w:rPr>
          <w:rFonts w:ascii="Times New Roman" w:eastAsia="Times New Roman" w:hAnsi="Times New Roman" w:cs="Times New Roman"/>
          <w:sz w:val="24"/>
          <w:szCs w:val="24"/>
          <w:lang w:val="sr-Cyrl-CS"/>
        </w:rPr>
        <w:t>с</w:t>
      </w:r>
      <w:r w:rsidR="007E3966" w:rsidRPr="004F5D67">
        <w:rPr>
          <w:rFonts w:ascii="Times New Roman" w:eastAsia="Times New Roman" w:hAnsi="Times New Roman" w:cs="Times New Roman"/>
          <w:sz w:val="24"/>
          <w:szCs w:val="24"/>
          <w:lang w:val="sr-Cyrl-CS"/>
        </w:rPr>
        <w:t>ту Стратешки план 2021</w:t>
      </w:r>
      <w:r w:rsidR="007E396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–</w:t>
      </w:r>
      <w:r w:rsidR="009B2617" w:rsidRPr="004F5D67">
        <w:rPr>
          <w:rFonts w:ascii="Times New Roman" w:eastAsia="Times New Roman" w:hAnsi="Times New Roman" w:cs="Times New Roman"/>
          <w:sz w:val="24"/>
          <w:szCs w:val="24"/>
          <w:lang w:val="sr-Cyrl-CS"/>
        </w:rPr>
        <w:t>2023</w:t>
      </w:r>
      <w:r w:rsidR="007A3BA4" w:rsidRPr="004F5D67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9B2617" w:rsidRPr="004F5D67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ED7855E" w14:textId="04C234CA" w:rsidR="00F43FAC" w:rsidRPr="004F5D67" w:rsidRDefault="00A44962" w:rsidP="00733298">
      <w:pPr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eastAsia="Calibri" w:hAnsi="Times New Roman" w:cs="Times New Roman"/>
          <w:sz w:val="24"/>
          <w:szCs w:val="24"/>
          <w:lang w:val="sr-Cyrl-CS"/>
        </w:rPr>
        <w:t>Сврха Стратешког плана</w:t>
      </w:r>
      <w:r w:rsidR="00F43FAC" w:rsidRPr="004F5D6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7E3966" w:rsidRPr="004F5D67">
        <w:rPr>
          <w:rFonts w:ascii="Times New Roman" w:eastAsia="Times New Roman" w:hAnsi="Times New Roman" w:cs="Times New Roman"/>
          <w:sz w:val="24"/>
          <w:szCs w:val="24"/>
          <w:lang w:val="sr-Cyrl-CS"/>
        </w:rPr>
        <w:t>2021</w:t>
      </w:r>
      <w:r w:rsidR="007E396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–</w:t>
      </w:r>
      <w:r w:rsidR="00F43FAC" w:rsidRPr="004F5D6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2023 </w:t>
      </w:r>
      <w:r w:rsidRPr="004F5D67">
        <w:rPr>
          <w:rFonts w:ascii="Times New Roman" w:eastAsia="Times New Roman" w:hAnsi="Times New Roman" w:cs="Times New Roman"/>
          <w:sz w:val="24"/>
          <w:szCs w:val="24"/>
          <w:lang w:val="sr-Cyrl-CS"/>
        </w:rPr>
        <w:t>била је</w:t>
      </w:r>
      <w:r w:rsidRPr="004F5D6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F43FAC" w:rsidRPr="004F5D6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унапређење већ успостављених механизама, који </w:t>
      </w:r>
      <w:r w:rsidRPr="004F5D67">
        <w:rPr>
          <w:rFonts w:ascii="Times New Roman" w:eastAsia="Calibri" w:hAnsi="Times New Roman" w:cs="Times New Roman"/>
          <w:sz w:val="24"/>
          <w:szCs w:val="24"/>
          <w:lang w:val="sr-Cyrl-CS"/>
        </w:rPr>
        <w:t>би</w:t>
      </w:r>
      <w:r w:rsidR="00F43FAC" w:rsidRPr="004F5D67">
        <w:rPr>
          <w:rFonts w:ascii="Times New Roman" w:eastAsia="Calibri" w:hAnsi="Times New Roman" w:cs="Times New Roman"/>
          <w:sz w:val="24"/>
          <w:szCs w:val="24"/>
          <w:lang w:val="sr-Cyrl-CS"/>
        </w:rPr>
        <w:t>, на ефикаснији начин, дове</w:t>
      </w:r>
      <w:r w:rsidRPr="004F5D67">
        <w:rPr>
          <w:rFonts w:ascii="Times New Roman" w:eastAsia="Calibri" w:hAnsi="Times New Roman" w:cs="Times New Roman"/>
          <w:sz w:val="24"/>
          <w:szCs w:val="24"/>
          <w:lang w:val="sr-Cyrl-CS"/>
        </w:rPr>
        <w:t>ли</w:t>
      </w:r>
      <w:r w:rsidR="00F43FAC" w:rsidRPr="004F5D6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до испуњења задатих циљева, уз ефективну алокацију финансијских и кадровских ресурса.</w:t>
      </w:r>
    </w:p>
    <w:p w14:paraId="10606775" w14:textId="28122DD3" w:rsidR="00774659" w:rsidRPr="004F5D67" w:rsidRDefault="001A4F89" w:rsidP="00733298">
      <w:pPr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Оба документа, </w:t>
      </w:r>
      <w:r w:rsidR="007E396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Стратегија 2017–</w:t>
      </w:r>
      <w:r w:rsidR="0007368D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2020 </w:t>
      </w:r>
      <w:r w:rsidR="007E396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 Стратешки план 2021–</w:t>
      </w:r>
      <w:r w:rsidR="00984599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2023</w:t>
      </w:r>
      <w:r w:rsidR="0029662B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984599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су </w:t>
      </w:r>
      <w:r w:rsidR="0029662B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имплементира</w:t>
      </w:r>
      <w:r w:rsidR="00D50E17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</w:t>
      </w:r>
      <w:r w:rsidR="0029662B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путем реализације активности од стране</w:t>
      </w:r>
      <w:r w:rsidR="0037799E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663847" w:rsidRPr="004F5D6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Одељења за сузбијање неправилности и превара у поступању са финансијским средствима Европске уније (АФКОС)</w:t>
      </w:r>
      <w:r w:rsidR="007E3966" w:rsidRPr="004F5D6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7E396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–</w:t>
      </w:r>
      <w:r w:rsidR="004B07EA" w:rsidRPr="004F5D6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4B07EA" w:rsidRPr="004F5D67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(у даљем тексту: АФКОС)</w:t>
      </w:r>
      <w:r w:rsidR="00663847" w:rsidRPr="004F5D6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и </w:t>
      </w:r>
      <w:r w:rsidR="0037799E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институција које има</w:t>
      </w:r>
      <w:r w:rsidR="00354B8F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ју</w:t>
      </w:r>
      <w:r w:rsidR="0037799E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37799E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представ</w:t>
      </w:r>
      <w:r w:rsidR="00967F3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</w:t>
      </w:r>
      <w:r w:rsidR="0037799E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ике у </w:t>
      </w:r>
      <w:r w:rsidR="00504F15" w:rsidRPr="004F5D67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Мрежи </w:t>
      </w:r>
      <w:r w:rsidR="00504F15" w:rsidRPr="004F5D6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за </w:t>
      </w:r>
      <w:r w:rsidR="00504F15" w:rsidRPr="004F5D67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борбу против превара и управљање неправилностима у поступању са финансијским средствима Европске уније</w:t>
      </w:r>
      <w:r w:rsidR="00504F15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504F15" w:rsidRPr="004F5D67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(у даљем тексту: </w:t>
      </w:r>
      <w:r w:rsidR="00052D6E" w:rsidRPr="004F5D67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АФКОС </w:t>
      </w:r>
      <w:r w:rsidR="00504F15" w:rsidRPr="004F5D67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Мрежа).</w:t>
      </w:r>
    </w:p>
    <w:p w14:paraId="19CF6E36" w14:textId="307C0F87" w:rsidR="00774659" w:rsidRPr="004F5D67" w:rsidRDefault="00774659" w:rsidP="00733298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Чланови и заменици чланова АФКОС Мреже су именовани представници следећих институција:</w:t>
      </w:r>
    </w:p>
    <w:p w14:paraId="45C3CA4F" w14:textId="77777777" w:rsidR="00774659" w:rsidRPr="004F5D67" w:rsidRDefault="00774659" w:rsidP="009E34BA">
      <w:pPr>
        <w:pStyle w:val="ListParagraph"/>
        <w:ind w:left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- Министарства финансија;</w:t>
      </w:r>
    </w:p>
    <w:p w14:paraId="0335177D" w14:textId="21BAE776" w:rsidR="00774659" w:rsidRPr="004F5D67" w:rsidRDefault="00774659" w:rsidP="009E34BA">
      <w:pPr>
        <w:pStyle w:val="ListParagraph"/>
        <w:ind w:left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- Министарства унутрашњих послова</w:t>
      </w:r>
      <w:r w:rsidR="00CF6CCD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(у даљем тексту: МУП)</w:t>
      </w: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14:paraId="26D2C145" w14:textId="77777777" w:rsidR="00774659" w:rsidRPr="004F5D67" w:rsidRDefault="00774659" w:rsidP="009E34BA">
      <w:pPr>
        <w:pStyle w:val="ListParagraph"/>
        <w:ind w:left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- Министарства правде;</w:t>
      </w:r>
    </w:p>
    <w:p w14:paraId="7E4D4A02" w14:textId="77777777" w:rsidR="00774659" w:rsidRPr="004F5D67" w:rsidRDefault="00774659" w:rsidP="009E34BA">
      <w:pPr>
        <w:pStyle w:val="ListParagraph"/>
        <w:ind w:left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- Министарства за европске интеграције;</w:t>
      </w:r>
    </w:p>
    <w:p w14:paraId="761D2CAE" w14:textId="77777777" w:rsidR="00774659" w:rsidRPr="004F5D67" w:rsidRDefault="00774659" w:rsidP="009E34BA">
      <w:pPr>
        <w:pStyle w:val="ListParagraph"/>
        <w:ind w:left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- Министарства пољопривреде, шумарства и водопривреде;</w:t>
      </w:r>
    </w:p>
    <w:p w14:paraId="5847F616" w14:textId="77777777" w:rsidR="00774659" w:rsidRPr="004F5D67" w:rsidRDefault="00774659" w:rsidP="009E34BA">
      <w:pPr>
        <w:pStyle w:val="ListParagraph"/>
        <w:ind w:left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- Врховног јавног тужилаштва;</w:t>
      </w:r>
    </w:p>
    <w:p w14:paraId="5BB892F7" w14:textId="77777777" w:rsidR="00774659" w:rsidRPr="004F5D67" w:rsidRDefault="00774659" w:rsidP="009E34BA">
      <w:pPr>
        <w:pStyle w:val="ListParagraph"/>
        <w:ind w:left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- Агенције за спречавање корупције; и</w:t>
      </w:r>
    </w:p>
    <w:p w14:paraId="7F434879" w14:textId="2C75DB65" w:rsidR="00663847" w:rsidRPr="004F5D67" w:rsidRDefault="006502B7" w:rsidP="00733298">
      <w:pPr>
        <w:pStyle w:val="ListParagraph"/>
        <w:ind w:left="567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- </w:t>
      </w:r>
      <w:r w:rsidR="00774659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Канцеларије за ревизију система управљања средствима Европске уније.</w:t>
      </w:r>
    </w:p>
    <w:p w14:paraId="5A00B5EF" w14:textId="77777777" w:rsidR="00733298" w:rsidRPr="004F5D67" w:rsidRDefault="00733298" w:rsidP="009E34B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9AB755" w14:textId="4BDBE884" w:rsidR="00663847" w:rsidRPr="004F5D67" w:rsidRDefault="004024CF" w:rsidP="00733298">
      <w:pPr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У циљу </w:t>
      </w:r>
      <w:r w:rsidR="00663847" w:rsidRPr="004F5D67">
        <w:rPr>
          <w:rFonts w:ascii="Times New Roman" w:hAnsi="Times New Roman" w:cs="Times New Roman"/>
          <w:sz w:val="24"/>
          <w:szCs w:val="24"/>
          <w:lang w:val="sr-Cyrl-CS"/>
        </w:rPr>
        <w:t>одржа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ња</w:t>
      </w:r>
      <w:r w:rsidR="00663847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постигнут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663847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ниво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63847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заштите финансијских интереса Е</w:t>
      </w:r>
      <w:r w:rsidR="007E3966" w:rsidRPr="004F5D67">
        <w:rPr>
          <w:rFonts w:ascii="Times New Roman" w:hAnsi="Times New Roman" w:cs="Times New Roman"/>
          <w:sz w:val="24"/>
          <w:szCs w:val="24"/>
          <w:lang w:val="sr-Cyrl-CS"/>
        </w:rPr>
        <w:t>вропске уније (у даљем тексту: ЕУ)</w:t>
      </w:r>
      <w:r w:rsidR="00663847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и континуитет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63847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политике у вези са </w:t>
      </w:r>
      <w:r w:rsidR="00F83A97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јачањем појединачних механ</w:t>
      </w:r>
      <w:r w:rsidR="00D113B4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изама</w:t>
      </w:r>
      <w:r w:rsidR="00F83A97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D113B4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обезбеђен</w:t>
      </w:r>
      <w:r w:rsidR="00D113B4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је 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даљи</w:t>
      </w:r>
      <w:r w:rsidR="00D113B4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стратешк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="00D113B4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приступ кроз у</w:t>
      </w:r>
      <w:r w:rsidR="00392CE4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свајање</w:t>
      </w:r>
      <w:r w:rsidR="00774659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Стратешког плана за борбу против превара и управљање неправилностима у поступању са финансијским средствима Европске уније у Републици Србији за период </w:t>
      </w:r>
      <w:r w:rsidR="007E3966" w:rsidRPr="004F5D67">
        <w:rPr>
          <w:rFonts w:ascii="Times New Roman" w:hAnsi="Times New Roman" w:cs="Times New Roman"/>
          <w:sz w:val="24"/>
          <w:szCs w:val="24"/>
          <w:lang w:val="sr-Cyrl-CS"/>
        </w:rPr>
        <w:t>2024</w:t>
      </w:r>
      <w:r w:rsidR="007E396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–</w:t>
      </w:r>
      <w:r w:rsidR="00774659" w:rsidRPr="004F5D67">
        <w:rPr>
          <w:rFonts w:ascii="Times New Roman" w:hAnsi="Times New Roman" w:cs="Times New Roman"/>
          <w:sz w:val="24"/>
          <w:szCs w:val="24"/>
          <w:lang w:val="sr-Cyrl-CS"/>
        </w:rPr>
        <w:t>2026. године (у да</w:t>
      </w:r>
      <w:r w:rsidR="007E3966" w:rsidRPr="004F5D67">
        <w:rPr>
          <w:rFonts w:ascii="Times New Roman" w:hAnsi="Times New Roman" w:cs="Times New Roman"/>
          <w:sz w:val="24"/>
          <w:szCs w:val="24"/>
          <w:lang w:val="sr-Cyrl-CS"/>
        </w:rPr>
        <w:t>љем тексту: Стратешки план 2024</w:t>
      </w:r>
      <w:r w:rsidR="007E396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–</w:t>
      </w:r>
      <w:r w:rsidR="00774659" w:rsidRPr="004F5D67">
        <w:rPr>
          <w:rFonts w:ascii="Times New Roman" w:hAnsi="Times New Roman" w:cs="Times New Roman"/>
          <w:sz w:val="24"/>
          <w:szCs w:val="24"/>
          <w:lang w:val="sr-Cyrl-CS"/>
        </w:rPr>
        <w:t>2026)</w:t>
      </w:r>
      <w:r w:rsidR="0001689C" w:rsidRPr="004F5D6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92CE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Процесом креирања </w:t>
      </w:r>
      <w:r w:rsidR="004B07EA" w:rsidRPr="004F5D67">
        <w:rPr>
          <w:rFonts w:ascii="Times New Roman" w:hAnsi="Times New Roman" w:cs="Times New Roman"/>
          <w:sz w:val="24"/>
          <w:szCs w:val="24"/>
          <w:lang w:val="sr-Cyrl-CS"/>
        </w:rPr>
        <w:t>Стратешког плана</w:t>
      </w:r>
      <w:r w:rsidR="007E396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2024</w:t>
      </w:r>
      <w:r w:rsidR="007E396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–</w:t>
      </w:r>
      <w:r w:rsidR="004B07E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2026 управљао је АФКОС, сагласно </w:t>
      </w:r>
      <w:r w:rsidR="00392CE4" w:rsidRPr="004F5D67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члан</w:t>
      </w:r>
      <w:r w:rsidR="004B07EA" w:rsidRPr="004F5D67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у</w:t>
      </w:r>
      <w:r w:rsidR="00392CE4" w:rsidRPr="004F5D67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50. Закона о потврђивању Оквирног споразума </w:t>
      </w:r>
      <w:r w:rsidR="004B07EA" w:rsidRPr="004F5D67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о финансијском партнерству </w:t>
      </w:r>
      <w:r w:rsidR="00392CE4" w:rsidRPr="004F5D67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између Републике Србије </w:t>
      </w:r>
      <w:r w:rsidR="004B07EA" w:rsidRPr="004F5D67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коју заступа Влада Републике Србије </w:t>
      </w:r>
      <w:r w:rsidR="00392CE4" w:rsidRPr="004F5D67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и Европске комисије о правилима за спровођење финансијске помоћи Европске у</w:t>
      </w:r>
      <w:r w:rsidR="004B07EA" w:rsidRPr="004F5D67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није Републици Србији у оквиру и</w:t>
      </w:r>
      <w:r w:rsidR="00392CE4" w:rsidRPr="004F5D67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нструмента за претприступну помоћ ИПА II</w:t>
      </w:r>
      <w:r w:rsidR="004B07EA" w:rsidRPr="004F5D67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I</w:t>
      </w:r>
      <w:r w:rsidR="00392CE4" w:rsidRPr="004F5D67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(„С</w:t>
      </w:r>
      <w:r w:rsidR="00F13079" w:rsidRPr="004F5D67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>лужбени гласник РС</w:t>
      </w:r>
      <w:r w:rsidR="00392CE4" w:rsidRPr="004F5D67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- Међународни уговори”, број 6/22). </w:t>
      </w:r>
    </w:p>
    <w:p w14:paraId="1A10F228" w14:textId="45C32DC0" w:rsidR="009075F9" w:rsidRPr="004F5D67" w:rsidRDefault="00504F15" w:rsidP="00733298">
      <w:pPr>
        <w:pStyle w:val="PASUS"/>
        <w:spacing w:before="0" w:after="0"/>
        <w:rPr>
          <w:color w:val="000000"/>
          <w:lang w:val="sr-Cyrl-CS"/>
        </w:rPr>
      </w:pPr>
      <w:r w:rsidRPr="004F5D67">
        <w:rPr>
          <w:rFonts w:eastAsia="Calibri"/>
          <w:lang w:val="sr-Cyrl-CS"/>
        </w:rPr>
        <w:t xml:space="preserve"> </w:t>
      </w:r>
      <w:r w:rsidRPr="004F5D67">
        <w:rPr>
          <w:lang w:val="sr-Cyrl-CS"/>
        </w:rPr>
        <w:t xml:space="preserve">Имајући у виду да је један од задатака </w:t>
      </w:r>
      <w:r w:rsidR="0001689C" w:rsidRPr="004F5D67">
        <w:rPr>
          <w:lang w:val="sr-Cyrl-CS"/>
        </w:rPr>
        <w:t xml:space="preserve">АФКОС </w:t>
      </w:r>
      <w:r w:rsidRPr="004F5D67">
        <w:rPr>
          <w:lang w:val="sr-Cyrl-CS"/>
        </w:rPr>
        <w:t xml:space="preserve">Мреже израда стратешког </w:t>
      </w:r>
      <w:r w:rsidR="0001689C" w:rsidRPr="004F5D67">
        <w:rPr>
          <w:lang w:val="sr-Cyrl-CS"/>
        </w:rPr>
        <w:t xml:space="preserve">документа </w:t>
      </w:r>
      <w:r w:rsidRPr="004F5D67">
        <w:rPr>
          <w:lang w:val="sr-Cyrl-CS"/>
        </w:rPr>
        <w:t>и акционог плана за ње</w:t>
      </w:r>
      <w:r w:rsidR="0001689C" w:rsidRPr="004F5D67">
        <w:rPr>
          <w:lang w:val="sr-Cyrl-CS"/>
        </w:rPr>
        <w:t>гово</w:t>
      </w:r>
      <w:r w:rsidRPr="004F5D67">
        <w:rPr>
          <w:lang w:val="sr-Cyrl-CS"/>
        </w:rPr>
        <w:t xml:space="preserve"> спровођење, консултације</w:t>
      </w:r>
      <w:r w:rsidR="0001689C" w:rsidRPr="004F5D67">
        <w:rPr>
          <w:lang w:val="sr-Cyrl-CS"/>
        </w:rPr>
        <w:t xml:space="preserve"> са члановима исте</w:t>
      </w:r>
      <w:r w:rsidRPr="004F5D67">
        <w:rPr>
          <w:lang w:val="sr-Cyrl-CS"/>
        </w:rPr>
        <w:t xml:space="preserve"> спроведене</w:t>
      </w:r>
      <w:r w:rsidR="0001689C" w:rsidRPr="004F5D67">
        <w:rPr>
          <w:lang w:val="sr-Cyrl-CS"/>
        </w:rPr>
        <w:t xml:space="preserve"> су</w:t>
      </w:r>
      <w:r w:rsidRPr="004F5D67">
        <w:rPr>
          <w:lang w:val="sr-Cyrl-CS"/>
        </w:rPr>
        <w:t xml:space="preserve"> приликом</w:t>
      </w:r>
      <w:r w:rsidR="0001689C" w:rsidRPr="004F5D67">
        <w:rPr>
          <w:lang w:val="sr-Cyrl-CS"/>
        </w:rPr>
        <w:t xml:space="preserve"> вредновања учинака Стратешког плана</w:t>
      </w:r>
      <w:r w:rsidR="007E3966" w:rsidRPr="004F5D67">
        <w:rPr>
          <w:lang w:val="sr-Cyrl-CS"/>
        </w:rPr>
        <w:t xml:space="preserve"> 2021</w:t>
      </w:r>
      <w:r w:rsidR="007E3966" w:rsidRPr="004F5D67">
        <w:rPr>
          <w:color w:val="000000"/>
          <w:lang w:val="sr-Cyrl-CS"/>
        </w:rPr>
        <w:t>–</w:t>
      </w:r>
      <w:r w:rsidR="0001689C" w:rsidRPr="004F5D67">
        <w:rPr>
          <w:lang w:val="sr-Cyrl-CS"/>
        </w:rPr>
        <w:t>2023, сагледавања промена које треба постићи у наредном периоду</w:t>
      </w:r>
      <w:r w:rsidRPr="004F5D67">
        <w:rPr>
          <w:lang w:val="sr-Cyrl-CS"/>
        </w:rPr>
        <w:t xml:space="preserve">, </w:t>
      </w:r>
      <w:r w:rsidR="00FD59C8" w:rsidRPr="004F5D67">
        <w:rPr>
          <w:lang w:val="sr-Cyrl-CS"/>
        </w:rPr>
        <w:t>као и приликом креирања</w:t>
      </w:r>
      <w:r w:rsidRPr="004F5D67">
        <w:rPr>
          <w:lang w:val="sr-Cyrl-CS"/>
        </w:rPr>
        <w:t xml:space="preserve"> текста Стратешког плана</w:t>
      </w:r>
      <w:r w:rsidR="0001689C" w:rsidRPr="004F5D67">
        <w:rPr>
          <w:lang w:val="sr-Cyrl-CS"/>
        </w:rPr>
        <w:t xml:space="preserve"> </w:t>
      </w:r>
      <w:r w:rsidR="007E3966" w:rsidRPr="004F5D67">
        <w:rPr>
          <w:lang w:val="sr-Cyrl-CS"/>
        </w:rPr>
        <w:t>2024</w:t>
      </w:r>
      <w:r w:rsidR="007E3966" w:rsidRPr="004F5D67">
        <w:rPr>
          <w:color w:val="000000"/>
          <w:lang w:val="sr-Cyrl-CS"/>
        </w:rPr>
        <w:t>–</w:t>
      </w:r>
      <w:r w:rsidR="0001689C" w:rsidRPr="004F5D67">
        <w:rPr>
          <w:lang w:val="sr-Cyrl-CS"/>
        </w:rPr>
        <w:t>2026</w:t>
      </w:r>
      <w:r w:rsidRPr="004F5D67">
        <w:rPr>
          <w:lang w:val="sr-Cyrl-CS"/>
        </w:rPr>
        <w:t>.</w:t>
      </w:r>
      <w:r w:rsidR="00FD59C8" w:rsidRPr="004F5D67">
        <w:rPr>
          <w:lang w:val="sr-Cyrl-CS"/>
        </w:rPr>
        <w:t xml:space="preserve"> </w:t>
      </w:r>
      <w:r w:rsidR="00963481" w:rsidRPr="004F5D67">
        <w:rPr>
          <w:color w:val="000000"/>
          <w:lang w:val="sr-Cyrl-CS"/>
        </w:rPr>
        <w:t>Р</w:t>
      </w:r>
      <w:r w:rsidR="00485466" w:rsidRPr="004F5D67">
        <w:rPr>
          <w:color w:val="000000"/>
          <w:lang w:val="sr-Cyrl-CS"/>
        </w:rPr>
        <w:t>ез</w:t>
      </w:r>
      <w:r w:rsidR="00200512" w:rsidRPr="004F5D67">
        <w:rPr>
          <w:color w:val="000000"/>
          <w:lang w:val="sr-Cyrl-CS"/>
        </w:rPr>
        <w:t>ултат</w:t>
      </w:r>
      <w:r w:rsidR="00963481" w:rsidRPr="004F5D67">
        <w:rPr>
          <w:color w:val="000000"/>
          <w:lang w:val="sr-Cyrl-CS"/>
        </w:rPr>
        <w:t>и</w:t>
      </w:r>
      <w:r w:rsidR="00200512" w:rsidRPr="004F5D67">
        <w:rPr>
          <w:color w:val="000000"/>
          <w:lang w:val="sr-Cyrl-CS"/>
        </w:rPr>
        <w:t xml:space="preserve"> </w:t>
      </w:r>
      <w:r w:rsidR="007E3966" w:rsidRPr="004F5D67">
        <w:rPr>
          <w:i/>
          <w:color w:val="000000"/>
          <w:lang w:val="sr-Cyrl-CS"/>
        </w:rPr>
        <w:t xml:space="preserve">ex </w:t>
      </w:r>
      <w:r w:rsidR="007E3966" w:rsidRPr="004F5D67">
        <w:rPr>
          <w:color w:val="000000"/>
          <w:lang w:val="sr-Cyrl-CS"/>
        </w:rPr>
        <w:t>–</w:t>
      </w:r>
      <w:r w:rsidR="00200512" w:rsidRPr="004F5D67">
        <w:rPr>
          <w:i/>
          <w:color w:val="000000"/>
          <w:lang w:val="sr-Cyrl-CS"/>
        </w:rPr>
        <w:t xml:space="preserve"> post</w:t>
      </w:r>
      <w:r w:rsidR="00200512" w:rsidRPr="004F5D67">
        <w:rPr>
          <w:color w:val="000000"/>
          <w:lang w:val="sr-Cyrl-CS"/>
        </w:rPr>
        <w:t xml:space="preserve"> и </w:t>
      </w:r>
      <w:r w:rsidR="007E3966" w:rsidRPr="004F5D67">
        <w:rPr>
          <w:i/>
          <w:color w:val="000000"/>
          <w:lang w:val="sr-Cyrl-CS"/>
        </w:rPr>
        <w:t xml:space="preserve">ex </w:t>
      </w:r>
      <w:r w:rsidR="007E3966" w:rsidRPr="004F5D67">
        <w:rPr>
          <w:color w:val="000000"/>
          <w:lang w:val="sr-Cyrl-CS"/>
        </w:rPr>
        <w:t>–</w:t>
      </w:r>
      <w:r w:rsidR="00200512" w:rsidRPr="004F5D67">
        <w:rPr>
          <w:i/>
          <w:color w:val="000000"/>
          <w:lang w:val="sr-Cyrl-CS"/>
        </w:rPr>
        <w:t xml:space="preserve"> ante</w:t>
      </w:r>
      <w:r w:rsidR="00200512" w:rsidRPr="004F5D67">
        <w:rPr>
          <w:color w:val="000000"/>
          <w:lang w:val="sr-Cyrl-CS"/>
        </w:rPr>
        <w:t xml:space="preserve"> анализе</w:t>
      </w:r>
      <w:r w:rsidR="00963481" w:rsidRPr="004F5D67">
        <w:rPr>
          <w:color w:val="000000"/>
          <w:lang w:val="sr-Cyrl-CS"/>
        </w:rPr>
        <w:t xml:space="preserve"> претходили</w:t>
      </w:r>
      <w:r w:rsidR="00FD59C8" w:rsidRPr="004F5D67">
        <w:rPr>
          <w:color w:val="000000"/>
          <w:lang w:val="sr-Cyrl-CS"/>
        </w:rPr>
        <w:t xml:space="preserve"> су</w:t>
      </w:r>
      <w:r w:rsidR="0007368D" w:rsidRPr="004F5D67">
        <w:rPr>
          <w:color w:val="000000"/>
          <w:lang w:val="sr-Cyrl-CS"/>
        </w:rPr>
        <w:t xml:space="preserve"> </w:t>
      </w:r>
      <w:r w:rsidR="00F0223B" w:rsidRPr="004F5D67">
        <w:rPr>
          <w:color w:val="000000"/>
          <w:lang w:val="sr-Cyrl-CS"/>
        </w:rPr>
        <w:t>дефинисању</w:t>
      </w:r>
      <w:r w:rsidR="00485466" w:rsidRPr="004F5D67">
        <w:rPr>
          <w:color w:val="000000"/>
          <w:lang w:val="sr-Cyrl-CS"/>
        </w:rPr>
        <w:t xml:space="preserve"> циљева, мера и активности за остварење</w:t>
      </w:r>
      <w:r w:rsidR="00FD59C8" w:rsidRPr="004F5D67">
        <w:rPr>
          <w:color w:val="000000"/>
          <w:lang w:val="sr-Cyrl-CS"/>
        </w:rPr>
        <w:t xml:space="preserve"> истих,</w:t>
      </w:r>
      <w:r w:rsidR="0007368D" w:rsidRPr="004F5D67">
        <w:rPr>
          <w:color w:val="000000"/>
          <w:lang w:val="sr-Cyrl-CS"/>
        </w:rPr>
        <w:t xml:space="preserve"> као и препорук</w:t>
      </w:r>
      <w:r w:rsidR="00FD59C8" w:rsidRPr="004F5D67">
        <w:rPr>
          <w:color w:val="000000"/>
          <w:lang w:val="sr-Cyrl-CS"/>
        </w:rPr>
        <w:t>а</w:t>
      </w:r>
      <w:r w:rsidR="0007368D" w:rsidRPr="004F5D67">
        <w:rPr>
          <w:color w:val="000000"/>
          <w:lang w:val="sr-Cyrl-CS"/>
        </w:rPr>
        <w:t xml:space="preserve"> за побољшање у свим фазама циклуса </w:t>
      </w:r>
      <w:r w:rsidR="00FD59C8" w:rsidRPr="004F5D67">
        <w:rPr>
          <w:color w:val="000000"/>
          <w:lang w:val="sr-Cyrl-CS"/>
        </w:rPr>
        <w:t>борбе против превара.</w:t>
      </w:r>
    </w:p>
    <w:p w14:paraId="05B31116" w14:textId="77777777" w:rsidR="008E6569" w:rsidRPr="004F5D67" w:rsidRDefault="008E6569" w:rsidP="009E34B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1B9B94FB" w14:textId="43C9E369" w:rsidR="005532AD" w:rsidRPr="004F5D67" w:rsidRDefault="00E5612B" w:rsidP="009E34BA">
      <w:pPr>
        <w:pStyle w:val="Heading1"/>
        <w:spacing w:before="0"/>
        <w:rPr>
          <w:sz w:val="24"/>
          <w:szCs w:val="24"/>
          <w:lang w:val="sr-Cyrl-CS"/>
        </w:rPr>
      </w:pPr>
      <w:bookmarkStart w:id="1" w:name="_Toc32166171"/>
      <w:bookmarkStart w:id="2" w:name="_Toc34242658"/>
      <w:bookmarkStart w:id="3" w:name="_Toc161827220"/>
      <w:r w:rsidRPr="004F5D67">
        <w:rPr>
          <w:sz w:val="24"/>
          <w:szCs w:val="24"/>
          <w:lang w:val="sr-Cyrl-CS"/>
        </w:rPr>
        <w:t>II</w:t>
      </w:r>
      <w:r w:rsidR="00681EFB">
        <w:rPr>
          <w:sz w:val="24"/>
          <w:szCs w:val="24"/>
          <w:lang w:val="sr-Cyrl-CS"/>
        </w:rPr>
        <w:t>.</w:t>
      </w:r>
      <w:r w:rsidRPr="004F5D67">
        <w:rPr>
          <w:sz w:val="24"/>
          <w:szCs w:val="24"/>
          <w:lang w:val="sr-Cyrl-CS"/>
        </w:rPr>
        <w:t xml:space="preserve"> </w:t>
      </w:r>
      <w:r w:rsidR="005532AD" w:rsidRPr="004F5D67">
        <w:rPr>
          <w:sz w:val="24"/>
          <w:szCs w:val="24"/>
          <w:lang w:val="sr-Cyrl-CS"/>
        </w:rPr>
        <w:t>Правни оквир</w:t>
      </w:r>
      <w:bookmarkEnd w:id="1"/>
      <w:bookmarkEnd w:id="2"/>
      <w:bookmarkEnd w:id="3"/>
    </w:p>
    <w:p w14:paraId="0FCBCDEE" w14:textId="77777777" w:rsidR="008A0E6D" w:rsidRPr="004F5D67" w:rsidRDefault="008A0E6D" w:rsidP="009E34BA">
      <w:pPr>
        <w:pStyle w:val="Heading2"/>
        <w:spacing w:before="0"/>
        <w:rPr>
          <w:rFonts w:cs="Times New Roman"/>
          <w:sz w:val="24"/>
          <w:szCs w:val="24"/>
          <w:lang w:val="sr-Cyrl-CS"/>
        </w:rPr>
      </w:pPr>
      <w:bookmarkStart w:id="4" w:name="_Toc32166172"/>
    </w:p>
    <w:p w14:paraId="6AE91B5B" w14:textId="77777777" w:rsidR="005532AD" w:rsidRPr="004F5D67" w:rsidRDefault="005532AD" w:rsidP="009E34BA">
      <w:pPr>
        <w:pStyle w:val="Heading2"/>
        <w:spacing w:before="0"/>
        <w:rPr>
          <w:rFonts w:cs="Times New Roman"/>
          <w:sz w:val="24"/>
          <w:szCs w:val="24"/>
          <w:lang w:val="sr-Cyrl-CS"/>
        </w:rPr>
      </w:pPr>
      <w:bookmarkStart w:id="5" w:name="_Toc34242659"/>
      <w:bookmarkStart w:id="6" w:name="_Toc161827221"/>
      <w:r w:rsidRPr="004F5D67">
        <w:rPr>
          <w:rFonts w:cs="Times New Roman"/>
          <w:sz w:val="24"/>
          <w:szCs w:val="24"/>
          <w:lang w:val="sr-Cyrl-CS"/>
        </w:rPr>
        <w:t>Правни оквир Републике Србије</w:t>
      </w:r>
      <w:bookmarkEnd w:id="4"/>
      <w:bookmarkEnd w:id="5"/>
      <w:bookmarkEnd w:id="6"/>
    </w:p>
    <w:p w14:paraId="0BCB62FB" w14:textId="77777777" w:rsidR="005532AD" w:rsidRPr="004F5D67" w:rsidRDefault="005532AD" w:rsidP="009E34B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7AD038A7" w14:textId="471B2349" w:rsidR="005532AD" w:rsidRPr="004F5D67" w:rsidRDefault="00632E80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Прилик</w:t>
      </w:r>
      <w:r w:rsidR="007E3966" w:rsidRPr="004F5D67">
        <w:rPr>
          <w:rFonts w:ascii="Times New Roman" w:hAnsi="Times New Roman" w:cs="Times New Roman"/>
          <w:sz w:val="24"/>
          <w:szCs w:val="24"/>
          <w:lang w:val="sr-Cyrl-CS"/>
        </w:rPr>
        <w:t>ом израде Стратешког плана 2024</w:t>
      </w:r>
      <w:r w:rsidR="007E396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–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2026</w:t>
      </w:r>
      <w:r w:rsidR="0061038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разматран</w:t>
      </w:r>
      <w:r w:rsidR="00E90CFE" w:rsidRPr="004F5D67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61038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90CFE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су следећa </w:t>
      </w:r>
      <w:r w:rsidR="005532AD" w:rsidRPr="004F5D67">
        <w:rPr>
          <w:rFonts w:ascii="Times New Roman" w:hAnsi="Times New Roman" w:cs="Times New Roman"/>
          <w:sz w:val="24"/>
          <w:szCs w:val="24"/>
          <w:lang w:val="sr-Cyrl-CS"/>
        </w:rPr>
        <w:t>акта</w:t>
      </w:r>
      <w:r w:rsidR="00E90CFE" w:rsidRPr="004F5D67">
        <w:rPr>
          <w:rFonts w:ascii="Times New Roman" w:hAnsi="Times New Roman" w:cs="Times New Roman"/>
          <w:sz w:val="24"/>
          <w:szCs w:val="24"/>
          <w:lang w:val="sr-Cyrl-CS"/>
        </w:rPr>
        <w:t>, и то</w:t>
      </w:r>
      <w:r w:rsidR="005532A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211A4F70" w14:textId="77777777" w:rsidR="005532AD" w:rsidRPr="004F5D67" w:rsidRDefault="005532AD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Преговарачка позиција Републике Србије за Међувладину конференцију о приступању Републике Србије Европској унији за поглавље 32 Финансијски надзор;</w:t>
      </w:r>
    </w:p>
    <w:p w14:paraId="09663D67" w14:textId="1FF0618D" w:rsidR="005532AD" w:rsidRPr="004F5D67" w:rsidRDefault="005532AD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Преговарачка позиција Републике Србије у оквиру Међувладине конференције о приступању Републике Србије Европ</w:t>
      </w:r>
      <w:r w:rsidR="006502B7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ској унији за Поглавље 23 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Правосуђе и основна права;</w:t>
      </w:r>
    </w:p>
    <w:p w14:paraId="324E575C" w14:textId="5173E705" w:rsidR="005532AD" w:rsidRPr="004F5D67" w:rsidRDefault="005532AD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Преговарачка позиција Републике Србије за Међувладину конференцију о приступању Републике Србије Европској унији за поглавље 24 Правда, слобода и безбедност;</w:t>
      </w:r>
    </w:p>
    <w:p w14:paraId="02318703" w14:textId="109DDFA5" w:rsidR="00E90CFE" w:rsidRPr="004F5D67" w:rsidRDefault="00E90CFE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Закон о буџетском систему („Службени гласник РС”, бр. 54/09, 73/10, 101/</w:t>
      </w:r>
      <w:r w:rsidR="007E3966" w:rsidRPr="004F5D67">
        <w:rPr>
          <w:rFonts w:ascii="Times New Roman" w:hAnsi="Times New Roman" w:cs="Times New Roman"/>
          <w:sz w:val="24"/>
          <w:szCs w:val="24"/>
          <w:lang w:val="sr-Cyrl-CS"/>
        </w:rPr>
        <w:t>10, 101/11, 93/12, 62/13, 63/13</w:t>
      </w:r>
      <w:r w:rsidR="007E396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–</w:t>
      </w:r>
      <w:r w:rsidR="007E3966" w:rsidRPr="004F5D67">
        <w:rPr>
          <w:rFonts w:ascii="Times New Roman" w:hAnsi="Times New Roman" w:cs="Times New Roman"/>
          <w:sz w:val="24"/>
          <w:szCs w:val="24"/>
          <w:lang w:val="sr-Cyrl-CS"/>
        </w:rPr>
        <w:t>исправка, 108/13, 142/14, 68/15</w:t>
      </w:r>
      <w:r w:rsidR="007E396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–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др. закон, 103/15, 99/16, 113/17, 95/18, 31/19, 72/19, 149/20, 118/21, 118/21</w:t>
      </w:r>
      <w:r w:rsidR="007E396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–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др. закон</w:t>
      </w:r>
      <w:r w:rsidR="008E656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138/22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и 92/23); </w:t>
      </w:r>
    </w:p>
    <w:p w14:paraId="027A2E15" w14:textId="77777777" w:rsidR="005532AD" w:rsidRPr="004F5D67" w:rsidRDefault="005532AD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Закон о потврђивању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(„Службени гласник РС – Међународни уговори”, број 19/14);</w:t>
      </w:r>
    </w:p>
    <w:p w14:paraId="24467DF3" w14:textId="32837946" w:rsidR="005532AD" w:rsidRPr="004F5D67" w:rsidRDefault="005532AD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Закон о потврђивању Оквирног споразума о финансијском партнерству између Републике Србије коју заступа Влада Републике Србије и Европскe комисијe о правилима за спровођење финансијске помоћи Европске уније Републици Србији у оквиру инструмента за претприступну помоћ (ИПА III);</w:t>
      </w:r>
    </w:p>
    <w:p w14:paraId="739A1D2F" w14:textId="26038687" w:rsidR="00E90CFE" w:rsidRPr="004F5D67" w:rsidRDefault="00E90CFE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Кривични законик („Службени гласник РСˮ, бр. 85/05, 88/05</w:t>
      </w:r>
      <w:r w:rsidR="008E6569" w:rsidRPr="004F5D67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исправка, 107/05–исправка, 72/09, 111/09, 121/12, 104/13, 108/14, 94/16 и 35/19);</w:t>
      </w:r>
    </w:p>
    <w:p w14:paraId="1F495FD6" w14:textId="6063C561" w:rsidR="00E90CFE" w:rsidRPr="004F5D67" w:rsidRDefault="00E90CFE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Законик о кривичном поступку („Службени гласник РСˮ, бр. 72/11, 101/11, 121/12, 32/13, 45/13, 55/14, 35/19, 27/21–УС и 62/21–УС);</w:t>
      </w:r>
    </w:p>
    <w:p w14:paraId="797D043D" w14:textId="64C1AEBC" w:rsidR="00E90CFE" w:rsidRPr="004F5D67" w:rsidRDefault="00E90CFE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Закон о организацији и надлежности државних органа у сузбијању организованог криминала, тероризма и корупције („Службени гласник РСˮ, бр. 94/16 и 87/18–др. закон);</w:t>
      </w:r>
    </w:p>
    <w:p w14:paraId="544F37F8" w14:textId="77777777" w:rsidR="00E90CFE" w:rsidRPr="004F5D67" w:rsidRDefault="00E90CFE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Закон о одговорности правних лица за кривична дела („Службени гласник РСˮ, број 97/08);</w:t>
      </w:r>
    </w:p>
    <w:p w14:paraId="3F5A8E19" w14:textId="77777777" w:rsidR="005532AD" w:rsidRPr="004F5D67" w:rsidRDefault="005532AD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Уредба о управљању програмима претприступне помоћи Европске уније у оквиру инструмента за претприступну помоћ (ИПА II) за период 2014−2020. године („Службени гласник РС”, број 10/19);</w:t>
      </w:r>
    </w:p>
    <w:p w14:paraId="100A361E" w14:textId="77777777" w:rsidR="005532AD" w:rsidRPr="004F5D67" w:rsidRDefault="005532AD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Уредба о управљању Програмима претприступне помоћи Европске уније у оквиру инструмента за претприступну помоћ (ИПА III) за период 2021–2027. године („Службени гласник РС”, број 29/23);</w:t>
      </w:r>
    </w:p>
    <w:p w14:paraId="72CAD8FD" w14:textId="2708CF0A" w:rsidR="005532AD" w:rsidRPr="004F5D67" w:rsidRDefault="005532AD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Уредбa о спровођењу програма прекограничне и транснационалне сарадње са државама чланицама Eвропске уније у Републици Србији у оквиру инструмента за претприступну помоћ (ИПА II) за период 2</w:t>
      </w:r>
      <w:r w:rsidR="007E3966" w:rsidRPr="004F5D67">
        <w:rPr>
          <w:rFonts w:ascii="Times New Roman" w:hAnsi="Times New Roman" w:cs="Times New Roman"/>
          <w:sz w:val="24"/>
          <w:szCs w:val="24"/>
          <w:lang w:val="sr-Cyrl-CS"/>
        </w:rPr>
        <w:t>014</w:t>
      </w:r>
      <w:r w:rsidR="007E396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–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2020. године („Службени гласник РС”, број 37/18);</w:t>
      </w:r>
    </w:p>
    <w:p w14:paraId="24E05B4D" w14:textId="77777777" w:rsidR="005532AD" w:rsidRPr="004F5D67" w:rsidRDefault="005532AD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Уредба o одређивању тела за ревизију система управљања програмима претприступне помоћи Европске уније у оквиру инструмента за претприступну помоћ (ИПА II) („Службени гласник РС”, број 86/15);</w:t>
      </w:r>
    </w:p>
    <w:p w14:paraId="4E1B70A3" w14:textId="77777777" w:rsidR="005532AD" w:rsidRPr="004F5D67" w:rsidRDefault="005532AD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Одлука о одређивању одговорних лица и тела за управљање програмима претприступне помоћи Европске уније у оквиру инструмента за претприступну помоћ (ИПА II) за период 2014–2020. године 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(„Службени гласник РС”, 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бр. 26/19, 90/21, 130/22 и 29/23);</w:t>
      </w:r>
    </w:p>
    <w:p w14:paraId="0DBD0AFD" w14:textId="77777777" w:rsidR="005532AD" w:rsidRPr="004F5D67" w:rsidRDefault="005532AD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Одлука о одређивању органа, лица и тела за управљање програмима претприступне помоћи Европске уније у оквиру инструмента за претприступну помоћ (ИПА III) за период 2021–2027. године („Службени гласник РС”, 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бр. 34/23 и 77/23)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;</w:t>
      </w:r>
    </w:p>
    <w:p w14:paraId="285B435C" w14:textId="77777777" w:rsidR="005532AD" w:rsidRPr="004F5D67" w:rsidRDefault="005532AD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Директива о спровођењу административних провера; и</w:t>
      </w:r>
    </w:p>
    <w:p w14:paraId="5033E3C8" w14:textId="77777777" w:rsidR="005532AD" w:rsidRPr="004F5D67" w:rsidRDefault="005532AD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Методолошко упутство за управљање ризицима у вези са појавом неправилности и превара у поступању са финансијским средствима Европске уније.</w:t>
      </w:r>
    </w:p>
    <w:p w14:paraId="71B654CF" w14:textId="77777777" w:rsidR="005532AD" w:rsidRPr="004F5D67" w:rsidRDefault="005532AD" w:rsidP="009E34BA">
      <w:pPr>
        <w:pStyle w:val="ListParagraph"/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807A28" w14:textId="12CDF6D8" w:rsidR="005532AD" w:rsidRPr="004F5D67" w:rsidRDefault="00B00062" w:rsidP="00733298">
      <w:pPr>
        <w:pStyle w:val="ListParagraph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Поред наведених аката, узета су у обзир </w:t>
      </w:r>
      <w:r w:rsidR="005532AD" w:rsidRPr="004F5D67">
        <w:rPr>
          <w:rFonts w:ascii="Times New Roman" w:hAnsi="Times New Roman" w:cs="Times New Roman"/>
          <w:sz w:val="24"/>
          <w:szCs w:val="24"/>
          <w:lang w:val="sr-Cyrl-CS"/>
        </w:rPr>
        <w:t>и следећ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532A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стратешк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а документа</w:t>
      </w:r>
      <w:r w:rsidR="005532A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71DB11A4" w14:textId="77777777" w:rsidR="005532AD" w:rsidRPr="004F5D67" w:rsidRDefault="005532AD" w:rsidP="009E34BA">
      <w:pPr>
        <w:pStyle w:val="ListParagraph"/>
        <w:numPr>
          <w:ilvl w:val="1"/>
          <w:numId w:val="22"/>
        </w:numPr>
        <w:ind w:left="426"/>
        <w:jc w:val="both"/>
        <w:rPr>
          <w:rStyle w:val="one-filetitle"/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F5D67">
        <w:rPr>
          <w:rStyle w:val="one-filetitle"/>
          <w:rFonts w:ascii="Times New Roman" w:eastAsia="Times New Roman" w:hAnsi="Times New Roman" w:cs="Times New Roman"/>
          <w:sz w:val="24"/>
          <w:szCs w:val="24"/>
          <w:lang w:val="sr-Cyrl-CS"/>
        </w:rPr>
        <w:t>Стратегија реформе јавне управе у Републици Србији за период од 2021. до 2030. године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A4D748B" w14:textId="5706950A" w:rsidR="005532AD" w:rsidRPr="004F5D67" w:rsidRDefault="005532AD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Стратегија р</w:t>
      </w:r>
      <w:r w:rsidR="0054188B" w:rsidRPr="004F5D67">
        <w:rPr>
          <w:rFonts w:ascii="Times New Roman" w:hAnsi="Times New Roman" w:cs="Times New Roman"/>
          <w:sz w:val="24"/>
          <w:szCs w:val="24"/>
          <w:lang w:val="sr-Cyrl-CS"/>
        </w:rPr>
        <w:t>азвоја правосуђа за период 2020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–2025</w:t>
      </w: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;</w:t>
      </w:r>
    </w:p>
    <w:p w14:paraId="687CE49E" w14:textId="4F358F90" w:rsidR="005532AD" w:rsidRPr="004F5D67" w:rsidRDefault="005532AD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Стратешки план Агенције за спречавање корупције </w:t>
      </w:r>
      <w:r w:rsidR="0054188B" w:rsidRPr="004F5D67">
        <w:rPr>
          <w:rFonts w:ascii="Times New Roman" w:hAnsi="Times New Roman" w:cs="Times New Roman"/>
          <w:sz w:val="24"/>
          <w:szCs w:val="24"/>
          <w:lang w:val="sr-Cyrl-CS"/>
        </w:rPr>
        <w:t>за период 2023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–2027. године;</w:t>
      </w:r>
    </w:p>
    <w:p w14:paraId="1A5B5F5C" w14:textId="2397940E" w:rsidR="005532AD" w:rsidRPr="004F5D67" w:rsidRDefault="005532AD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Стратегија пољопривреде и руралног развоја Р</w:t>
      </w:r>
      <w:r w:rsidR="007C7B32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епублике Србије за период 2014</w:t>
      </w:r>
      <w:r w:rsidR="0054188B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–</w:t>
      </w: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2024. године;</w:t>
      </w:r>
    </w:p>
    <w:p w14:paraId="3E661DB8" w14:textId="07601F8D" w:rsidR="005532AD" w:rsidRPr="004F5D67" w:rsidRDefault="005532AD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Стратегија за борбу против прања новца и финан</w:t>
      </w:r>
      <w:r w:rsidR="0054188B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сирања тероризма за период 2020</w:t>
      </w:r>
      <w:r w:rsidR="007C7B32" w:rsidRPr="004F5D67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2024. године;</w:t>
      </w:r>
      <w:r w:rsidR="00B00062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</w:t>
      </w:r>
    </w:p>
    <w:p w14:paraId="6E8EF8C1" w14:textId="61411490" w:rsidR="005532AD" w:rsidRPr="004F5D67" w:rsidRDefault="005532AD" w:rsidP="009E34BA">
      <w:pPr>
        <w:pStyle w:val="ListParagraph"/>
        <w:numPr>
          <w:ilvl w:val="1"/>
          <w:numId w:val="22"/>
        </w:numPr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Програм реформе управљања јавним финансијама за период 2021</w:t>
      </w:r>
      <w:r w:rsidR="007C7B32" w:rsidRPr="004F5D67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2025. године.</w:t>
      </w:r>
    </w:p>
    <w:p w14:paraId="7DE9E6F1" w14:textId="77777777" w:rsidR="005532AD" w:rsidRPr="004F5D67" w:rsidRDefault="005532AD" w:rsidP="009E34BA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114D9BDF" w14:textId="2923DE20" w:rsidR="005532AD" w:rsidRPr="004F5D67" w:rsidRDefault="005532AD" w:rsidP="009E34BA">
      <w:pPr>
        <w:pStyle w:val="Heading2"/>
        <w:spacing w:before="0"/>
        <w:rPr>
          <w:rFonts w:cs="Times New Roman"/>
          <w:sz w:val="24"/>
          <w:szCs w:val="24"/>
          <w:lang w:val="sr-Cyrl-CS"/>
        </w:rPr>
      </w:pPr>
      <w:bookmarkStart w:id="7" w:name="_Toc32166173"/>
      <w:bookmarkStart w:id="8" w:name="_Toc161827222"/>
      <w:r w:rsidRPr="004F5D67">
        <w:rPr>
          <w:rFonts w:cs="Times New Roman"/>
          <w:sz w:val="24"/>
          <w:szCs w:val="24"/>
          <w:lang w:val="sr-Cyrl-CS"/>
        </w:rPr>
        <w:t>Правни оквир Е</w:t>
      </w:r>
      <w:bookmarkEnd w:id="7"/>
      <w:r w:rsidR="001D0C5A" w:rsidRPr="004F5D67">
        <w:rPr>
          <w:rFonts w:cs="Times New Roman"/>
          <w:sz w:val="24"/>
          <w:szCs w:val="24"/>
          <w:lang w:val="sr-Cyrl-CS"/>
        </w:rPr>
        <w:t>У</w:t>
      </w:r>
      <w:bookmarkEnd w:id="8"/>
    </w:p>
    <w:p w14:paraId="69617846" w14:textId="77777777" w:rsidR="005532AD" w:rsidRPr="004F5D67" w:rsidRDefault="005532AD" w:rsidP="009E34B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B501375" w14:textId="602F681B" w:rsidR="005532AD" w:rsidRPr="004F5D67" w:rsidRDefault="00B00062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C55EC7" w:rsidRPr="004F5D67">
        <w:rPr>
          <w:rFonts w:ascii="Times New Roman" w:hAnsi="Times New Roman" w:cs="Times New Roman"/>
          <w:sz w:val="24"/>
          <w:szCs w:val="24"/>
          <w:lang w:val="sr-Cyrl-CS"/>
        </w:rPr>
        <w:t>риликом израде Стратешког плана 2024</w:t>
      </w:r>
      <w:r w:rsidR="007C7B32" w:rsidRPr="004F5D67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C55EC7" w:rsidRPr="004F5D67">
        <w:rPr>
          <w:rFonts w:ascii="Times New Roman" w:hAnsi="Times New Roman" w:cs="Times New Roman"/>
          <w:sz w:val="24"/>
          <w:szCs w:val="24"/>
          <w:lang w:val="sr-Cyrl-CS"/>
        </w:rPr>
        <w:t>2026</w:t>
      </w:r>
      <w:r w:rsidR="00E03D4A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55EC7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поред 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правних аката и </w:t>
      </w:r>
      <w:r w:rsidR="001D0C5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стратешких 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докумената Републике Србије</w:t>
      </w:r>
      <w:r w:rsidR="00C55EC7" w:rsidRPr="004F5D67">
        <w:rPr>
          <w:rFonts w:ascii="Times New Roman" w:hAnsi="Times New Roman" w:cs="Times New Roman"/>
          <w:sz w:val="24"/>
          <w:szCs w:val="24"/>
          <w:lang w:val="sr-Cyrl-CS"/>
        </w:rPr>
        <w:t>, разматран је и правни оквир Е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55EC7" w:rsidRPr="004F5D67">
        <w:rPr>
          <w:rFonts w:ascii="Times New Roman" w:hAnsi="Times New Roman" w:cs="Times New Roman"/>
          <w:sz w:val="24"/>
          <w:szCs w:val="24"/>
          <w:lang w:val="sr-Cyrl-CS"/>
        </w:rPr>
        <w:t>, односно документ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а која</w:t>
      </w:r>
      <w:r w:rsidR="00C55EC7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имају директан утицај на област заштите финансијских интереса ЕУ</w:t>
      </w:r>
      <w:r w:rsidR="001D0C5A" w:rsidRPr="004F5D6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8E3AF23" w14:textId="77D8BE77" w:rsidR="00611BB2" w:rsidRPr="004F5D67" w:rsidRDefault="005532AD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Главoм II Уговорa о функционисању Европске уније </w:t>
      </w: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(Treaty on the Functioning of the European Union)</w:t>
      </w:r>
      <w:r w:rsidR="008044E4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која се односи на Финансијске одредбе</w:t>
      </w:r>
      <w:r w:rsidR="008044E4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уређена је борба против превара. Чланом 325. наведеног уговора установљена је обавеза ЕУ и држава чланица да сузбијају преваре и друге противправне активности усмерене против финансијских интереса ЕУ. Државе чланице дужне су да, ради сузбијања превара које угрожавају финансијске интересе ЕУ, предузимају исте мере, као и у случају сузбијања превара које штете њиховим сопственим финансијским интересима. Такође, државе чланице су у обавези да координирају своје деловање усмерено на заштиту финансијских интереса ЕУ, као и да организују редовну сарадњу између надлежних националних тела. Поред наведеног, утврђена је и потреба за доношењем мера које имају за циљ борбу против превара усмерених против финансијских интереса ЕУ.</w:t>
      </w:r>
    </w:p>
    <w:p w14:paraId="7F300B39" w14:textId="0F92E91F" w:rsidR="00611BB2" w:rsidRPr="004F5D67" w:rsidRDefault="005532AD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Република Србија је, као држава кандидат за чланство у ЕУ, преузела обавезу усклађивања свог националног законодавства са законодавством ЕУ, као и обавезу успостављања свих органа и тела који су потребни за правилну примену обавеза које произилазе из чланства.</w:t>
      </w:r>
    </w:p>
    <w:p w14:paraId="23528F98" w14:textId="05D7928B" w:rsidR="000A1183" w:rsidRPr="004F5D67" w:rsidRDefault="005532AD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Успостављање заштите финансијских интереса ЕУ представља меру институционалне надоградње којом Република Србија показује спремност да пружи ефикасну заштиту средствима ЕУ, у једнакој мери и под истим третманом, као да је реч о сопственим буџетским средствима. Заштита финансијских интереса ЕУ представља обавезу свих земаља чланица ЕУ, као и земаља које су у процесу приступања ЕУ.</w:t>
      </w:r>
    </w:p>
    <w:p w14:paraId="38793E9B" w14:textId="52CF2BAA" w:rsidR="00611BB2" w:rsidRPr="004F5D67" w:rsidRDefault="005532AD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Уредба бр. 883/2013 Европског парламента и Савета од 11. септембра 2013. године донета је у циљу јачања борбе против превара, корупције и других незаконитих активности којима се угрожавају финансијски интереси ЕУ.</w:t>
      </w:r>
    </w:p>
    <w:p w14:paraId="223D6C95" w14:textId="158B5DD9" w:rsidR="00611BB2" w:rsidRPr="004F5D67" w:rsidRDefault="005532AD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Ради остварења наведеног циља, </w:t>
      </w:r>
      <w:r w:rsidR="001B400A" w:rsidRPr="004F5D6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Европска канцеларија за борбу против превара</w:t>
      </w:r>
      <w:r w:rsidR="00D87B94" w:rsidRPr="004F5D6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(ОЛАФ) -</w:t>
      </w:r>
      <w:r w:rsidR="001B400A" w:rsidRPr="004F5D67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(у даљем тексту: ОЛАФ)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пружа помоћ државама чланицама у организовању редовне сарадње између надлежних националних тела како би активности које имају за циљ заштиту финансијских интереса ЕУ биле усклађене.</w:t>
      </w:r>
      <w:r w:rsidR="00611BB2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Такође, ОЛАФ спроводи административне истраге у циљу борбе против превара, корупције и других незаконитих активности којима се штети финансијским интересима ЕУ. Приликом спровођења ових истрага, ОЛАФ има могућност да спроводи провере и инспекције на лицу места, како у државама чланицама ЕУ, тако и у трећим земљама, као и у просторијама међународних организација.</w:t>
      </w:r>
    </w:p>
    <w:p w14:paraId="71CCB8A3" w14:textId="7660EE82" w:rsidR="00611BB2" w:rsidRPr="004F5D67" w:rsidRDefault="005532AD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Наведене контролне активности ОЛАФ спроводи на основу овлашћења која су Европској комисији додељена Уредбом број 2185/96, као и у складу са 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важећим споразумима о сарадњи и међусобној помоћи. Током провера и инспекција на лицу места, ОЛАФ поступа сагласно важећем праву ЕУ, правилима и праксама државе која је на захтев ОЛАФ-а дужна пружити неопходну помоћ његовом особљу у циљу успешног обављања контролних активности.</w:t>
      </w:r>
    </w:p>
    <w:p w14:paraId="43072DE6" w14:textId="554C00DD" w:rsidR="005532AD" w:rsidRPr="004F5D67" w:rsidRDefault="005532AD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Чланом 12а Уредбе бр. 883/2013 прописано је, без детаљнијег дефинисања мандата, задатака и институционалног оквира, да свака држава чланица треба да установи службу за координацију борбе против превара </w:t>
      </w:r>
      <w:r w:rsidR="003C23CA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(Anti</w:t>
      </w:r>
      <w:r w:rsidR="003C23CA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fraud coordination service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− </w:t>
      </w: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AFCOS)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са циљем унапређења сарадње и размене информација са ОЛАФ-ом.</w:t>
      </w:r>
    </w:p>
    <w:p w14:paraId="05789B43" w14:textId="77777777" w:rsidR="005532AD" w:rsidRPr="004F5D67" w:rsidRDefault="005532AD" w:rsidP="009E34B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Уредба 2020/2223 Европског парламента и Савета од 23. децембра 2020. године односи се на измену и допуну Уредбе бр. 883/2013, а у погледу дефинисања нових правила за даље јачање ОЛАФ-а и утврђивања начинa рада и координације са Европском канцеларијом јавних тужилаца (</w:t>
      </w: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EPPO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). Европска канцеларија јавних тужилаца (</w:t>
      </w: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EPPO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), успостављена Уредбом Савета 2017/1939, представља прво наднационално јавно тужилаштво које ће деловати у 22 државе чланице ЕУ, са основним циљем који се односи на спровођење истрага и процесуирање извршилаца кривичних дела која погађају финансијске интересе ЕУ.</w:t>
      </w:r>
    </w:p>
    <w:p w14:paraId="2EAA5D97" w14:textId="12EAB446" w:rsidR="003C23CA" w:rsidRPr="004F5D67" w:rsidRDefault="005532AD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С тим у вези, Европска комисија и ОЛАФ објавили су „</w:t>
      </w: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Guidance note on main tasks </w:t>
      </w:r>
      <w:r w:rsidR="003C23CA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and responsibilities of an Anti</w:t>
      </w:r>
      <w:r w:rsidR="003C23CA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3C23CA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Fraud Co</w:t>
      </w:r>
      <w:r w:rsidR="003C23CA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ordination Service (AFCOS)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” („Смернице о главним задацима и одговорностима Службе за координацију борбе против превара </w:t>
      </w: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(AFCOS)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)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које имају за циљ пружање подршке државама приликом успостављања </w:t>
      </w: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AFCOS</w:t>
      </w:r>
      <w:r w:rsidR="003C23CA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-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а и утврђивања надлежности и делокруга истог. Према овом документу, мандат </w:t>
      </w: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AFCOS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-а може се разликовати од земље до земље узимајући у обзир специфичност сваке понаособ. Минимум утврђен поменутим смерницама налаже да </w:t>
      </w: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AFCOS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унутар земље координира свим законодавним, административним и истражним обавезама и активностима у вези са заштитом финансијских интереса ЕУ, као и да осигура сарадњу са ОЛАФ-ом. На захтев ОЛАФ-а, наведена служба пружа потребну помоћ пре доношења одлуке о спровођењу истраге, током истраге, као и након спровoђења исте.</w:t>
      </w:r>
    </w:p>
    <w:p w14:paraId="581ABFEA" w14:textId="23492794" w:rsidR="003C23CA" w:rsidRPr="004F5D67" w:rsidRDefault="005532AD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У већини држава чланица ЕУ, </w:t>
      </w: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AFCOS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је позициониран у Министарству финансија, док се надлежност и улога истог разликују и варирају од координационе улоге до независне службе са истражним овлашћењима (нпр. </w:t>
      </w: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Fight Against Fraud Department </w:t>
      </w:r>
      <w:r w:rsidR="003C23CA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DLAF, Romania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14:paraId="609EFD7D" w14:textId="0CCBAD1F" w:rsidR="005532AD" w:rsidRPr="004F5D67" w:rsidRDefault="005532AD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Од изузетне важности je примена ОЛАФ-ових смерница за израду стратешких докумената националних тела за борбу против неправилности и превара у </w:t>
      </w:r>
      <w:r w:rsidR="00610C86" w:rsidRPr="004F5D67">
        <w:rPr>
          <w:rFonts w:ascii="Times New Roman" w:hAnsi="Times New Roman" w:cs="Times New Roman"/>
          <w:sz w:val="24"/>
          <w:szCs w:val="24"/>
          <w:lang w:val="sr-Cyrl-CS"/>
        </w:rPr>
        <w:t>поступању са средствима ЕУ, које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се разрађују у наведеном документу, а односе се на извршавање следећих задатака:</w:t>
      </w:r>
    </w:p>
    <w:p w14:paraId="4E6F7F4C" w14:textId="381EBEE0" w:rsidR="005532AD" w:rsidRPr="004F5D67" w:rsidRDefault="005532AD" w:rsidP="009E34B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истражне радње</w:t>
      </w:r>
      <w:r w:rsidR="00681C78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укључујући размену информациј</w:t>
      </w:r>
      <w:r w:rsidR="00681C78" w:rsidRPr="004F5D67">
        <w:rPr>
          <w:rFonts w:ascii="Times New Roman" w:hAnsi="Times New Roman" w:cs="Times New Roman"/>
          <w:sz w:val="24"/>
          <w:szCs w:val="24"/>
          <w:lang w:val="sr-Cyrl-CS"/>
        </w:rPr>
        <w:t>а добијених у поступцима истрагa</w:t>
      </w:r>
      <w:r w:rsidR="003C23CA" w:rsidRPr="004F5D6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6736D1D" w14:textId="3A6126F2" w:rsidR="005532AD" w:rsidRPr="004F5D67" w:rsidRDefault="005532AD" w:rsidP="009E34B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превентивно деловање</w:t>
      </w:r>
      <w:r w:rsidR="003C23CA" w:rsidRPr="004F5D67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</w:p>
    <w:p w14:paraId="352DB798" w14:textId="77777777" w:rsidR="005532AD" w:rsidRPr="004F5D67" w:rsidRDefault="005532AD" w:rsidP="009E34B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обуке.</w:t>
      </w:r>
    </w:p>
    <w:p w14:paraId="35E915B1" w14:textId="77777777" w:rsidR="005532AD" w:rsidRPr="004F5D67" w:rsidRDefault="005532AD" w:rsidP="009E34B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0627EF1" w14:textId="7A1F7BA2" w:rsidR="005532AD" w:rsidRPr="004F5D67" w:rsidRDefault="005532AD" w:rsidP="00733298">
      <w:pPr>
        <w:ind w:firstLine="720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Исто тако, узети су у обзир и Практични кораци у изради Националне стратегије за сузбијање неправилности и превара у поступању са средствима ЕУ </w:t>
      </w:r>
      <w:r w:rsidRPr="004F5D67">
        <w:rPr>
          <w:rFonts w:ascii="Times New Roman" w:hAnsi="Times New Roman" w:cs="Times New Roman"/>
          <w:i/>
          <w:color w:val="000000"/>
          <w:sz w:val="24"/>
          <w:szCs w:val="24"/>
          <w:lang w:val="sr-Cyrl-CS"/>
        </w:rPr>
        <w:t>„</w:t>
      </w: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Practical steps in the preparation of the National Strategy for combating irregularities and fraud in the handling of EU funds</w:t>
      </w:r>
      <w:r w:rsidRPr="004F5D67">
        <w:rPr>
          <w:rFonts w:ascii="Times New Roman" w:hAnsi="Times New Roman" w:cs="Times New Roman"/>
          <w:i/>
          <w:color w:val="000000"/>
          <w:sz w:val="24"/>
          <w:szCs w:val="24"/>
          <w:lang w:val="sr-Cyrl-CS"/>
        </w:rPr>
        <w:t>”.</w:t>
      </w:r>
    </w:p>
    <w:p w14:paraId="4E03BBD8" w14:textId="0B34C1B1" w:rsidR="005532AD" w:rsidRPr="004F5D67" w:rsidRDefault="005532AD" w:rsidP="00733298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Додатно</w:t>
      </w:r>
      <w:r w:rsidR="001756C5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 упоредну анализу </w:t>
      </w:r>
      <w:r w:rsidR="008054AA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сагледана</w:t>
      </w:r>
      <w:r w:rsidR="001756C5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је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Национална стратегија за превенцију и борбу против неправилности и превара </w:t>
      </w:r>
      <w:r w:rsidR="001756C5" w:rsidRPr="004F5D67">
        <w:rPr>
          <w:rFonts w:ascii="Times New Roman" w:hAnsi="Times New Roman" w:cs="Times New Roman"/>
          <w:sz w:val="24"/>
          <w:szCs w:val="24"/>
          <w:lang w:val="sr-Cyrl-CS"/>
        </w:rPr>
        <w:t>које утичу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на финансијске интересе Европске уније за период 2021</w:t>
      </w:r>
      <w:r w:rsidR="003C23CA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2027 </w:t>
      </w:r>
      <w:r w:rsidR="001756C5" w:rsidRPr="004F5D67">
        <w:rPr>
          <w:rFonts w:ascii="Times New Roman" w:hAnsi="Times New Roman" w:cs="Times New Roman"/>
          <w:sz w:val="24"/>
          <w:szCs w:val="24"/>
          <w:lang w:val="sr-Cyrl-CS"/>
        </w:rPr>
        <w:t>у Републици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Бугарск</w:t>
      </w:r>
      <w:r w:rsidR="001756C5" w:rsidRPr="004F5D67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1756C5" w:rsidRPr="004F5D67">
        <w:rPr>
          <w:rFonts w:ascii="Times New Roman" w:hAnsi="Times New Roman" w:cs="Times New Roman"/>
          <w:i/>
          <w:color w:val="000000"/>
          <w:sz w:val="24"/>
          <w:szCs w:val="24"/>
          <w:lang w:val="sr-Cyrl-CS"/>
        </w:rPr>
        <w:t>(</w:t>
      </w:r>
      <w:r w:rsidRPr="004F5D67">
        <w:rPr>
          <w:rFonts w:ascii="Times New Roman" w:hAnsi="Times New Roman" w:cs="Times New Roman"/>
          <w:i/>
          <w:color w:val="000000"/>
          <w:sz w:val="24"/>
          <w:szCs w:val="24"/>
          <w:lang w:val="sr-Cyrl-CS"/>
        </w:rPr>
        <w:t>„</w:t>
      </w: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National </w:t>
      </w: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lastRenderedPageBreak/>
        <w:t>Strategy for Preventing And Combating Irregularities and Fraud Affecting the Financial Interests of the Euro</w:t>
      </w:r>
      <w:r w:rsidR="003C23CA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pean Union over the Period 2021</w:t>
      </w:r>
      <w:r w:rsidR="003C23CA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2027 in Republic of Bulgaria</w:t>
      </w:r>
      <w:r w:rsidRPr="004F5D67">
        <w:rPr>
          <w:rFonts w:ascii="Times New Roman" w:hAnsi="Times New Roman" w:cs="Times New Roman"/>
          <w:i/>
          <w:color w:val="000000"/>
          <w:sz w:val="24"/>
          <w:szCs w:val="24"/>
          <w:lang w:val="sr-Cyrl-CS"/>
        </w:rPr>
        <w:t>”</w:t>
      </w:r>
      <w:r w:rsidR="001756C5" w:rsidRPr="004F5D67">
        <w:rPr>
          <w:rFonts w:ascii="Times New Roman" w:hAnsi="Times New Roman" w:cs="Times New Roman"/>
          <w:i/>
          <w:color w:val="000000"/>
          <w:sz w:val="24"/>
          <w:szCs w:val="24"/>
          <w:lang w:val="sr-Cyrl-CS"/>
        </w:rPr>
        <w:t>)</w:t>
      </w:r>
      <w:r w:rsidR="001756C5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Република Бугарска, 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као </w:t>
      </w:r>
      <w:r w:rsidR="001756C5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земља чланица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Е</w:t>
      </w:r>
      <w:r w:rsidR="00610C8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са дужим искуством у коришћењу фондова ЕУ, дефинисала </w:t>
      </w:r>
      <w:r w:rsidR="001756C5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је 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следеће стратешке циљеве:</w:t>
      </w:r>
    </w:p>
    <w:p w14:paraId="004A2896" w14:textId="77777777" w:rsidR="005532AD" w:rsidRPr="004F5D67" w:rsidRDefault="005532AD" w:rsidP="009E34B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бољу превенцију, </w:t>
      </w:r>
    </w:p>
    <w:p w14:paraId="3803B12C" w14:textId="77777777" w:rsidR="005532AD" w:rsidRPr="004F5D67" w:rsidRDefault="005532AD" w:rsidP="009E34B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већу ефикасност у откривању и сузбијању неправилности и превара, </w:t>
      </w:r>
    </w:p>
    <w:p w14:paraId="00B0C50C" w14:textId="77777777" w:rsidR="005532AD" w:rsidRPr="004F5D67" w:rsidRDefault="005532AD" w:rsidP="009E34BA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већу ефикасност истраге, повраћаја новца и санкције, и </w:t>
      </w:r>
    </w:p>
    <w:p w14:paraId="03A7D6E9" w14:textId="55AD0D60" w:rsidR="000568F2" w:rsidRPr="004F5D67" w:rsidRDefault="005532AD" w:rsidP="0073329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унапређење сарадње са ОЛАФ-ом и надлежним институцијама Е</w:t>
      </w:r>
      <w:r w:rsidR="001756C5" w:rsidRPr="004F5D6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, другим </w:t>
      </w:r>
      <w:r w:rsidR="004F5D67">
        <w:rPr>
          <w:rFonts w:ascii="Times New Roman" w:hAnsi="Times New Roman" w:cs="Times New Roman"/>
          <w:sz w:val="24"/>
          <w:szCs w:val="24"/>
          <w:lang w:val="sr-Cyrl-CS"/>
        </w:rPr>
        <w:t>државама чланицама и трећим зем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љама</w:t>
      </w:r>
      <w:r w:rsidR="001756C5" w:rsidRPr="004F5D67">
        <w:rPr>
          <w:rFonts w:ascii="Times New Roman" w:hAnsi="Times New Roman" w:cs="Times New Roman"/>
          <w:sz w:val="24"/>
          <w:szCs w:val="24"/>
          <w:lang w:val="sr-Cyrl-CS"/>
        </w:rPr>
        <w:t>, као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и проактивно укључивање у развој политика ЕУ.</w:t>
      </w:r>
    </w:p>
    <w:p w14:paraId="7E6F3500" w14:textId="77777777" w:rsidR="000568F2" w:rsidRPr="004F5D67" w:rsidRDefault="000568F2" w:rsidP="009E34BA">
      <w:pPr>
        <w:pStyle w:val="ListParagrap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785B7D" w14:textId="7CCB0A85" w:rsidR="00A77831" w:rsidRPr="004F5D67" w:rsidRDefault="001E4A58" w:rsidP="009E34BA">
      <w:pPr>
        <w:pStyle w:val="Heading1"/>
        <w:spacing w:before="0"/>
        <w:rPr>
          <w:sz w:val="24"/>
          <w:szCs w:val="24"/>
          <w:lang w:val="sr-Cyrl-CS"/>
        </w:rPr>
      </w:pPr>
      <w:bookmarkStart w:id="9" w:name="_Toc161827223"/>
      <w:proofErr w:type="spellStart"/>
      <w:r w:rsidRPr="004F5D67">
        <w:rPr>
          <w:sz w:val="24"/>
          <w:szCs w:val="24"/>
          <w:lang w:val="sr-Cyrl-CS"/>
        </w:rPr>
        <w:t>III</w:t>
      </w:r>
      <w:proofErr w:type="spellEnd"/>
      <w:r w:rsidR="00681EFB">
        <w:rPr>
          <w:sz w:val="24"/>
          <w:szCs w:val="24"/>
          <w:lang w:val="sr-Cyrl-CS"/>
        </w:rPr>
        <w:t xml:space="preserve">. </w:t>
      </w:r>
      <w:r w:rsidR="00A77831" w:rsidRPr="004F5D67">
        <w:rPr>
          <w:sz w:val="24"/>
          <w:szCs w:val="24"/>
          <w:lang w:val="sr-Cyrl-CS"/>
        </w:rPr>
        <w:t xml:space="preserve">Анализа ефеката </w:t>
      </w:r>
      <w:r w:rsidR="00B6111E" w:rsidRPr="004F5D67">
        <w:rPr>
          <w:sz w:val="24"/>
          <w:szCs w:val="24"/>
          <w:lang w:val="sr-Cyrl-CS"/>
        </w:rPr>
        <w:t>Стратешког плана</w:t>
      </w:r>
      <w:r w:rsidR="00A77831" w:rsidRPr="004F5D67">
        <w:rPr>
          <w:sz w:val="24"/>
          <w:szCs w:val="24"/>
          <w:lang w:val="sr-Cyrl-CS"/>
        </w:rPr>
        <w:t xml:space="preserve"> </w:t>
      </w:r>
      <w:r w:rsidR="003C23CA" w:rsidRPr="004F5D67">
        <w:rPr>
          <w:sz w:val="24"/>
          <w:szCs w:val="24"/>
          <w:lang w:val="sr-Cyrl-CS"/>
        </w:rPr>
        <w:t>2021−</w:t>
      </w:r>
      <w:r w:rsidR="00E4460A" w:rsidRPr="004F5D67">
        <w:rPr>
          <w:sz w:val="24"/>
          <w:szCs w:val="24"/>
          <w:lang w:val="sr-Cyrl-CS"/>
        </w:rPr>
        <w:t>2023</w:t>
      </w:r>
      <w:bookmarkEnd w:id="9"/>
    </w:p>
    <w:p w14:paraId="38FE234D" w14:textId="7940987C" w:rsidR="000568F2" w:rsidRPr="004F5D67" w:rsidRDefault="000568F2" w:rsidP="009E34BA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0C3231E6" w14:textId="19261A70" w:rsidR="00A71D20" w:rsidRPr="004F5D67" w:rsidRDefault="001E4A58" w:rsidP="009E34BA">
      <w:pPr>
        <w:pStyle w:val="Heading2"/>
        <w:spacing w:before="0"/>
        <w:rPr>
          <w:rFonts w:cs="Times New Roman"/>
          <w:sz w:val="24"/>
          <w:szCs w:val="24"/>
          <w:lang w:val="sr-Cyrl-CS"/>
        </w:rPr>
      </w:pPr>
      <w:bookmarkStart w:id="10" w:name="_Toc161827224"/>
      <w:r w:rsidRPr="004F5D67">
        <w:rPr>
          <w:rFonts w:cs="Times New Roman"/>
          <w:sz w:val="24"/>
          <w:szCs w:val="24"/>
          <w:lang w:val="sr-Cyrl-CS"/>
        </w:rPr>
        <w:t xml:space="preserve">Методолошки оквир </w:t>
      </w:r>
      <w:r w:rsidR="00001F90" w:rsidRPr="004F5D67">
        <w:rPr>
          <w:rFonts w:cs="Times New Roman"/>
          <w:sz w:val="24"/>
          <w:szCs w:val="24"/>
          <w:lang w:val="sr-Cyrl-CS"/>
        </w:rPr>
        <w:t>анализе</w:t>
      </w:r>
      <w:bookmarkEnd w:id="10"/>
    </w:p>
    <w:p w14:paraId="59B0EA75" w14:textId="77777777" w:rsidR="00762E41" w:rsidRPr="004F5D67" w:rsidRDefault="00762E41" w:rsidP="009E34B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A754162" w14:textId="3C33F3E2" w:rsidR="00384E1E" w:rsidRPr="004F5D67" w:rsidRDefault="00B83B17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У процесу</w:t>
      </w:r>
      <w:r w:rsidR="00EC71F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041A" w:rsidRPr="004F5D67">
        <w:rPr>
          <w:rFonts w:ascii="Times New Roman" w:hAnsi="Times New Roman" w:cs="Times New Roman"/>
          <w:sz w:val="24"/>
          <w:szCs w:val="24"/>
          <w:lang w:val="sr-Cyrl-CS"/>
        </w:rPr>
        <w:t>анализе ефеката</w:t>
      </w:r>
      <w:r w:rsidR="00EC71F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Ст</w:t>
      </w:r>
      <w:r w:rsidR="00D67091" w:rsidRPr="004F5D67">
        <w:rPr>
          <w:rFonts w:ascii="Times New Roman" w:hAnsi="Times New Roman" w:cs="Times New Roman"/>
          <w:sz w:val="24"/>
          <w:szCs w:val="24"/>
          <w:lang w:val="sr-Cyrl-CS"/>
        </w:rPr>
        <w:t>ратешког плана</w:t>
      </w:r>
      <w:r w:rsidR="00055EB8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2021</w:t>
      </w:r>
      <w:r w:rsidR="003C23CA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055EB8" w:rsidRPr="004F5D67">
        <w:rPr>
          <w:rFonts w:ascii="Times New Roman" w:hAnsi="Times New Roman" w:cs="Times New Roman"/>
          <w:sz w:val="24"/>
          <w:szCs w:val="24"/>
          <w:lang w:val="sr-Cyrl-CS"/>
        </w:rPr>
        <w:t>2023</w:t>
      </w:r>
      <w:r w:rsidR="0038041A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C71F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учествовали су</w:t>
      </w:r>
      <w:r w:rsidR="008054AA" w:rsidRPr="004F5D67">
        <w:rPr>
          <w:rFonts w:ascii="Times New Roman" w:hAnsi="Times New Roman" w:cs="Times New Roman"/>
          <w:sz w:val="24"/>
          <w:szCs w:val="24"/>
          <w:lang w:val="sr-Cyrl-CS"/>
        </w:rPr>
        <w:t>, поред представника</w:t>
      </w:r>
      <w:r w:rsidR="00EC71F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АФКОС</w:t>
      </w:r>
      <w:r w:rsidR="0038041A" w:rsidRPr="004F5D67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EC71FF" w:rsidRPr="004F5D6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8041A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C71F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и члан</w:t>
      </w:r>
      <w:r w:rsidR="0038041A" w:rsidRPr="004F5D67">
        <w:rPr>
          <w:rFonts w:ascii="Times New Roman" w:hAnsi="Times New Roman" w:cs="Times New Roman"/>
          <w:sz w:val="24"/>
          <w:szCs w:val="24"/>
          <w:lang w:val="sr-Cyrl-CS"/>
        </w:rPr>
        <w:t>ови</w:t>
      </w:r>
      <w:r w:rsidR="00EC71F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54A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АФКОС </w:t>
      </w:r>
      <w:r w:rsidR="00B742D2" w:rsidRPr="004F5D67">
        <w:rPr>
          <w:rFonts w:ascii="Times New Roman" w:hAnsi="Times New Roman" w:cs="Times New Roman"/>
          <w:sz w:val="24"/>
          <w:szCs w:val="24"/>
          <w:lang w:val="sr-Cyrl-CS"/>
        </w:rPr>
        <w:t>Мреже</w:t>
      </w:r>
      <w:r w:rsidR="00671AA5" w:rsidRPr="004F5D6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84E1E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5626" w:rsidRPr="004F5D67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A36F97" w:rsidRPr="004F5D67">
        <w:rPr>
          <w:rFonts w:ascii="Times New Roman" w:hAnsi="Times New Roman" w:cs="Times New Roman"/>
          <w:sz w:val="24"/>
          <w:szCs w:val="24"/>
          <w:lang w:val="sr-Cyrl-CS"/>
        </w:rPr>
        <w:t>рикуп</w:t>
      </w:r>
      <w:r w:rsidR="00D55626" w:rsidRPr="004F5D67">
        <w:rPr>
          <w:rFonts w:ascii="Times New Roman" w:hAnsi="Times New Roman" w:cs="Times New Roman"/>
          <w:sz w:val="24"/>
          <w:szCs w:val="24"/>
          <w:lang w:val="sr-Cyrl-CS"/>
        </w:rPr>
        <w:t>љање</w:t>
      </w:r>
      <w:r w:rsidR="007C7018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релевант</w:t>
      </w:r>
      <w:r w:rsidR="00CE2FB7" w:rsidRPr="004F5D67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7C7018" w:rsidRPr="004F5D6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F470E" w:rsidRPr="004F5D67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7C7018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пода</w:t>
      </w:r>
      <w:r w:rsidR="00EF470E" w:rsidRPr="004F5D67">
        <w:rPr>
          <w:rFonts w:ascii="Times New Roman" w:hAnsi="Times New Roman" w:cs="Times New Roman"/>
          <w:sz w:val="24"/>
          <w:szCs w:val="24"/>
          <w:lang w:val="sr-Cyrl-CS"/>
        </w:rPr>
        <w:t>така ради</w:t>
      </w:r>
      <w:r w:rsidR="001858A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B7C79" w:rsidRPr="004F5D67">
        <w:rPr>
          <w:rFonts w:ascii="Times New Roman" w:hAnsi="Times New Roman" w:cs="Times New Roman"/>
          <w:sz w:val="24"/>
          <w:szCs w:val="24"/>
          <w:lang w:val="sr-Cyrl-CS"/>
        </w:rPr>
        <w:t>анализ</w:t>
      </w:r>
      <w:r w:rsidR="00EF470E" w:rsidRPr="004F5D6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C7018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ефек</w:t>
      </w:r>
      <w:r w:rsidR="001858AB" w:rsidRPr="004F5D67">
        <w:rPr>
          <w:rFonts w:ascii="Times New Roman" w:hAnsi="Times New Roman" w:cs="Times New Roman"/>
          <w:sz w:val="24"/>
          <w:szCs w:val="24"/>
          <w:lang w:val="sr-Cyrl-CS"/>
        </w:rPr>
        <w:t>ата</w:t>
      </w:r>
      <w:r w:rsidR="007C7018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B7C79" w:rsidRPr="004F5D67">
        <w:rPr>
          <w:rFonts w:ascii="Times New Roman" w:hAnsi="Times New Roman" w:cs="Times New Roman"/>
          <w:sz w:val="24"/>
          <w:szCs w:val="24"/>
          <w:lang w:val="sr-Cyrl-CS"/>
        </w:rPr>
        <w:t>Стратешког плана</w:t>
      </w:r>
      <w:r w:rsidR="00E45A6C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2021</w:t>
      </w:r>
      <w:r w:rsidR="003C23CA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E45A6C" w:rsidRPr="004F5D67">
        <w:rPr>
          <w:rFonts w:ascii="Times New Roman" w:hAnsi="Times New Roman" w:cs="Times New Roman"/>
          <w:sz w:val="24"/>
          <w:szCs w:val="24"/>
          <w:lang w:val="sr-Cyrl-CS"/>
        </w:rPr>
        <w:t>2023</w:t>
      </w:r>
      <w:r w:rsidR="00EB7C79" w:rsidRPr="004F5D67">
        <w:rPr>
          <w:rFonts w:ascii="Times New Roman" w:hAnsi="Times New Roman" w:cs="Times New Roman"/>
          <w:sz w:val="24"/>
          <w:szCs w:val="24"/>
          <w:lang w:val="sr-Cyrl-CS"/>
        </w:rPr>
        <w:t>, као</w:t>
      </w:r>
      <w:r w:rsidR="007C7018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и анализ</w:t>
      </w:r>
      <w:r w:rsidR="00EF470E" w:rsidRPr="004F5D6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7C7018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постојеће</w:t>
      </w:r>
      <w:r w:rsidR="00E6434B" w:rsidRPr="004F5D67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7C7018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стањ</w:t>
      </w:r>
      <w:r w:rsidR="00E6434B" w:rsidRPr="004F5D6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F470E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A140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5626" w:rsidRPr="004F5D67">
        <w:rPr>
          <w:rFonts w:ascii="Times New Roman" w:hAnsi="Times New Roman" w:cs="Times New Roman"/>
          <w:sz w:val="24"/>
          <w:szCs w:val="24"/>
          <w:lang w:val="sr-Cyrl-CS"/>
        </w:rPr>
        <w:t>извршено је уз помоћ методолошког</w:t>
      </w:r>
      <w:r w:rsidR="002E7CD7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оквир</w:t>
      </w:r>
      <w:r w:rsidR="00D55626" w:rsidRPr="004F5D6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E7CD7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714A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који </w:t>
      </w:r>
      <w:r w:rsidR="00384E1E" w:rsidRPr="004F5D67">
        <w:rPr>
          <w:rFonts w:ascii="Times New Roman" w:hAnsi="Times New Roman" w:cs="Times New Roman"/>
          <w:sz w:val="24"/>
          <w:szCs w:val="24"/>
          <w:lang w:val="sr-Cyrl-CS"/>
        </w:rPr>
        <w:t>садржи следеће</w:t>
      </w:r>
      <w:r w:rsidR="00AA1405" w:rsidRPr="004F5D67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5F8F777" w14:textId="0AEFD42C" w:rsidR="00EB7C79" w:rsidRPr="004F5D67" w:rsidRDefault="002E7CD7" w:rsidP="009E34B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AA1405" w:rsidRPr="004F5D67">
        <w:rPr>
          <w:rFonts w:ascii="Times New Roman" w:hAnsi="Times New Roman" w:cs="Times New Roman"/>
          <w:sz w:val="24"/>
          <w:szCs w:val="24"/>
          <w:lang w:val="sr-Cyrl-CS"/>
        </w:rPr>
        <w:t>извештај</w:t>
      </w:r>
      <w:r w:rsidR="00384E1E" w:rsidRPr="004F5D6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A140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0CF8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о спроведеним активностима из </w:t>
      </w:r>
      <w:r w:rsidR="00384E1E" w:rsidRPr="004F5D67">
        <w:rPr>
          <w:rFonts w:ascii="Times New Roman" w:hAnsi="Times New Roman" w:cs="Times New Roman"/>
          <w:sz w:val="24"/>
          <w:szCs w:val="24"/>
          <w:lang w:val="sr-Cyrl-CS"/>
        </w:rPr>
        <w:t>Стратешког плана</w:t>
      </w:r>
      <w:r w:rsidR="003A0CF8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420B" w:rsidRPr="004F5D67">
        <w:rPr>
          <w:rFonts w:ascii="Times New Roman" w:hAnsi="Times New Roman" w:cs="Times New Roman"/>
          <w:sz w:val="24"/>
          <w:szCs w:val="24"/>
          <w:lang w:val="sr-Cyrl-CS"/>
        </w:rPr>
        <w:t>2021–</w:t>
      </w:r>
      <w:r w:rsidR="009B524A" w:rsidRPr="004F5D67">
        <w:rPr>
          <w:rFonts w:ascii="Times New Roman" w:hAnsi="Times New Roman" w:cs="Times New Roman"/>
          <w:sz w:val="24"/>
          <w:szCs w:val="24"/>
          <w:lang w:val="sr-Cyrl-CS"/>
        </w:rPr>
        <w:t>2023,</w:t>
      </w:r>
      <w:r w:rsidR="003A0CF8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55626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Стратегије </w:t>
      </w:r>
      <w:r w:rsidR="003F420B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2017</w:t>
      </w:r>
      <w:r w:rsidR="003F420B" w:rsidRPr="004F5D67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D55626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2020</w:t>
      </w:r>
      <w:r w:rsidR="00117C3E" w:rsidRPr="004F5D67">
        <w:rPr>
          <w:rStyle w:val="one-filetitle"/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384E1E" w:rsidRPr="004F5D67">
        <w:rPr>
          <w:rStyle w:val="one-filetitle"/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као и</w:t>
      </w:r>
      <w:r w:rsidR="00912D4A" w:rsidRPr="004F5D67">
        <w:rPr>
          <w:rStyle w:val="one-filetitle"/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релева</w:t>
      </w:r>
      <w:r w:rsidR="00345143" w:rsidRPr="004F5D67">
        <w:rPr>
          <w:rStyle w:val="one-filetitle"/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="00912D4A" w:rsidRPr="004F5D67">
        <w:rPr>
          <w:rStyle w:val="one-filetitle"/>
          <w:rFonts w:ascii="Times New Roman" w:eastAsia="Times New Roman" w:hAnsi="Times New Roman" w:cs="Times New Roman"/>
          <w:sz w:val="24"/>
          <w:szCs w:val="24"/>
          <w:lang w:val="sr-Cyrl-CS"/>
        </w:rPr>
        <w:t>тн</w:t>
      </w:r>
      <w:r w:rsidR="00384E1E" w:rsidRPr="004F5D67">
        <w:rPr>
          <w:rStyle w:val="one-filetitle"/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707EC6" w:rsidRPr="004F5D67">
        <w:rPr>
          <w:rStyle w:val="one-filetitle"/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документа која</w:t>
      </w:r>
      <w:r w:rsidR="00912D4A" w:rsidRPr="004F5D67">
        <w:rPr>
          <w:rStyle w:val="one-filetitle"/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односе на Стратешки план</w:t>
      </w:r>
      <w:r w:rsidR="00B34091" w:rsidRPr="004F5D67">
        <w:rPr>
          <w:rStyle w:val="one-filetitle"/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21CFD" w:rsidRPr="004F5D67">
        <w:rPr>
          <w:rStyle w:val="one-filetitle"/>
          <w:rFonts w:ascii="Times New Roman" w:eastAsia="Times New Roman" w:hAnsi="Times New Roman" w:cs="Times New Roman"/>
          <w:sz w:val="24"/>
          <w:szCs w:val="24"/>
          <w:lang w:val="sr-Cyrl-CS"/>
        </w:rPr>
        <w:t>2021</w:t>
      </w:r>
      <w:r w:rsidR="003F420B" w:rsidRPr="004F5D67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A6655A" w:rsidRPr="004F5D67">
        <w:rPr>
          <w:rStyle w:val="one-filetitle"/>
          <w:rFonts w:ascii="Times New Roman" w:eastAsia="Times New Roman" w:hAnsi="Times New Roman" w:cs="Times New Roman"/>
          <w:sz w:val="24"/>
          <w:szCs w:val="24"/>
          <w:lang w:val="sr-Cyrl-CS"/>
        </w:rPr>
        <w:t>2023</w:t>
      </w:r>
      <w:r w:rsidR="00EB7C79" w:rsidRPr="004F5D67">
        <w:rPr>
          <w:rStyle w:val="one-filetitle"/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  <w:r w:rsidR="00117C3E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CDA8799" w14:textId="3866A171" w:rsidR="00545904" w:rsidRPr="004F5D67" w:rsidRDefault="00AA1405" w:rsidP="009E34B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D5562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80D7A" w:rsidRPr="004F5D67">
        <w:rPr>
          <w:rFonts w:ascii="Times New Roman" w:hAnsi="Times New Roman" w:cs="Times New Roman"/>
          <w:sz w:val="24"/>
          <w:szCs w:val="24"/>
          <w:lang w:val="sr-Cyrl-CS"/>
        </w:rPr>
        <w:t>упитник</w:t>
      </w:r>
      <w:r w:rsidR="0067456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C06C3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EB7C79" w:rsidRPr="004F5D67">
        <w:rPr>
          <w:rFonts w:ascii="Times New Roman" w:hAnsi="Times New Roman" w:cs="Times New Roman"/>
          <w:sz w:val="24"/>
          <w:szCs w:val="24"/>
          <w:lang w:val="sr-Cyrl-CS"/>
        </w:rPr>
        <w:t>анализу</w:t>
      </w:r>
      <w:r w:rsidR="009C06C3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420B" w:rsidRPr="004F5D67">
        <w:rPr>
          <w:rFonts w:ascii="Times New Roman" w:hAnsi="Times New Roman" w:cs="Times New Roman"/>
          <w:sz w:val="24"/>
          <w:szCs w:val="24"/>
          <w:lang w:val="sr-Cyrl-CS"/>
        </w:rPr>
        <w:t>ефe</w:t>
      </w:r>
      <w:r w:rsidR="0067456F" w:rsidRPr="004F5D67">
        <w:rPr>
          <w:rFonts w:ascii="Times New Roman" w:hAnsi="Times New Roman" w:cs="Times New Roman"/>
          <w:sz w:val="24"/>
          <w:szCs w:val="24"/>
          <w:lang w:val="sr-Cyrl-CS"/>
        </w:rPr>
        <w:t>ката Стратешког плана</w:t>
      </w:r>
      <w:r w:rsidR="00707EC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2021–2023,</w:t>
      </w:r>
      <w:r w:rsidR="0067456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630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намењен </w:t>
      </w:r>
      <w:r w:rsidR="00546B3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представницима </w:t>
      </w:r>
      <w:r w:rsidR="00226306" w:rsidRPr="004F5D67">
        <w:rPr>
          <w:rFonts w:ascii="Times New Roman" w:hAnsi="Times New Roman" w:cs="Times New Roman"/>
          <w:sz w:val="24"/>
          <w:szCs w:val="24"/>
          <w:lang w:val="sr-Cyrl-CS"/>
        </w:rPr>
        <w:t>АФКОС</w:t>
      </w:r>
      <w:r w:rsidR="00EB7C79" w:rsidRPr="004F5D67">
        <w:rPr>
          <w:rFonts w:ascii="Times New Roman" w:hAnsi="Times New Roman" w:cs="Times New Roman"/>
          <w:sz w:val="24"/>
          <w:szCs w:val="24"/>
          <w:lang w:val="sr-Cyrl-CS"/>
        </w:rPr>
        <w:t>-а</w:t>
      </w:r>
      <w:r w:rsidR="0022630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546B3F" w:rsidRPr="004F5D67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545904" w:rsidRPr="004F5D67">
        <w:rPr>
          <w:rFonts w:ascii="Times New Roman" w:hAnsi="Times New Roman" w:cs="Times New Roman"/>
          <w:sz w:val="24"/>
          <w:szCs w:val="24"/>
          <w:lang w:val="sr-Cyrl-CS"/>
        </w:rPr>
        <w:t>овима</w:t>
      </w:r>
      <w:r w:rsidR="0022630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07EC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АФКОС </w:t>
      </w:r>
      <w:r w:rsidR="00226306" w:rsidRPr="004F5D67">
        <w:rPr>
          <w:rFonts w:ascii="Times New Roman" w:hAnsi="Times New Roman" w:cs="Times New Roman"/>
          <w:sz w:val="24"/>
          <w:szCs w:val="24"/>
          <w:lang w:val="sr-Cyrl-CS"/>
        </w:rPr>
        <w:t>Мреже</w:t>
      </w:r>
      <w:r w:rsidR="0067456F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2630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858A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са 35 питања подељених у четири области </w:t>
      </w:r>
      <w:r w:rsidR="0067456F" w:rsidRPr="004F5D67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1858AB" w:rsidRPr="004F5D67">
        <w:rPr>
          <w:rFonts w:ascii="Times New Roman" w:hAnsi="Times New Roman" w:cs="Times New Roman"/>
          <w:sz w:val="24"/>
          <w:szCs w:val="24"/>
          <w:lang w:val="sr-Cyrl-CS"/>
        </w:rPr>
        <w:t>релевантност, ефек</w:t>
      </w:r>
      <w:r w:rsidR="00707EC6" w:rsidRPr="004F5D67">
        <w:rPr>
          <w:rFonts w:ascii="Times New Roman" w:hAnsi="Times New Roman" w:cs="Times New Roman"/>
          <w:sz w:val="24"/>
          <w:szCs w:val="24"/>
          <w:lang w:val="sr-Cyrl-CS"/>
        </w:rPr>
        <w:t>тивност, ефикасност и одрживост</w:t>
      </w:r>
      <w:r w:rsidR="0067456F" w:rsidRPr="004F5D67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545904" w:rsidRPr="004F5D67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9E08D5A" w14:textId="0A6A62D4" w:rsidR="00EB376C" w:rsidRPr="004F5D67" w:rsidRDefault="00CC48F6" w:rsidP="009E34B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3) преглед и квалификацију </w:t>
      </w:r>
      <w:r w:rsidR="00545904" w:rsidRPr="004F5D67">
        <w:rPr>
          <w:rFonts w:ascii="Times New Roman" w:hAnsi="Times New Roman" w:cs="Times New Roman"/>
          <w:sz w:val="24"/>
          <w:szCs w:val="24"/>
          <w:lang w:val="sr-Cyrl-CS"/>
        </w:rPr>
        <w:t>спроведених</w:t>
      </w:r>
      <w:r w:rsidR="000C1F17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активности из </w:t>
      </w:r>
      <w:r w:rsidR="00707EC6" w:rsidRPr="004F5D67">
        <w:rPr>
          <w:rFonts w:ascii="Times New Roman" w:hAnsi="Times New Roman" w:cs="Times New Roman"/>
          <w:sz w:val="24"/>
          <w:szCs w:val="24"/>
          <w:lang w:val="sr-Cyrl-CS"/>
        </w:rPr>
        <w:t>Стратешког плана 2021–2023</w:t>
      </w:r>
      <w:r w:rsidR="00EB376C" w:rsidRPr="004F5D67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77AEE37D" w14:textId="6D9AFF1D" w:rsidR="00EB376C" w:rsidRPr="004F5D67" w:rsidRDefault="00CC48F6" w:rsidP="009E34B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AC2957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AC2957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SWOT</w:t>
      </w:r>
      <w:r w:rsidR="00AC2957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07EC6" w:rsidRPr="004F5D6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46B3F" w:rsidRPr="004F5D67">
        <w:rPr>
          <w:rFonts w:ascii="Times New Roman" w:hAnsi="Times New Roman" w:cs="Times New Roman"/>
          <w:sz w:val="24"/>
          <w:szCs w:val="24"/>
          <w:lang w:val="sr-Cyrl-CS"/>
        </w:rPr>
        <w:t>нализу</w:t>
      </w:r>
      <w:r w:rsidR="002A380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којом су чланови АФКОС Мреже</w:t>
      </w:r>
      <w:r w:rsidR="002511B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16FF4" w:rsidRPr="004F5D67">
        <w:rPr>
          <w:rFonts w:ascii="Times New Roman" w:hAnsi="Times New Roman" w:cs="Times New Roman"/>
          <w:sz w:val="24"/>
          <w:szCs w:val="24"/>
          <w:lang w:val="sr-Cyrl-CS"/>
        </w:rPr>
        <w:t>проценил</w:t>
      </w:r>
      <w:r w:rsidR="00EB376C" w:rsidRPr="004F5D6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C2957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снаге, слабости, могућности и претње </w:t>
      </w:r>
      <w:r w:rsidR="00316FF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E0157D" w:rsidRPr="004F5D67">
        <w:rPr>
          <w:rFonts w:ascii="Times New Roman" w:hAnsi="Times New Roman" w:cs="Times New Roman"/>
          <w:sz w:val="24"/>
          <w:szCs w:val="24"/>
          <w:lang w:val="sr-Cyrl-CS"/>
        </w:rPr>
        <w:t>делокругу</w:t>
      </w:r>
      <w:r w:rsidR="00E45A6C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институција којима припадају</w:t>
      </w:r>
      <w:r w:rsidR="00C80D7A" w:rsidRPr="004F5D67">
        <w:rPr>
          <w:rFonts w:ascii="Times New Roman" w:hAnsi="Times New Roman" w:cs="Times New Roman"/>
          <w:sz w:val="24"/>
          <w:szCs w:val="24"/>
          <w:lang w:val="sr-Cyrl-CS"/>
        </w:rPr>
        <w:t>, а</w:t>
      </w:r>
      <w:r w:rsidR="0067456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B376C" w:rsidRPr="004F5D67">
        <w:rPr>
          <w:rFonts w:ascii="Times New Roman" w:hAnsi="Times New Roman" w:cs="Times New Roman"/>
          <w:sz w:val="24"/>
          <w:szCs w:val="24"/>
          <w:lang w:val="sr-Cyrl-CS"/>
        </w:rPr>
        <w:t>приликом</w:t>
      </w:r>
      <w:r w:rsidR="00E0157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имплемен</w:t>
      </w:r>
      <w:r w:rsidR="00CE2FB7" w:rsidRPr="004F5D67">
        <w:rPr>
          <w:rFonts w:ascii="Times New Roman" w:hAnsi="Times New Roman" w:cs="Times New Roman"/>
          <w:sz w:val="24"/>
          <w:szCs w:val="24"/>
          <w:lang w:val="sr-Cyrl-CS"/>
        </w:rPr>
        <w:t>тациј</w:t>
      </w:r>
      <w:r w:rsidR="00EB376C" w:rsidRPr="004F5D6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E2FB7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B376C" w:rsidRPr="004F5D67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CE2FB7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тратешког </w:t>
      </w:r>
      <w:r w:rsidR="00EB376C" w:rsidRPr="004F5D67">
        <w:rPr>
          <w:rFonts w:ascii="Times New Roman" w:hAnsi="Times New Roman" w:cs="Times New Roman"/>
          <w:sz w:val="24"/>
          <w:szCs w:val="24"/>
          <w:lang w:val="sr-Cyrl-CS"/>
        </w:rPr>
        <w:t>плана</w:t>
      </w:r>
      <w:r w:rsidR="00AA132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F420B" w:rsidRPr="004F5D67">
        <w:rPr>
          <w:rFonts w:ascii="Times New Roman" w:hAnsi="Times New Roman" w:cs="Times New Roman"/>
          <w:sz w:val="24"/>
          <w:szCs w:val="24"/>
          <w:lang w:val="sr-Cyrl-CS"/>
        </w:rPr>
        <w:t>2021–2023</w:t>
      </w:r>
      <w:r w:rsidR="00EB376C" w:rsidRPr="004F5D67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CE2FB7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8C0D9A8" w14:textId="7FA5E0F2" w:rsidR="0067456F" w:rsidRPr="004F5D67" w:rsidRDefault="00CC48F6" w:rsidP="009E34B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E0157D" w:rsidRPr="004F5D67">
        <w:rPr>
          <w:rFonts w:ascii="Times New Roman" w:hAnsi="Times New Roman" w:cs="Times New Roman"/>
          <w:sz w:val="24"/>
          <w:szCs w:val="24"/>
          <w:lang w:val="sr-Cyrl-CS"/>
        </w:rPr>
        <w:t>) структурис</w:t>
      </w:r>
      <w:r w:rsidR="007714A4" w:rsidRPr="004F5D67">
        <w:rPr>
          <w:rFonts w:ascii="Times New Roman" w:hAnsi="Times New Roman" w:cs="Times New Roman"/>
          <w:sz w:val="24"/>
          <w:szCs w:val="24"/>
          <w:lang w:val="sr-Cyrl-CS"/>
        </w:rPr>
        <w:t>ане интервјуе са члан</w:t>
      </w:r>
      <w:r w:rsidR="00EB376C" w:rsidRPr="004F5D67">
        <w:rPr>
          <w:rFonts w:ascii="Times New Roman" w:hAnsi="Times New Roman" w:cs="Times New Roman"/>
          <w:sz w:val="24"/>
          <w:szCs w:val="24"/>
          <w:lang w:val="sr-Cyrl-CS"/>
        </w:rPr>
        <w:t>овима</w:t>
      </w:r>
      <w:r w:rsidR="007714A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A132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АФКОС </w:t>
      </w:r>
      <w:r w:rsidR="002511BB" w:rsidRPr="004F5D67">
        <w:rPr>
          <w:rFonts w:ascii="Times New Roman" w:hAnsi="Times New Roman" w:cs="Times New Roman"/>
          <w:sz w:val="24"/>
          <w:szCs w:val="24"/>
          <w:lang w:val="sr-Cyrl-CS"/>
        </w:rPr>
        <w:t>Мреже</w:t>
      </w:r>
      <w:r w:rsidR="00D13E69" w:rsidRPr="004F5D67">
        <w:rPr>
          <w:rFonts w:ascii="Times New Roman" w:hAnsi="Times New Roman" w:cs="Times New Roman"/>
          <w:sz w:val="24"/>
          <w:szCs w:val="24"/>
          <w:lang w:val="sr-Cyrl-CS"/>
        </w:rPr>
        <w:t>, који су служили за при</w:t>
      </w:r>
      <w:r w:rsidR="005E03D1" w:rsidRPr="004F5D67">
        <w:rPr>
          <w:rFonts w:ascii="Times New Roman" w:hAnsi="Times New Roman" w:cs="Times New Roman"/>
          <w:sz w:val="24"/>
          <w:szCs w:val="24"/>
          <w:lang w:val="sr-Cyrl-CS"/>
        </w:rPr>
        <w:t>купљање додатних података за обе анализе, предлагање нових активности</w:t>
      </w:r>
      <w:r w:rsidR="00EB376C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E03D1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као и идентификовање </w:t>
      </w:r>
      <w:r w:rsidR="00AA1405" w:rsidRPr="004F5D67">
        <w:rPr>
          <w:rFonts w:ascii="Times New Roman" w:hAnsi="Times New Roman" w:cs="Times New Roman"/>
          <w:sz w:val="24"/>
          <w:szCs w:val="24"/>
          <w:lang w:val="sr-Cyrl-CS"/>
        </w:rPr>
        <w:t>ризика и</w:t>
      </w:r>
      <w:r w:rsidR="00CE2FB7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начина за њихово превазилажење</w:t>
      </w:r>
      <w:r w:rsidR="00EB376C" w:rsidRPr="004F5D67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CE2FB7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11282EB" w14:textId="7F1A0EF3" w:rsidR="005F3AB9" w:rsidRPr="004F5D67" w:rsidRDefault="00CC48F6" w:rsidP="009E34B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117C3E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CE2FB7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континуиране </w:t>
      </w:r>
      <w:r w:rsidR="00FF4301" w:rsidRPr="004F5D67">
        <w:rPr>
          <w:rFonts w:ascii="Times New Roman" w:hAnsi="Times New Roman" w:cs="Times New Roman"/>
          <w:sz w:val="24"/>
          <w:szCs w:val="24"/>
          <w:lang w:val="sr-Cyrl-CS"/>
        </w:rPr>
        <w:t>консулта</w:t>
      </w:r>
      <w:r w:rsidR="00117C3E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ције </w:t>
      </w:r>
      <w:r w:rsidR="00CE2FB7" w:rsidRPr="004F5D67">
        <w:rPr>
          <w:rFonts w:ascii="Times New Roman" w:hAnsi="Times New Roman" w:cs="Times New Roman"/>
          <w:sz w:val="24"/>
          <w:szCs w:val="24"/>
          <w:lang w:val="sr-Cyrl-CS"/>
        </w:rPr>
        <w:t>са представницима АФКОС</w:t>
      </w:r>
      <w:r w:rsidR="00EB376C" w:rsidRPr="004F5D67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CE2FB7" w:rsidRPr="004F5D67">
        <w:rPr>
          <w:rFonts w:ascii="Times New Roman" w:hAnsi="Times New Roman" w:cs="Times New Roman"/>
          <w:sz w:val="24"/>
          <w:szCs w:val="24"/>
          <w:lang w:val="sr-Cyrl-CS"/>
        </w:rPr>
        <w:t>а.</w:t>
      </w:r>
      <w:r w:rsidR="005F3AB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1E4AAD5" w14:textId="2E41583F" w:rsidR="00522562" w:rsidRPr="004F5D67" w:rsidRDefault="00522562" w:rsidP="009E34B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0C45290" w14:textId="020C573B" w:rsidR="00C537C1" w:rsidRPr="004F5D67" w:rsidRDefault="00E45A6C" w:rsidP="009E34BA">
      <w:pPr>
        <w:pStyle w:val="Heading2"/>
        <w:spacing w:before="0"/>
        <w:rPr>
          <w:rFonts w:cs="Times New Roman"/>
          <w:sz w:val="24"/>
          <w:szCs w:val="24"/>
          <w:lang w:val="sr-Cyrl-CS"/>
        </w:rPr>
      </w:pPr>
      <w:bookmarkStart w:id="11" w:name="_Toc161827225"/>
      <w:r w:rsidRPr="004F5D67">
        <w:rPr>
          <w:rFonts w:cs="Times New Roman"/>
          <w:sz w:val="24"/>
          <w:szCs w:val="24"/>
          <w:lang w:val="sr-Cyrl-CS"/>
        </w:rPr>
        <w:t>Ex - post анализа ефеката С</w:t>
      </w:r>
      <w:r w:rsidR="002E795C" w:rsidRPr="004F5D67">
        <w:rPr>
          <w:rFonts w:cs="Times New Roman"/>
          <w:sz w:val="24"/>
          <w:szCs w:val="24"/>
          <w:lang w:val="sr-Cyrl-CS"/>
        </w:rPr>
        <w:t>тратешког плана</w:t>
      </w:r>
      <w:r w:rsidRPr="004F5D67">
        <w:rPr>
          <w:rFonts w:cs="Times New Roman"/>
          <w:sz w:val="24"/>
          <w:szCs w:val="24"/>
          <w:lang w:val="sr-Cyrl-CS"/>
        </w:rPr>
        <w:t xml:space="preserve"> 2021</w:t>
      </w:r>
      <w:r w:rsidR="00221CFD" w:rsidRPr="004F5D67">
        <w:rPr>
          <w:rFonts w:cs="Times New Roman"/>
          <w:sz w:val="24"/>
          <w:szCs w:val="24"/>
          <w:lang w:val="sr-Cyrl-CS"/>
        </w:rPr>
        <w:t>−</w:t>
      </w:r>
      <w:r w:rsidRPr="004F5D67">
        <w:rPr>
          <w:rFonts w:cs="Times New Roman"/>
          <w:sz w:val="24"/>
          <w:szCs w:val="24"/>
          <w:lang w:val="sr-Cyrl-CS"/>
        </w:rPr>
        <w:t>2023</w:t>
      </w:r>
      <w:bookmarkEnd w:id="11"/>
      <w:r w:rsidR="002E795C" w:rsidRPr="004F5D67">
        <w:rPr>
          <w:rFonts w:cs="Times New Roman"/>
          <w:sz w:val="24"/>
          <w:szCs w:val="24"/>
          <w:lang w:val="sr-Cyrl-CS"/>
        </w:rPr>
        <w:t xml:space="preserve"> </w:t>
      </w:r>
    </w:p>
    <w:p w14:paraId="56A025DE" w14:textId="77777777" w:rsidR="00C537C1" w:rsidRPr="004F5D67" w:rsidRDefault="00C537C1" w:rsidP="009E34B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1F946654" w14:textId="365A42A6" w:rsidR="00D728C5" w:rsidRPr="004F5D67" w:rsidRDefault="00274434" w:rsidP="009E34B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За спровођење </w:t>
      </w:r>
      <w:r w:rsidR="006653CC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ex </w:t>
      </w:r>
      <w:r w:rsidR="00221CFD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post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91EC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анализе </w:t>
      </w:r>
      <w:r w:rsidR="00127F1A" w:rsidRPr="004F5D67">
        <w:rPr>
          <w:rFonts w:ascii="Times New Roman" w:hAnsi="Times New Roman" w:cs="Times New Roman"/>
          <w:sz w:val="24"/>
          <w:szCs w:val="24"/>
          <w:lang w:val="sr-Cyrl-CS"/>
        </w:rPr>
        <w:t>примењен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је упитник који</w:t>
      </w:r>
      <w:r w:rsidR="00127F1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м 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127F1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извршена </w:t>
      </w:r>
      <w:r w:rsidR="00E91ECF" w:rsidRPr="004F5D67">
        <w:rPr>
          <w:rFonts w:ascii="Times New Roman" w:hAnsi="Times New Roman" w:cs="Times New Roman"/>
          <w:sz w:val="24"/>
          <w:szCs w:val="24"/>
          <w:lang w:val="sr-Cyrl-CS"/>
        </w:rPr>
        <w:t>анализ</w:t>
      </w:r>
      <w:r w:rsidR="00127F1A" w:rsidRPr="004F5D6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91EC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ефеката </w:t>
      </w:r>
      <w:r w:rsidR="00644FF9" w:rsidRPr="004F5D67">
        <w:rPr>
          <w:rFonts w:ascii="Times New Roman" w:hAnsi="Times New Roman" w:cs="Times New Roman"/>
          <w:sz w:val="24"/>
          <w:szCs w:val="24"/>
          <w:lang w:val="sr-Cyrl-CS"/>
        </w:rPr>
        <w:t>Стратегије</w:t>
      </w:r>
      <w:r w:rsidR="00221CF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2017−</w:t>
      </w:r>
      <w:r w:rsidR="00E91ECF" w:rsidRPr="004F5D67">
        <w:rPr>
          <w:rFonts w:ascii="Times New Roman" w:hAnsi="Times New Roman" w:cs="Times New Roman"/>
          <w:sz w:val="24"/>
          <w:szCs w:val="24"/>
          <w:lang w:val="sr-Cyrl-CS"/>
        </w:rPr>
        <w:t>2020</w:t>
      </w:r>
      <w:r w:rsidR="00644FF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и који је</w:t>
      </w:r>
      <w:r w:rsidR="00E91ECF" w:rsidRPr="004F5D67">
        <w:rPr>
          <w:rFonts w:ascii="Times New Roman" w:hAnsi="Times New Roman" w:cs="Times New Roman"/>
          <w:sz w:val="24"/>
          <w:szCs w:val="24"/>
          <w:lang w:val="sr-Cyrl-CS"/>
        </w:rPr>
        <w:t>, с обзиром на разлике,</w:t>
      </w:r>
      <w:r w:rsidR="00644FF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прилагођен </w:t>
      </w:r>
      <w:r w:rsidR="00857919" w:rsidRPr="004F5D67">
        <w:rPr>
          <w:rFonts w:ascii="Times New Roman" w:hAnsi="Times New Roman" w:cs="Times New Roman"/>
          <w:sz w:val="24"/>
          <w:szCs w:val="24"/>
          <w:lang w:val="sr-Cyrl-CS"/>
        </w:rPr>
        <w:t>процени</w:t>
      </w:r>
      <w:r w:rsidR="00FE60D2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D75E7" w:rsidRPr="004F5D67">
        <w:rPr>
          <w:rFonts w:ascii="Times New Roman" w:hAnsi="Times New Roman" w:cs="Times New Roman"/>
          <w:sz w:val="24"/>
          <w:szCs w:val="24"/>
          <w:lang w:val="sr-Cyrl-CS"/>
        </w:rPr>
        <w:t>Стратешког плана</w:t>
      </w:r>
      <w:r w:rsidR="0024776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2021</w:t>
      </w:r>
      <w:r w:rsidR="00221CFD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247764" w:rsidRPr="004F5D67">
        <w:rPr>
          <w:rFonts w:ascii="Times New Roman" w:hAnsi="Times New Roman" w:cs="Times New Roman"/>
          <w:sz w:val="24"/>
          <w:szCs w:val="24"/>
          <w:lang w:val="sr-Cyrl-CS"/>
        </w:rPr>
        <w:t>2023</w:t>
      </w:r>
      <w:r w:rsidR="00E91ECF" w:rsidRPr="004F5D6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D75E7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A2F0A" w:rsidRPr="004F5D67">
        <w:rPr>
          <w:rFonts w:ascii="Times New Roman" w:hAnsi="Times New Roman" w:cs="Times New Roman"/>
          <w:sz w:val="24"/>
          <w:szCs w:val="24"/>
          <w:lang w:val="sr-Cyrl-CS"/>
        </w:rPr>
        <w:t>Упитник садрж</w:t>
      </w:r>
      <w:r w:rsidR="002553A5" w:rsidRPr="004F5D6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A2F0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35 питања</w:t>
      </w:r>
      <w:r w:rsidR="002553A5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A2F0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подељених у четири области</w:t>
      </w:r>
      <w:r w:rsidR="002553A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EA2F0A" w:rsidRPr="004F5D67">
        <w:rPr>
          <w:rFonts w:ascii="Times New Roman" w:hAnsi="Times New Roman" w:cs="Times New Roman"/>
          <w:sz w:val="24"/>
          <w:szCs w:val="24"/>
          <w:lang w:val="sr-Cyrl-CS"/>
        </w:rPr>
        <w:t>релевантност, ефективност, ефикасност и одрживост</w:t>
      </w:r>
      <w:r w:rsidR="00F93E0A" w:rsidRPr="004F5D67">
        <w:rPr>
          <w:rFonts w:ascii="Times New Roman" w:hAnsi="Times New Roman" w:cs="Times New Roman"/>
          <w:sz w:val="24"/>
          <w:szCs w:val="24"/>
          <w:lang w:val="sr-Cyrl-CS"/>
        </w:rPr>
        <w:t>),</w:t>
      </w:r>
      <w:r w:rsidR="008F644C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пружа</w:t>
      </w:r>
      <w:r w:rsidR="00E91EC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могућност </w:t>
      </w:r>
      <w:r w:rsidR="002553A5" w:rsidRPr="004F5D67">
        <w:rPr>
          <w:rFonts w:ascii="Times New Roman" w:hAnsi="Times New Roman" w:cs="Times New Roman"/>
          <w:sz w:val="24"/>
          <w:szCs w:val="24"/>
          <w:lang w:val="sr-Cyrl-CS"/>
        </w:rPr>
        <w:t>оцене досадашње ситуације и</w:t>
      </w:r>
      <w:r w:rsidR="00E91EC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предлагања мера за будућу примену</w:t>
      </w:r>
      <w:r w:rsidR="002553A5" w:rsidRPr="004F5D6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64A71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Наведени упитник попуњен је од стране свих чланова </w:t>
      </w:r>
      <w:r w:rsidR="00F93E0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АФКОС </w:t>
      </w:r>
      <w:r w:rsidR="00664A71" w:rsidRPr="004F5D67">
        <w:rPr>
          <w:rFonts w:ascii="Times New Roman" w:hAnsi="Times New Roman" w:cs="Times New Roman"/>
          <w:sz w:val="24"/>
          <w:szCs w:val="24"/>
          <w:lang w:val="sr-Cyrl-CS"/>
        </w:rPr>
        <w:t>Мреже и представника АФКОС-а, а и</w:t>
      </w:r>
      <w:r w:rsidR="006524A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нформације </w:t>
      </w:r>
      <w:r w:rsidR="00221CFD" w:rsidRPr="004F5D67">
        <w:rPr>
          <w:rFonts w:ascii="Times New Roman" w:hAnsi="Times New Roman" w:cs="Times New Roman"/>
          <w:sz w:val="24"/>
          <w:szCs w:val="24"/>
          <w:lang w:val="sr-Cyrl-CS"/>
        </w:rPr>
        <w:t>садржане у истo</w:t>
      </w:r>
      <w:r w:rsidR="00664A71" w:rsidRPr="004F5D67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6524A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дају прилику за</w:t>
      </w:r>
      <w:r w:rsidR="002553A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46828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поређење </w:t>
      </w:r>
      <w:r w:rsidR="006524A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ефеката Стратешког плана </w:t>
      </w:r>
      <w:r w:rsidR="008F644C" w:rsidRPr="004F5D67">
        <w:rPr>
          <w:rFonts w:ascii="Times New Roman" w:hAnsi="Times New Roman" w:cs="Times New Roman"/>
          <w:sz w:val="24"/>
          <w:szCs w:val="24"/>
          <w:lang w:val="sr-Cyrl-CS"/>
        </w:rPr>
        <w:t>2021</w:t>
      </w:r>
      <w:r w:rsidR="00221CFD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8F644C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2023 </w:t>
      </w:r>
      <w:r w:rsidR="00346828" w:rsidRPr="004F5D67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221CFD" w:rsidRPr="004F5D67">
        <w:rPr>
          <w:rFonts w:ascii="Times New Roman" w:hAnsi="Times New Roman" w:cs="Times New Roman"/>
          <w:sz w:val="24"/>
          <w:szCs w:val="24"/>
          <w:lang w:val="sr-Cyrl-CS"/>
        </w:rPr>
        <w:t>а ефектима Стратегије 2017−</w:t>
      </w:r>
      <w:r w:rsidR="00346828" w:rsidRPr="004F5D67">
        <w:rPr>
          <w:rFonts w:ascii="Times New Roman" w:hAnsi="Times New Roman" w:cs="Times New Roman"/>
          <w:sz w:val="24"/>
          <w:szCs w:val="24"/>
          <w:lang w:val="sr-Cyrl-CS"/>
        </w:rPr>
        <w:t>2020.</w:t>
      </w:r>
      <w:r w:rsidR="00EA2F0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69D5520" w14:textId="7A47E052" w:rsidR="00D079AD" w:rsidRPr="004F5D67" w:rsidRDefault="00D079AD" w:rsidP="009E34B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75AA5E" w14:textId="4E804FB3" w:rsidR="005E7ECF" w:rsidRPr="004F5D67" w:rsidRDefault="0062080D" w:rsidP="009E34B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noProof/>
          <w:lang w:val="en-US"/>
        </w:rPr>
        <w:lastRenderedPageBreak/>
        <w:drawing>
          <wp:inline distT="0" distB="0" distL="0" distR="0" wp14:anchorId="2B7E6F61" wp14:editId="31CFE202">
            <wp:extent cx="5270500" cy="3032505"/>
            <wp:effectExtent l="0" t="0" r="6350" b="15875"/>
            <wp:docPr id="10" name="Chart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5CA9986" w14:textId="3361F066" w:rsidR="000E6BEB" w:rsidRPr="004F5D67" w:rsidRDefault="000E6BEB" w:rsidP="009E34BA">
      <w:pPr>
        <w:jc w:val="center"/>
        <w:outlineLvl w:val="0"/>
        <w:rPr>
          <w:rFonts w:ascii="Times New Roman" w:hAnsi="Times New Roman" w:cs="Times New Roman"/>
          <w:i/>
          <w:sz w:val="24"/>
          <w:szCs w:val="24"/>
          <w:lang w:val="sr-Cyrl-CS"/>
        </w:rPr>
      </w:pPr>
    </w:p>
    <w:p w14:paraId="4F503599" w14:textId="77777777" w:rsidR="0062080D" w:rsidRPr="004F5D67" w:rsidRDefault="0062080D" w:rsidP="009E34BA">
      <w:pPr>
        <w:jc w:val="center"/>
        <w:outlineLvl w:val="0"/>
        <w:rPr>
          <w:rFonts w:ascii="Times New Roman" w:hAnsi="Times New Roman" w:cs="Times New Roman"/>
          <w:i/>
          <w:sz w:val="24"/>
          <w:szCs w:val="24"/>
          <w:lang w:val="sr-Cyrl-CS"/>
        </w:rPr>
      </w:pPr>
    </w:p>
    <w:p w14:paraId="0DBEEB94" w14:textId="37A07B20" w:rsidR="00A71D20" w:rsidRPr="004F5D67" w:rsidRDefault="001A72A0" w:rsidP="009E34BA">
      <w:pPr>
        <w:jc w:val="center"/>
        <w:rPr>
          <w:rFonts w:ascii="Times New Roman" w:hAnsi="Times New Roman" w:cs="Times New Roman"/>
          <w:i/>
          <w:sz w:val="24"/>
          <w:szCs w:val="24"/>
          <w:lang w:val="sr-Cyrl-CS"/>
        </w:rPr>
      </w:pPr>
      <w:bookmarkStart w:id="12" w:name="_Toc161742832"/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Графикон </w:t>
      </w:r>
      <w:r w:rsidR="00001631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1</w:t>
      </w:r>
      <w:r w:rsidR="00A91009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: Укупна оцена</w:t>
      </w: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учинка</w:t>
      </w:r>
      <w:r w:rsidR="00A91009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Стратешког плана</w:t>
      </w:r>
      <w:r w:rsidR="00F93E0A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2021</w:t>
      </w:r>
      <w:r w:rsidR="00221CFD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F93E0A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2023</w:t>
      </w:r>
      <w:r w:rsidR="00A91009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и Стратегије 2017</w:t>
      </w:r>
      <w:r w:rsidR="00221CFD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A91009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2020</w:t>
      </w:r>
      <w:bookmarkEnd w:id="12"/>
      <w:r w:rsidR="003C35F3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</w:p>
    <w:p w14:paraId="6F141F2C" w14:textId="35213E09" w:rsidR="00D927D6" w:rsidRPr="004F5D67" w:rsidRDefault="00046F0A" w:rsidP="009E34BA">
      <w:pPr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Подаци из првог графикона показују да је </w:t>
      </w:r>
      <w:r w:rsidR="002C6774" w:rsidRPr="004F5D67">
        <w:rPr>
          <w:rFonts w:ascii="Times New Roman" w:hAnsi="Times New Roman" w:cs="Times New Roman"/>
          <w:sz w:val="24"/>
          <w:szCs w:val="24"/>
          <w:lang w:val="sr-Cyrl-CS"/>
        </w:rPr>
        <w:t>оцена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учинка </w:t>
      </w:r>
      <w:r w:rsidR="009C1E0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Стратешког плана </w:t>
      </w:r>
      <w:r w:rsidR="00AA132A" w:rsidRPr="004F5D67">
        <w:rPr>
          <w:rFonts w:ascii="Times New Roman" w:hAnsi="Times New Roman" w:cs="Times New Roman"/>
          <w:sz w:val="24"/>
          <w:szCs w:val="24"/>
          <w:lang w:val="sr-Cyrl-CS"/>
        </w:rPr>
        <w:t>2021–2023</w:t>
      </w:r>
      <w:r w:rsidR="00F93E0A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="002C6774" w:rsidRPr="004F5D67">
        <w:rPr>
          <w:rFonts w:ascii="Times New Roman" w:hAnsi="Times New Roman" w:cs="Times New Roman"/>
          <w:sz w:val="24"/>
          <w:szCs w:val="24"/>
          <w:lang w:val="sr-Cyrl-CS"/>
        </w:rPr>
        <w:t>незнатно виша</w:t>
      </w:r>
      <w:r w:rsidR="009C1E0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у односу на Стратегију 2017</w:t>
      </w:r>
      <w:r w:rsidR="00AA132A" w:rsidRPr="004F5D67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9C1E0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2020 </w:t>
      </w:r>
      <w:r w:rsidR="00333C89" w:rsidRPr="004F5D67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504EA0" w:rsidRPr="004F5D67">
        <w:rPr>
          <w:rFonts w:ascii="Times New Roman" w:hAnsi="Times New Roman" w:cs="Times New Roman"/>
          <w:sz w:val="24"/>
          <w:szCs w:val="24"/>
          <w:lang w:val="sr-Cyrl-CS"/>
        </w:rPr>
        <w:t>4,41 према 4,23</w:t>
      </w:r>
      <w:r w:rsidR="00333C89" w:rsidRPr="004F5D67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504EA0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832B9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Повећани су </w:t>
      </w:r>
      <w:r w:rsidR="00333C89" w:rsidRPr="004F5D67">
        <w:rPr>
          <w:rFonts w:ascii="Times New Roman" w:hAnsi="Times New Roman" w:cs="Times New Roman"/>
          <w:sz w:val="24"/>
          <w:szCs w:val="24"/>
          <w:lang w:val="sr-Cyrl-CS"/>
        </w:rPr>
        <w:t>резултати</w:t>
      </w:r>
      <w:r w:rsidR="00832B9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за релевантност</w:t>
      </w:r>
      <w:r w:rsidR="0020520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3C89" w:rsidRPr="004F5D67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205204" w:rsidRPr="004F5D67">
        <w:rPr>
          <w:rFonts w:ascii="Times New Roman" w:hAnsi="Times New Roman" w:cs="Times New Roman"/>
          <w:sz w:val="24"/>
          <w:szCs w:val="24"/>
          <w:lang w:val="sr-Cyrl-CS"/>
        </w:rPr>
        <w:t>4,66</w:t>
      </w:r>
      <w:r w:rsidR="00AA132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="00333C89" w:rsidRPr="004F5D67">
        <w:rPr>
          <w:rFonts w:ascii="Times New Roman" w:hAnsi="Times New Roman" w:cs="Times New Roman"/>
          <w:sz w:val="24"/>
          <w:szCs w:val="24"/>
          <w:lang w:val="sr-Cyrl-CS"/>
        </w:rPr>
        <w:t>рема</w:t>
      </w:r>
      <w:r w:rsidR="0020520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4,44</w:t>
      </w:r>
      <w:r w:rsidR="00171E96" w:rsidRPr="004F5D67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832B96" w:rsidRPr="004F5D67">
        <w:rPr>
          <w:rFonts w:ascii="Times New Roman" w:hAnsi="Times New Roman" w:cs="Times New Roman"/>
          <w:sz w:val="24"/>
          <w:szCs w:val="24"/>
          <w:lang w:val="sr-Cyrl-CS"/>
        </w:rPr>
        <w:t>, ефективност</w:t>
      </w:r>
      <w:r w:rsidR="0020520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3C89" w:rsidRPr="004F5D67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20520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4,01 </w:t>
      </w:r>
      <w:r w:rsidR="00333C8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према </w:t>
      </w:r>
      <w:r w:rsidR="00205204" w:rsidRPr="004F5D67">
        <w:rPr>
          <w:rFonts w:ascii="Times New Roman" w:hAnsi="Times New Roman" w:cs="Times New Roman"/>
          <w:sz w:val="24"/>
          <w:szCs w:val="24"/>
          <w:lang w:val="sr-Cyrl-CS"/>
        </w:rPr>
        <w:t>3,60</w:t>
      </w:r>
      <w:r w:rsidR="0092277F" w:rsidRPr="004F5D67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832B9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и одрживост </w:t>
      </w:r>
      <w:r w:rsidR="00333C89" w:rsidRPr="004F5D67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20520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4,59 </w:t>
      </w:r>
      <w:r w:rsidR="00333C8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према </w:t>
      </w:r>
      <w:r w:rsidR="00205204" w:rsidRPr="004F5D67">
        <w:rPr>
          <w:rFonts w:ascii="Times New Roman" w:hAnsi="Times New Roman" w:cs="Times New Roman"/>
          <w:sz w:val="24"/>
          <w:szCs w:val="24"/>
          <w:lang w:val="sr-Cyrl-CS"/>
        </w:rPr>
        <w:t>4,46)</w:t>
      </w:r>
      <w:r w:rsidR="002C6774" w:rsidRPr="004F5D67">
        <w:rPr>
          <w:rFonts w:ascii="Times New Roman" w:hAnsi="Times New Roman" w:cs="Times New Roman"/>
          <w:sz w:val="24"/>
          <w:szCs w:val="24"/>
          <w:lang w:val="sr-Cyrl-CS"/>
        </w:rPr>
        <w:t>, док су вредности за</w:t>
      </w:r>
      <w:r w:rsidR="00832B9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ефикасност </w:t>
      </w:r>
      <w:r w:rsidR="00004BE8" w:rsidRPr="004F5D67">
        <w:rPr>
          <w:rFonts w:ascii="Times New Roman" w:hAnsi="Times New Roman" w:cs="Times New Roman"/>
          <w:sz w:val="24"/>
          <w:szCs w:val="24"/>
          <w:lang w:val="sr-Cyrl-CS"/>
        </w:rPr>
        <w:t>занемарљиво</w:t>
      </w:r>
      <w:r w:rsidR="002C677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4BE8" w:rsidRPr="004F5D67">
        <w:rPr>
          <w:rFonts w:ascii="Times New Roman" w:hAnsi="Times New Roman" w:cs="Times New Roman"/>
          <w:sz w:val="24"/>
          <w:szCs w:val="24"/>
          <w:lang w:val="sr-Cyrl-CS"/>
        </w:rPr>
        <w:t>ниже</w:t>
      </w:r>
      <w:r w:rsidR="0092277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3C89" w:rsidRPr="004F5D67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1C2DD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4,39 </w:t>
      </w:r>
      <w:r w:rsidR="00333C89" w:rsidRPr="004F5D67">
        <w:rPr>
          <w:rFonts w:ascii="Times New Roman" w:hAnsi="Times New Roman" w:cs="Times New Roman"/>
          <w:sz w:val="24"/>
          <w:szCs w:val="24"/>
          <w:lang w:val="sr-Cyrl-CS"/>
        </w:rPr>
        <w:t>према</w:t>
      </w:r>
      <w:r w:rsidR="002C677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C2DD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4,41). </w:t>
      </w:r>
      <w:r w:rsidR="00004BE8" w:rsidRPr="004F5D67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5B7B8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езнатно више </w:t>
      </w:r>
      <w:r w:rsidR="002C677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вредности </w:t>
      </w:r>
      <w:r w:rsidR="005B7B8D" w:rsidRPr="004F5D67">
        <w:rPr>
          <w:rFonts w:ascii="Times New Roman" w:hAnsi="Times New Roman" w:cs="Times New Roman"/>
          <w:sz w:val="24"/>
          <w:szCs w:val="24"/>
          <w:lang w:val="sr-Cyrl-CS"/>
        </w:rPr>
        <w:t>учинка Стратешког плана</w:t>
      </w:r>
      <w:r w:rsidR="007D37B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93E0A" w:rsidRPr="004F5D67">
        <w:rPr>
          <w:rFonts w:ascii="Times New Roman" w:hAnsi="Times New Roman" w:cs="Times New Roman"/>
          <w:sz w:val="24"/>
          <w:szCs w:val="24"/>
          <w:lang w:val="sr-Cyrl-CS"/>
        </w:rPr>
        <w:t>2021</w:t>
      </w:r>
      <w:r w:rsidR="00221CFD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F93E0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2023 </w:t>
      </w:r>
      <w:r w:rsidR="000B3FD0" w:rsidRPr="004F5D67">
        <w:rPr>
          <w:rFonts w:ascii="Times New Roman" w:hAnsi="Times New Roman" w:cs="Times New Roman"/>
          <w:sz w:val="24"/>
          <w:szCs w:val="24"/>
          <w:lang w:val="sr-Cyrl-CS"/>
        </w:rPr>
        <w:t>образлажу се протеком</w:t>
      </w:r>
      <w:r w:rsidR="001C2DD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D3F3E" w:rsidRPr="004F5D67">
        <w:rPr>
          <w:rFonts w:ascii="Times New Roman" w:hAnsi="Times New Roman" w:cs="Times New Roman"/>
          <w:sz w:val="24"/>
          <w:szCs w:val="24"/>
          <w:lang w:val="sr-Cyrl-CS"/>
        </w:rPr>
        <w:t>време</w:t>
      </w:r>
      <w:r w:rsidR="000B3FD0" w:rsidRPr="004F5D67">
        <w:rPr>
          <w:rFonts w:ascii="Times New Roman" w:hAnsi="Times New Roman" w:cs="Times New Roman"/>
          <w:sz w:val="24"/>
          <w:szCs w:val="24"/>
          <w:lang w:val="sr-Cyrl-CS"/>
        </w:rPr>
        <w:t>на, у коме су</w:t>
      </w:r>
      <w:r w:rsidR="002D3F3E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члан</w:t>
      </w:r>
      <w:r w:rsidR="00333C8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ови </w:t>
      </w:r>
      <w:r w:rsidR="00EA2D1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АФКОС </w:t>
      </w:r>
      <w:r w:rsidR="00333C89" w:rsidRPr="004F5D67">
        <w:rPr>
          <w:rFonts w:ascii="Times New Roman" w:hAnsi="Times New Roman" w:cs="Times New Roman"/>
          <w:sz w:val="24"/>
          <w:szCs w:val="24"/>
          <w:lang w:val="sr-Cyrl-CS"/>
        </w:rPr>
        <w:t>Мреже</w:t>
      </w:r>
      <w:r w:rsidR="002D3F3E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добро упозна</w:t>
      </w:r>
      <w:r w:rsidR="002C6774" w:rsidRPr="004F5D67">
        <w:rPr>
          <w:rFonts w:ascii="Times New Roman" w:hAnsi="Times New Roman" w:cs="Times New Roman"/>
          <w:sz w:val="24"/>
          <w:szCs w:val="24"/>
          <w:lang w:val="sr-Cyrl-CS"/>
        </w:rPr>
        <w:t>ли делокруг и</w:t>
      </w:r>
      <w:r w:rsidR="002D3F3E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значај АФКОС</w:t>
      </w:r>
      <w:r w:rsidR="00333C89" w:rsidRPr="004F5D67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2D3F3E" w:rsidRPr="004F5D6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C677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D3F3E" w:rsidRPr="004F5D67">
        <w:rPr>
          <w:rFonts w:ascii="Times New Roman" w:hAnsi="Times New Roman" w:cs="Times New Roman"/>
          <w:sz w:val="24"/>
          <w:szCs w:val="24"/>
          <w:lang w:val="sr-Cyrl-CS"/>
        </w:rPr>
        <w:t>свој</w:t>
      </w:r>
      <w:r w:rsidR="002C6774" w:rsidRPr="004F5D6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D3F3E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улог</w:t>
      </w:r>
      <w:r w:rsidR="002C6774" w:rsidRPr="004F5D6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2D3F3E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7D37B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A2D1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АФКОС </w:t>
      </w:r>
      <w:r w:rsidR="007D37BB" w:rsidRPr="004F5D67">
        <w:rPr>
          <w:rFonts w:ascii="Times New Roman" w:hAnsi="Times New Roman" w:cs="Times New Roman"/>
          <w:sz w:val="24"/>
          <w:szCs w:val="24"/>
          <w:lang w:val="sr-Cyrl-CS"/>
        </w:rPr>
        <w:t>Мрежи</w:t>
      </w:r>
      <w:r w:rsidR="00E16E7B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D37B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као и активности које треба да остваре. </w:t>
      </w:r>
      <w:r w:rsidR="0059306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Препоруке дате </w:t>
      </w:r>
      <w:r w:rsidR="00E16E7B" w:rsidRPr="004F5D67">
        <w:rPr>
          <w:rFonts w:ascii="Times New Roman" w:hAnsi="Times New Roman" w:cs="Times New Roman"/>
          <w:sz w:val="24"/>
          <w:szCs w:val="24"/>
          <w:lang w:val="sr-Cyrl-CS"/>
        </w:rPr>
        <w:t>приликом ана</w:t>
      </w:r>
      <w:r w:rsidR="00221CFD" w:rsidRPr="004F5D67">
        <w:rPr>
          <w:rFonts w:ascii="Times New Roman" w:hAnsi="Times New Roman" w:cs="Times New Roman"/>
          <w:sz w:val="24"/>
          <w:szCs w:val="24"/>
          <w:lang w:val="sr-Cyrl-CS"/>
        </w:rPr>
        <w:t>лизе ефеката Стратегије 2017</w:t>
      </w:r>
      <w:r w:rsidR="006441B4" w:rsidRPr="004F5D67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E16E7B" w:rsidRPr="004F5D67">
        <w:rPr>
          <w:rFonts w:ascii="Times New Roman" w:hAnsi="Times New Roman" w:cs="Times New Roman"/>
          <w:sz w:val="24"/>
          <w:szCs w:val="24"/>
          <w:lang w:val="sr-Cyrl-CS"/>
        </w:rPr>
        <w:t>2020,</w:t>
      </w:r>
      <w:r w:rsidR="0059306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у погледу критеријума ефективности</w:t>
      </w:r>
      <w:r w:rsidR="00E16E7B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9306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14EE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посебно су </w:t>
      </w:r>
      <w:r w:rsidR="00593065" w:rsidRPr="004F5D6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B1B81" w:rsidRPr="004F5D67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593065" w:rsidRPr="004F5D67">
        <w:rPr>
          <w:rFonts w:ascii="Times New Roman" w:hAnsi="Times New Roman" w:cs="Times New Roman"/>
          <w:sz w:val="24"/>
          <w:szCs w:val="24"/>
          <w:lang w:val="sr-Cyrl-CS"/>
        </w:rPr>
        <w:t>ете у обзир</w:t>
      </w:r>
      <w:r w:rsidR="00B14EE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од стране релевантних субјеката,</w:t>
      </w:r>
      <w:r w:rsidR="0059306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14EEF" w:rsidRPr="004F5D67">
        <w:rPr>
          <w:rFonts w:ascii="Times New Roman" w:hAnsi="Times New Roman" w:cs="Times New Roman"/>
          <w:sz w:val="24"/>
          <w:szCs w:val="24"/>
          <w:lang w:val="sr-Cyrl-CS"/>
        </w:rPr>
        <w:t>што је резултирало бољом оценом овог критеријума у односу на друге</w:t>
      </w:r>
      <w:r w:rsidR="0059306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. Може се извести </w:t>
      </w:r>
      <w:r w:rsidR="007C16E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општи </w:t>
      </w:r>
      <w:r w:rsidR="0059306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закључак да процес стратешког планирања </w:t>
      </w:r>
      <w:r w:rsidR="0053202C" w:rsidRPr="004F5D67">
        <w:rPr>
          <w:rFonts w:ascii="Times New Roman" w:hAnsi="Times New Roman" w:cs="Times New Roman"/>
          <w:sz w:val="24"/>
          <w:szCs w:val="24"/>
          <w:lang w:val="sr-Cyrl-CS"/>
        </w:rPr>
        <w:t>има позитиван утицај на испуњ</w:t>
      </w:r>
      <w:r w:rsidR="0092277F" w:rsidRPr="004F5D67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53202C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ње мисије </w:t>
      </w:r>
      <w:r w:rsidR="007C16EF" w:rsidRPr="004F5D67">
        <w:rPr>
          <w:rFonts w:ascii="Times New Roman" w:hAnsi="Times New Roman" w:cs="Times New Roman"/>
          <w:sz w:val="24"/>
          <w:szCs w:val="24"/>
          <w:lang w:val="sr-Cyrl-CS"/>
        </w:rPr>
        <w:t>у процесу</w:t>
      </w:r>
      <w:r w:rsidR="0053202C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C16EF" w:rsidRPr="004F5D67">
        <w:rPr>
          <w:rFonts w:ascii="Times New Roman" w:hAnsi="Times New Roman" w:cs="Times New Roman"/>
          <w:bCs/>
          <w:sz w:val="24"/>
          <w:szCs w:val="24"/>
          <w:lang w:val="sr-Cyrl-CS"/>
        </w:rPr>
        <w:t>борбе</w:t>
      </w:r>
      <w:r w:rsidR="0053202C" w:rsidRPr="004F5D6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против превара и управљањ</w:t>
      </w:r>
      <w:r w:rsidR="00E16E7B" w:rsidRPr="004F5D67">
        <w:rPr>
          <w:rFonts w:ascii="Times New Roman" w:hAnsi="Times New Roman" w:cs="Times New Roman"/>
          <w:bCs/>
          <w:sz w:val="24"/>
          <w:szCs w:val="24"/>
          <w:lang w:val="sr-Cyrl-CS"/>
        </w:rPr>
        <w:t>а</w:t>
      </w:r>
      <w:r w:rsidR="0053202C" w:rsidRPr="004F5D6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неправилностима</w:t>
      </w:r>
      <w:r w:rsidR="00004BE8" w:rsidRPr="004F5D6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у поступању са финансијским средствима ЕУ</w:t>
      </w:r>
      <w:r w:rsidR="00B14EEF" w:rsidRPr="004F5D67">
        <w:rPr>
          <w:rFonts w:ascii="Times New Roman" w:hAnsi="Times New Roman" w:cs="Times New Roman"/>
          <w:bCs/>
          <w:sz w:val="24"/>
          <w:szCs w:val="24"/>
          <w:lang w:val="sr-Cyrl-CS"/>
        </w:rPr>
        <w:t>.</w:t>
      </w:r>
      <w:r w:rsidR="0053202C" w:rsidRPr="004F5D67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14:paraId="4E6464A2" w14:textId="378CD6E1" w:rsidR="00230453" w:rsidRPr="004F5D67" w:rsidRDefault="00783E78" w:rsidP="009E34BA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bCs/>
          <w:sz w:val="24"/>
          <w:szCs w:val="24"/>
          <w:lang w:val="sr-Cyrl-CS"/>
        </w:rPr>
        <w:t>У наставку с</w:t>
      </w:r>
      <w:r w:rsidR="00D927D6" w:rsidRPr="004F5D67">
        <w:rPr>
          <w:rFonts w:ascii="Times New Roman" w:hAnsi="Times New Roman" w:cs="Times New Roman"/>
          <w:bCs/>
          <w:sz w:val="24"/>
          <w:szCs w:val="24"/>
          <w:lang w:val="sr-Cyrl-CS"/>
        </w:rPr>
        <w:t>леди преглед по критеријумима:</w:t>
      </w:r>
    </w:p>
    <w:p w14:paraId="311C3C66" w14:textId="77777777" w:rsidR="00230453" w:rsidRPr="004F5D67" w:rsidRDefault="00230453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bCs/>
          <w:sz w:val="24"/>
          <w:szCs w:val="24"/>
          <w:lang w:val="sr-Cyrl-CS"/>
        </w:rPr>
        <w:br w:type="page"/>
      </w:r>
    </w:p>
    <w:p w14:paraId="55844EBF" w14:textId="5022C6D8" w:rsidR="00D44F94" w:rsidRPr="004F5D67" w:rsidRDefault="00D44F94" w:rsidP="00C606CE">
      <w:pPr>
        <w:pStyle w:val="Heading3"/>
        <w:rPr>
          <w:lang w:val="sr-Cyrl-CS"/>
        </w:rPr>
      </w:pPr>
      <w:bookmarkStart w:id="13" w:name="_Toc161827226"/>
      <w:r w:rsidRPr="004F5D67">
        <w:rPr>
          <w:lang w:val="sr-Cyrl-CS"/>
        </w:rPr>
        <w:lastRenderedPageBreak/>
        <w:t>Релевантност</w:t>
      </w:r>
      <w:bookmarkEnd w:id="13"/>
    </w:p>
    <w:p w14:paraId="6133209D" w14:textId="41468DB8" w:rsidR="006441B4" w:rsidRPr="004F5D67" w:rsidRDefault="006441B4" w:rsidP="009E34B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33B2FF3" w14:textId="1B8B2820" w:rsidR="00AE361A" w:rsidRPr="004F5D67" w:rsidRDefault="00AE361A" w:rsidP="009E34B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6F00F39F" w14:textId="3BE1710F" w:rsidR="00AE361A" w:rsidRPr="004F5D67" w:rsidRDefault="00971D43" w:rsidP="00971D43">
      <w:pPr>
        <w:spacing w:after="240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noProof/>
          <w:lang w:val="en-US"/>
        </w:rPr>
        <w:drawing>
          <wp:inline distT="0" distB="0" distL="0" distR="0" wp14:anchorId="1E50DB1E" wp14:editId="464FEF77">
            <wp:extent cx="5270500" cy="6825185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6825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CDE328" w14:textId="29C3BD33" w:rsidR="00D44F94" w:rsidRPr="004F5D67" w:rsidRDefault="00E008A1" w:rsidP="009E34B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Графикон 2: Релевантност</w:t>
      </w:r>
    </w:p>
    <w:p w14:paraId="78A6C754" w14:textId="77777777" w:rsidR="00EE159E" w:rsidRPr="004F5D67" w:rsidRDefault="00EE159E" w:rsidP="009E34B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8C0E646" w14:textId="150DFD48" w:rsidR="00F253C9" w:rsidRPr="004F5D67" w:rsidRDefault="004F73A2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Увидом у други графикон</w:t>
      </w:r>
      <w:r w:rsidR="00393BB1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може се </w:t>
      </w:r>
      <w:r w:rsidR="004A6A26" w:rsidRPr="004F5D67">
        <w:rPr>
          <w:rFonts w:ascii="Times New Roman" w:hAnsi="Times New Roman" w:cs="Times New Roman"/>
          <w:sz w:val="24"/>
          <w:szCs w:val="24"/>
          <w:lang w:val="sr-Cyrl-CS"/>
        </w:rPr>
        <w:t>констатовати да је средња оцена одговора у погледу реле</w:t>
      </w:r>
      <w:r w:rsidR="00E2553A" w:rsidRPr="004F5D67">
        <w:rPr>
          <w:rFonts w:ascii="Times New Roman" w:hAnsi="Times New Roman" w:cs="Times New Roman"/>
          <w:sz w:val="24"/>
          <w:szCs w:val="24"/>
          <w:lang w:val="sr-Cyrl-CS"/>
        </w:rPr>
        <w:t>вантности Стратешког плана</w:t>
      </w:r>
      <w:r w:rsidR="00B32CD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A2D16" w:rsidRPr="004F5D67">
        <w:rPr>
          <w:rFonts w:ascii="Times New Roman" w:hAnsi="Times New Roman" w:cs="Times New Roman"/>
          <w:sz w:val="24"/>
          <w:szCs w:val="24"/>
          <w:lang w:val="sr-Cyrl-CS"/>
        </w:rPr>
        <w:t>2021</w:t>
      </w:r>
      <w:r w:rsidR="00F252A3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EA2D1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2023 </w:t>
      </w:r>
      <w:r w:rsidR="00F252A3" w:rsidRPr="004F5D67">
        <w:rPr>
          <w:rFonts w:ascii="Times New Roman" w:hAnsi="Times New Roman" w:cs="Times New Roman"/>
          <w:sz w:val="24"/>
          <w:szCs w:val="24"/>
          <w:lang w:val="sr-Cyrl-CS"/>
        </w:rPr>
        <w:t>висока, (4,</w:t>
      </w:r>
      <w:r w:rsidR="00B32CDA" w:rsidRPr="004F5D67">
        <w:rPr>
          <w:rFonts w:ascii="Times New Roman" w:hAnsi="Times New Roman" w:cs="Times New Roman"/>
          <w:sz w:val="24"/>
          <w:szCs w:val="24"/>
          <w:lang w:val="sr-Cyrl-CS"/>
        </w:rPr>
        <w:t>66</w:t>
      </w:r>
      <w:r w:rsidR="004A6A26" w:rsidRPr="004F5D67">
        <w:rPr>
          <w:rFonts w:ascii="Times New Roman" w:hAnsi="Times New Roman" w:cs="Times New Roman"/>
          <w:sz w:val="24"/>
          <w:szCs w:val="24"/>
          <w:lang w:val="sr-Cyrl-CS"/>
        </w:rPr>
        <w:t>/5)</w:t>
      </w:r>
      <w:r w:rsidR="00E2553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16E7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као и </w:t>
      </w:r>
      <w:r w:rsidR="0030559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то </w:t>
      </w:r>
      <w:r w:rsidR="00E16E7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да је </w:t>
      </w:r>
      <w:r w:rsidR="00E2553A" w:rsidRPr="004F5D67">
        <w:rPr>
          <w:rFonts w:ascii="Times New Roman" w:hAnsi="Times New Roman" w:cs="Times New Roman"/>
          <w:sz w:val="24"/>
          <w:szCs w:val="24"/>
          <w:lang w:val="sr-Cyrl-CS"/>
        </w:rPr>
        <w:t>виша у односу на Стратегију</w:t>
      </w:r>
      <w:r w:rsidR="00F252A3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2017−</w:t>
      </w:r>
      <w:r w:rsidR="00E16E7B" w:rsidRPr="004F5D67">
        <w:rPr>
          <w:rFonts w:ascii="Times New Roman" w:hAnsi="Times New Roman" w:cs="Times New Roman"/>
          <w:sz w:val="24"/>
          <w:szCs w:val="24"/>
          <w:lang w:val="sr-Cyrl-CS"/>
        </w:rPr>
        <w:t>2020 што</w:t>
      </w:r>
      <w:r w:rsidR="004A6A2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указује </w:t>
      </w:r>
      <w:r w:rsidR="00E2553A" w:rsidRPr="004F5D67">
        <w:rPr>
          <w:rFonts w:ascii="Times New Roman" w:hAnsi="Times New Roman" w:cs="Times New Roman"/>
          <w:sz w:val="24"/>
          <w:szCs w:val="24"/>
          <w:lang w:val="sr-Cyrl-CS"/>
        </w:rPr>
        <w:t>да</w:t>
      </w:r>
      <w:r w:rsidR="00E16E7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4A6A26" w:rsidRPr="004F5D67">
        <w:rPr>
          <w:rFonts w:ascii="Times New Roman" w:hAnsi="Times New Roman" w:cs="Times New Roman"/>
          <w:sz w:val="24"/>
          <w:szCs w:val="24"/>
          <w:lang w:val="sr-Cyrl-CS"/>
        </w:rPr>
        <w:t>у области заштите финансијских интереса Е</w:t>
      </w:r>
      <w:r w:rsidR="00E16E7B" w:rsidRPr="004F5D67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501FC" w:rsidRPr="004F5D67">
        <w:rPr>
          <w:rFonts w:ascii="Times New Roman" w:hAnsi="Times New Roman" w:cs="Times New Roman"/>
          <w:sz w:val="24"/>
          <w:szCs w:val="24"/>
          <w:lang w:val="sr-Cyrl-CS"/>
        </w:rPr>
        <w:t>, стратешко планирање, као процес, оправдано.</w:t>
      </w:r>
      <w:r w:rsidR="004A6A2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5596" w:rsidRPr="004F5D67">
        <w:rPr>
          <w:rFonts w:ascii="Times New Roman" w:hAnsi="Times New Roman" w:cs="Times New Roman"/>
          <w:sz w:val="24"/>
          <w:szCs w:val="24"/>
          <w:lang w:val="sr-Cyrl-CS"/>
        </w:rPr>
        <w:t>Такође, п</w:t>
      </w:r>
      <w:r w:rsidR="004A6A26" w:rsidRPr="004F5D67">
        <w:rPr>
          <w:rFonts w:ascii="Times New Roman" w:hAnsi="Times New Roman" w:cs="Times New Roman"/>
          <w:sz w:val="24"/>
          <w:szCs w:val="24"/>
          <w:lang w:val="sr-Cyrl-CS"/>
        </w:rPr>
        <w:t>ре</w:t>
      </w:r>
      <w:r w:rsidR="005B70EB" w:rsidRPr="004F5D67">
        <w:rPr>
          <w:rFonts w:ascii="Times New Roman" w:hAnsi="Times New Roman" w:cs="Times New Roman"/>
          <w:sz w:val="24"/>
          <w:szCs w:val="24"/>
          <w:lang w:val="sr-Cyrl-CS"/>
        </w:rPr>
        <w:t>позната је</w:t>
      </w:r>
      <w:r w:rsidR="004A6A2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неопходност наставка политике у вези са заштитом финансијских интереса ЕУ и даљег развоја ове области као </w:t>
      </w:r>
      <w:r w:rsidR="004A6A26" w:rsidRPr="004F5D6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„интегрално</w:t>
      </w:r>
      <w:r w:rsidR="00F253C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г дела процеса ЕУ интеграција”, што је исказано највећом оценом </w:t>
      </w:r>
      <w:r w:rsidR="000501FC" w:rsidRPr="004F5D67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F253C9" w:rsidRPr="004F5D67">
        <w:rPr>
          <w:rFonts w:ascii="Times New Roman" w:hAnsi="Times New Roman" w:cs="Times New Roman"/>
          <w:sz w:val="24"/>
          <w:szCs w:val="24"/>
          <w:lang w:val="sr-Cyrl-CS"/>
        </w:rPr>
        <w:t>5,00</w:t>
      </w:r>
      <w:r w:rsidR="000501FC" w:rsidRPr="004F5D67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F253C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EFBD4AF" w14:textId="2118A9A1" w:rsidR="005B70EB" w:rsidRPr="004F5D67" w:rsidRDefault="005860CA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Укљученост </w:t>
      </w:r>
      <w:r w:rsidR="002306A3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организација 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цивилно</w:t>
      </w:r>
      <w:r w:rsidR="00B058C1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г </w:t>
      </w:r>
      <w:r w:rsidR="002306A3" w:rsidRPr="004F5D67">
        <w:rPr>
          <w:rFonts w:ascii="Times New Roman" w:hAnsi="Times New Roman" w:cs="Times New Roman"/>
          <w:sz w:val="24"/>
          <w:szCs w:val="24"/>
          <w:lang w:val="sr-Cyrl-CS"/>
        </w:rPr>
        <w:t>друштва</w:t>
      </w:r>
      <w:r w:rsidR="00B058C1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је позитивније оцењена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, као и чињеница </w:t>
      </w:r>
      <w:r w:rsidR="006517FC" w:rsidRPr="004F5D67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а је документ заснован на препорукама </w:t>
      </w:r>
      <w:r w:rsidR="002306A3" w:rsidRPr="004F5D67">
        <w:rPr>
          <w:rFonts w:ascii="Times New Roman" w:hAnsi="Times New Roman" w:cs="Times New Roman"/>
          <w:sz w:val="24"/>
          <w:szCs w:val="24"/>
          <w:lang w:val="sr-Cyrl-CS"/>
        </w:rPr>
        <w:t>ОЛАФ</w:t>
      </w:r>
      <w:r w:rsidR="00D87B94" w:rsidRPr="004F5D67">
        <w:rPr>
          <w:rFonts w:ascii="Times New Roman" w:hAnsi="Times New Roman" w:cs="Times New Roman"/>
          <w:sz w:val="24"/>
          <w:szCs w:val="24"/>
          <w:lang w:val="sr-Cyrl-CS"/>
        </w:rPr>
        <w:t>-а</w:t>
      </w:r>
      <w:r w:rsidR="00B058C1" w:rsidRPr="004F5D67">
        <w:rPr>
          <w:rFonts w:ascii="Times New Roman" w:hAnsi="Times New Roman" w:cs="Times New Roman"/>
          <w:sz w:val="24"/>
          <w:szCs w:val="24"/>
          <w:lang w:val="sr-Cyrl-CS"/>
        </w:rPr>
        <w:t>, уз повећање транспа</w:t>
      </w:r>
      <w:r w:rsidR="000B69A2" w:rsidRPr="004F5D67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B058C1" w:rsidRPr="004F5D67">
        <w:rPr>
          <w:rFonts w:ascii="Times New Roman" w:hAnsi="Times New Roman" w:cs="Times New Roman"/>
          <w:sz w:val="24"/>
          <w:szCs w:val="24"/>
          <w:lang w:val="sr-Cyrl-CS"/>
        </w:rPr>
        <w:t>ентности Стратешког плана</w:t>
      </w:r>
      <w:r w:rsidR="00F252A3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2021−</w:t>
      </w:r>
      <w:r w:rsidR="00D87B94" w:rsidRPr="004F5D67">
        <w:rPr>
          <w:rFonts w:ascii="Times New Roman" w:hAnsi="Times New Roman" w:cs="Times New Roman"/>
          <w:sz w:val="24"/>
          <w:szCs w:val="24"/>
          <w:lang w:val="sr-Cyrl-CS"/>
        </w:rPr>
        <w:t>2023</w:t>
      </w:r>
      <w:r w:rsidR="00B058C1" w:rsidRPr="004F5D6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306A3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="00E66B3B" w:rsidRPr="004F5D67">
        <w:rPr>
          <w:rFonts w:ascii="Times New Roman" w:hAnsi="Times New Roman" w:cs="Times New Roman"/>
          <w:sz w:val="24"/>
          <w:szCs w:val="24"/>
          <w:lang w:val="sr-Cyrl-CS"/>
        </w:rPr>
        <w:t>дговори достављени у писаној форми, и појашњени на интервјуима</w:t>
      </w:r>
      <w:r w:rsidR="00007FE1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62E6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показују да је </w:t>
      </w:r>
      <w:r w:rsidR="004C5C7B" w:rsidRPr="004F5D67">
        <w:rPr>
          <w:rFonts w:ascii="Times New Roman" w:hAnsi="Times New Roman" w:cs="Times New Roman"/>
          <w:sz w:val="24"/>
          <w:szCs w:val="24"/>
          <w:lang w:val="sr-Cyrl-CS"/>
        </w:rPr>
        <w:t>неопходно још више радити на транспарентно</w:t>
      </w:r>
      <w:r w:rsidR="00497B10" w:rsidRPr="004F5D67">
        <w:rPr>
          <w:rFonts w:ascii="Times New Roman" w:hAnsi="Times New Roman" w:cs="Times New Roman"/>
          <w:sz w:val="24"/>
          <w:szCs w:val="24"/>
          <w:lang w:val="sr-Cyrl-CS"/>
        </w:rPr>
        <w:t>сти и подизању</w:t>
      </w:r>
      <w:r w:rsidR="004C5C7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свести </w:t>
      </w:r>
      <w:r w:rsidR="00007FE1" w:rsidRPr="004F5D67">
        <w:rPr>
          <w:rFonts w:ascii="Times New Roman" w:hAnsi="Times New Roman" w:cs="Times New Roman"/>
          <w:sz w:val="24"/>
          <w:szCs w:val="24"/>
          <w:lang w:val="sr-Cyrl-CS"/>
        </w:rPr>
        <w:t>у вези са</w:t>
      </w:r>
      <w:r w:rsidR="004C5C7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370887">
        <w:rPr>
          <w:rFonts w:ascii="Times New Roman" w:hAnsi="Times New Roman" w:cs="Times New Roman"/>
          <w:sz w:val="24"/>
          <w:szCs w:val="24"/>
          <w:lang w:val="sr-Cyrl-CS"/>
        </w:rPr>
        <w:t>заш</w:t>
      </w:r>
      <w:r w:rsidR="007A5B22" w:rsidRPr="004F5D67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370887">
        <w:rPr>
          <w:rFonts w:ascii="Times New Roman" w:hAnsi="Times New Roman" w:cs="Times New Roman"/>
          <w:sz w:val="24"/>
          <w:szCs w:val="24"/>
          <w:lang w:val="sr-Cyrl-CS"/>
        </w:rPr>
        <w:t>и</w:t>
      </w:r>
      <w:proofErr w:type="spellEnd"/>
      <w:r w:rsidR="00AF6B81">
        <w:rPr>
          <w:rFonts w:ascii="Times New Roman" w:hAnsi="Times New Roman" w:cs="Times New Roman"/>
          <w:sz w:val="24"/>
          <w:szCs w:val="24"/>
          <w:lang w:val="sr-Cyrl-RS"/>
        </w:rPr>
        <w:t>т</w:t>
      </w:r>
      <w:bookmarkStart w:id="14" w:name="_GoBack"/>
      <w:bookmarkEnd w:id="14"/>
      <w:r w:rsidR="00007FE1" w:rsidRPr="004F5D67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7A5B22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финансијских интереса </w:t>
      </w:r>
      <w:proofErr w:type="spellStart"/>
      <w:r w:rsidR="007A5B22" w:rsidRPr="004F5D67">
        <w:rPr>
          <w:rFonts w:ascii="Times New Roman" w:hAnsi="Times New Roman" w:cs="Times New Roman"/>
          <w:sz w:val="24"/>
          <w:szCs w:val="24"/>
          <w:lang w:val="sr-Cyrl-CS"/>
        </w:rPr>
        <w:t>ЕУ</w:t>
      </w:r>
      <w:proofErr w:type="spellEnd"/>
      <w:r w:rsidR="007A5B22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B56A0AA" w14:textId="6F523985" w:rsidR="00040321" w:rsidRPr="004F5D67" w:rsidRDefault="00F229C6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да </w:t>
      </w:r>
      <w:r w:rsidR="002E7AB1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је већина </w:t>
      </w:r>
      <w:r w:rsidR="002306A3" w:rsidRPr="004F5D67">
        <w:rPr>
          <w:rFonts w:ascii="Times New Roman" w:hAnsi="Times New Roman" w:cs="Times New Roman"/>
          <w:sz w:val="24"/>
          <w:szCs w:val="24"/>
          <w:lang w:val="sr-Cyrl-CS"/>
        </w:rPr>
        <w:t>параметара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боље </w:t>
      </w:r>
      <w:r w:rsidR="002E7AB1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оцењена 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него </w:t>
      </w:r>
      <w:r w:rsidR="00007FE1" w:rsidRPr="004F5D67">
        <w:rPr>
          <w:rFonts w:ascii="Times New Roman" w:hAnsi="Times New Roman" w:cs="Times New Roman"/>
          <w:sz w:val="24"/>
          <w:szCs w:val="24"/>
          <w:lang w:val="sr-Cyrl-CS"/>
        </w:rPr>
        <w:t>код анализе ефеката</w:t>
      </w:r>
      <w:r w:rsidR="002306A3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7FE1" w:rsidRPr="004F5D67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тратегиј</w:t>
      </w:r>
      <w:r w:rsidR="00F252A3" w:rsidRPr="004F5D67">
        <w:rPr>
          <w:rFonts w:ascii="Times New Roman" w:hAnsi="Times New Roman" w:cs="Times New Roman"/>
          <w:sz w:val="24"/>
          <w:szCs w:val="24"/>
          <w:lang w:val="sr-Cyrl-CS"/>
        </w:rPr>
        <w:t>е 2017−</w:t>
      </w:r>
      <w:r w:rsidR="00007FE1" w:rsidRPr="004F5D67">
        <w:rPr>
          <w:rFonts w:ascii="Times New Roman" w:hAnsi="Times New Roman" w:cs="Times New Roman"/>
          <w:sz w:val="24"/>
          <w:szCs w:val="24"/>
          <w:lang w:val="sr-Cyrl-CS"/>
        </w:rPr>
        <w:t>2020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E7AB1" w:rsidRPr="004F5D67">
        <w:rPr>
          <w:rFonts w:ascii="Times New Roman" w:hAnsi="Times New Roman" w:cs="Times New Roman"/>
          <w:sz w:val="24"/>
          <w:szCs w:val="24"/>
          <w:lang w:val="sr-Cyrl-CS"/>
        </w:rPr>
        <w:t>примећује се важност дефинисања</w:t>
      </w:r>
      <w:r w:rsidR="00497B10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препрека и пр</w:t>
      </w:r>
      <w:r w:rsidR="00EA2D16" w:rsidRPr="004F5D67">
        <w:rPr>
          <w:rFonts w:ascii="Times New Roman" w:hAnsi="Times New Roman" w:cs="Times New Roman"/>
          <w:sz w:val="24"/>
          <w:szCs w:val="24"/>
          <w:lang w:val="sr-Cyrl-CS"/>
        </w:rPr>
        <w:t>епознав</w:t>
      </w:r>
      <w:r w:rsidR="00402236" w:rsidRPr="004F5D67">
        <w:rPr>
          <w:rFonts w:ascii="Times New Roman" w:hAnsi="Times New Roman" w:cs="Times New Roman"/>
          <w:sz w:val="24"/>
          <w:szCs w:val="24"/>
          <w:lang w:val="sr-Cyrl-CS"/>
        </w:rPr>
        <w:t>ања</w:t>
      </w:r>
      <w:r w:rsidR="00497B10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решења </w:t>
      </w:r>
      <w:r w:rsidR="0019302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која </w:t>
      </w:r>
      <w:r w:rsidR="002306A3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19302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могу користити за нови стратешки оквир. То додатно </w:t>
      </w:r>
      <w:r w:rsidR="001C6787" w:rsidRPr="004F5D67">
        <w:rPr>
          <w:rFonts w:ascii="Times New Roman" w:hAnsi="Times New Roman" w:cs="Times New Roman"/>
          <w:sz w:val="24"/>
          <w:szCs w:val="24"/>
          <w:lang w:val="sr-Cyrl-CS"/>
        </w:rPr>
        <w:t>захтева</w:t>
      </w:r>
      <w:r w:rsidR="0019302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праћење имплементације</w:t>
      </w:r>
      <w:r w:rsidR="00007FE1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9302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кроз редовне анализе проблема</w:t>
      </w:r>
      <w:r w:rsidR="00007FE1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9302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и проактивно деловање на њиховом отклањању. </w:t>
      </w:r>
      <w:r w:rsidR="00193029" w:rsidRPr="004F5D67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14:paraId="41EA8A7B" w14:textId="6662DA03" w:rsidR="005F6F4D" w:rsidRPr="004F5D67" w:rsidRDefault="00040321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Такође, наведено је да</w:t>
      </w:r>
      <w:r w:rsidR="00975C4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се за процес израде</w:t>
      </w:r>
      <w:r w:rsidR="0040223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5C45" w:rsidRPr="004F5D67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02236" w:rsidRPr="004F5D67">
        <w:rPr>
          <w:rFonts w:ascii="Times New Roman" w:hAnsi="Times New Roman" w:cs="Times New Roman"/>
          <w:sz w:val="24"/>
          <w:szCs w:val="24"/>
          <w:lang w:val="sr-Cyrl-CS"/>
        </w:rPr>
        <w:t>тратешко</w:t>
      </w:r>
      <w:r w:rsidR="00975C45" w:rsidRPr="004F5D67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40223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план</w:t>
      </w:r>
      <w:r w:rsidR="00F252A3" w:rsidRPr="004F5D67">
        <w:rPr>
          <w:rFonts w:ascii="Times New Roman" w:hAnsi="Times New Roman" w:cs="Times New Roman"/>
          <w:sz w:val="24"/>
          <w:szCs w:val="24"/>
          <w:lang w:val="sr-Cyrl-CS"/>
        </w:rPr>
        <w:t>а 2024−</w:t>
      </w:r>
      <w:r w:rsidR="00975C45" w:rsidRPr="004F5D67">
        <w:rPr>
          <w:rFonts w:ascii="Times New Roman" w:hAnsi="Times New Roman" w:cs="Times New Roman"/>
          <w:sz w:val="24"/>
          <w:szCs w:val="24"/>
          <w:lang w:val="sr-Cyrl-CS"/>
        </w:rPr>
        <w:t>2026 искористе и стратешка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документ</w:t>
      </w:r>
      <w:r w:rsidR="00975C45" w:rsidRPr="004F5D67">
        <w:rPr>
          <w:rFonts w:ascii="Times New Roman" w:hAnsi="Times New Roman" w:cs="Times New Roman"/>
          <w:sz w:val="24"/>
          <w:szCs w:val="24"/>
          <w:lang w:val="sr-Cyrl-CS"/>
        </w:rPr>
        <w:t>а која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се баве овом тематиком</w:t>
      </w:r>
      <w:r w:rsidR="007F48C1" w:rsidRPr="004F5D67">
        <w:rPr>
          <w:rFonts w:ascii="Times New Roman" w:hAnsi="Times New Roman" w:cs="Times New Roman"/>
          <w:sz w:val="24"/>
          <w:szCs w:val="24"/>
          <w:lang w:val="sr-Cyrl-CS"/>
        </w:rPr>
        <w:t>, к</w:t>
      </w:r>
      <w:r w:rsidR="0078687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ао и </w:t>
      </w:r>
      <w:r w:rsidR="00402236" w:rsidRPr="004F5D67">
        <w:rPr>
          <w:rFonts w:ascii="Times New Roman" w:hAnsi="Times New Roman" w:cs="Times New Roman"/>
          <w:sz w:val="24"/>
          <w:szCs w:val="24"/>
          <w:lang w:val="sr-Cyrl-CS"/>
        </w:rPr>
        <w:t>то</w:t>
      </w:r>
      <w:r w:rsidR="00975C4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да је потребно</w:t>
      </w:r>
      <w:r w:rsidR="0078687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укључе</w:t>
      </w:r>
      <w:r w:rsidR="00975C45" w:rsidRPr="004F5D67">
        <w:rPr>
          <w:rFonts w:ascii="Times New Roman" w:hAnsi="Times New Roman" w:cs="Times New Roman"/>
          <w:sz w:val="24"/>
          <w:szCs w:val="24"/>
          <w:lang w:val="sr-Cyrl-CS"/>
        </w:rPr>
        <w:t>ње</w:t>
      </w:r>
      <w:r w:rsidR="0078687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и други</w:t>
      </w:r>
      <w:r w:rsidR="00975C45" w:rsidRPr="004F5D67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D87B9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актера</w:t>
      </w:r>
      <w:r w:rsidR="0078687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којих се тиче ова област, што остаје, услед кратког временског рока, препорука за наредни стратешки документ.</w:t>
      </w:r>
    </w:p>
    <w:p w14:paraId="4052D2B8" w14:textId="4DFA7D38" w:rsidR="00D92130" w:rsidRPr="004F5D67" w:rsidRDefault="00D92130" w:rsidP="00C606CE">
      <w:pPr>
        <w:pStyle w:val="Heading3"/>
        <w:rPr>
          <w:lang w:val="sr-Cyrl-CS"/>
        </w:rPr>
      </w:pPr>
      <w:bookmarkStart w:id="15" w:name="_Toc161827227"/>
      <w:r w:rsidRPr="004F5D67">
        <w:rPr>
          <w:lang w:val="sr-Cyrl-CS"/>
        </w:rPr>
        <w:t>Ефективност</w:t>
      </w:r>
      <w:bookmarkEnd w:id="15"/>
    </w:p>
    <w:p w14:paraId="79058A8C" w14:textId="77777777" w:rsidR="005F6F4D" w:rsidRPr="004F5D67" w:rsidRDefault="005F6F4D" w:rsidP="009E34BA">
      <w:pPr>
        <w:tabs>
          <w:tab w:val="left" w:pos="1338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A615A4" w14:textId="153E95F3" w:rsidR="000E6BEB" w:rsidRPr="004F5D67" w:rsidRDefault="0062080D" w:rsidP="009E34BA">
      <w:pPr>
        <w:tabs>
          <w:tab w:val="left" w:pos="1338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noProof/>
          <w:lang w:val="en-US"/>
        </w:rPr>
        <w:drawing>
          <wp:inline distT="0" distB="0" distL="0" distR="0" wp14:anchorId="1D0B3BAF" wp14:editId="75633FB6">
            <wp:extent cx="5270500" cy="3355450"/>
            <wp:effectExtent l="0" t="0" r="6350" b="16510"/>
            <wp:docPr id="7" name="Char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0CF10BF" w14:textId="77777777" w:rsidR="004260ED" w:rsidRPr="004F5D67" w:rsidRDefault="004260ED" w:rsidP="009E34BA">
      <w:pPr>
        <w:jc w:val="center"/>
        <w:rPr>
          <w:rFonts w:ascii="Times New Roman" w:hAnsi="Times New Roman" w:cs="Times New Roman"/>
          <w:i/>
          <w:sz w:val="24"/>
          <w:szCs w:val="24"/>
          <w:lang w:val="sr-Cyrl-CS"/>
        </w:rPr>
      </w:pPr>
      <w:bookmarkStart w:id="16" w:name="_Toc161742835"/>
    </w:p>
    <w:p w14:paraId="7297CC60" w14:textId="1064A9B4" w:rsidR="000B2240" w:rsidRPr="004F5D67" w:rsidRDefault="000B2240" w:rsidP="009E34BA">
      <w:pPr>
        <w:jc w:val="center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Графикон 3: Ефе</w:t>
      </w:r>
      <w:r w:rsidR="001A72A0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ктивност</w:t>
      </w:r>
      <w:bookmarkEnd w:id="16"/>
    </w:p>
    <w:p w14:paraId="49E373FA" w14:textId="77777777" w:rsidR="00F93A66" w:rsidRPr="004F5D67" w:rsidRDefault="00F93A66" w:rsidP="009E34BA">
      <w:pPr>
        <w:tabs>
          <w:tab w:val="left" w:pos="1338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2144B59B" w14:textId="67764D35" w:rsidR="001A72A0" w:rsidRPr="004F5D67" w:rsidRDefault="007D57A4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Анализом </w:t>
      </w:r>
      <w:r w:rsidR="005A256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дела 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питања </w:t>
      </w:r>
      <w:r w:rsidR="00386031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из упитника 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која се односе на ефективност уочава се да је средња оцена досадашње имплементације </w:t>
      </w:r>
      <w:r w:rsidR="003878BC" w:rsidRPr="004F5D67">
        <w:rPr>
          <w:rFonts w:ascii="Times New Roman" w:hAnsi="Times New Roman" w:cs="Times New Roman"/>
          <w:sz w:val="24"/>
          <w:szCs w:val="24"/>
          <w:lang w:val="sr-Cyrl-CS"/>
        </w:rPr>
        <w:t>повећана са 3</w:t>
      </w:r>
      <w:r w:rsidR="00230453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878BC" w:rsidRPr="004F5D67">
        <w:rPr>
          <w:rFonts w:ascii="Times New Roman" w:hAnsi="Times New Roman" w:cs="Times New Roman"/>
          <w:sz w:val="24"/>
          <w:szCs w:val="24"/>
          <w:lang w:val="sr-Cyrl-CS"/>
        </w:rPr>
        <w:t>60 на 4,01</w:t>
      </w:r>
      <w:r w:rsidR="000B2240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. Приметан је напредак код три </w:t>
      </w:r>
      <w:r w:rsidR="00386031" w:rsidRPr="004F5D67">
        <w:rPr>
          <w:rFonts w:ascii="Times New Roman" w:hAnsi="Times New Roman" w:cs="Times New Roman"/>
          <w:sz w:val="24"/>
          <w:szCs w:val="24"/>
          <w:lang w:val="sr-Cyrl-CS"/>
        </w:rPr>
        <w:t>параметра ефективности</w:t>
      </w:r>
      <w:r w:rsidR="000B2240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86031" w:rsidRPr="004F5D67">
        <w:rPr>
          <w:rFonts w:ascii="Times New Roman" w:hAnsi="Times New Roman" w:cs="Times New Roman"/>
          <w:sz w:val="24"/>
          <w:szCs w:val="24"/>
          <w:lang w:val="sr-Cyrl-CS"/>
        </w:rPr>
        <w:t>док се код преостала два</w:t>
      </w:r>
      <w:r w:rsidR="000B2240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може констатовати стагнација. </w:t>
      </w:r>
    </w:p>
    <w:p w14:paraId="75FAB63A" w14:textId="498E9092" w:rsidR="005A256F" w:rsidRPr="004F5D67" w:rsidRDefault="000746DB" w:rsidP="009E34B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Ефективност циљева </w:t>
      </w:r>
      <w:r w:rsidR="00386031" w:rsidRPr="004F5D67">
        <w:rPr>
          <w:rFonts w:ascii="Times New Roman" w:hAnsi="Times New Roman" w:cs="Times New Roman"/>
          <w:sz w:val="24"/>
          <w:szCs w:val="24"/>
          <w:lang w:val="sr-Cyrl-CS"/>
        </w:rPr>
        <w:t>Стратешког плана</w:t>
      </w:r>
      <w:r w:rsidR="00975C4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2021</w:t>
      </w:r>
      <w:r w:rsidR="00230453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975C45" w:rsidRPr="004F5D67">
        <w:rPr>
          <w:rFonts w:ascii="Times New Roman" w:hAnsi="Times New Roman" w:cs="Times New Roman"/>
          <w:sz w:val="24"/>
          <w:szCs w:val="24"/>
          <w:lang w:val="sr-Cyrl-CS"/>
        </w:rPr>
        <w:t>2023</w:t>
      </w:r>
      <w:r w:rsidR="00386031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03B24" w:rsidRPr="004F5D67">
        <w:rPr>
          <w:rFonts w:ascii="Times New Roman" w:hAnsi="Times New Roman" w:cs="Times New Roman"/>
          <w:sz w:val="24"/>
          <w:szCs w:val="24"/>
          <w:lang w:val="sr-Cyrl-CS"/>
        </w:rPr>
        <w:t>оцењена</w:t>
      </w:r>
      <w:r w:rsidR="00975C4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C03B2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86031" w:rsidRPr="004F5D67">
        <w:rPr>
          <w:rFonts w:ascii="Times New Roman" w:hAnsi="Times New Roman" w:cs="Times New Roman"/>
          <w:sz w:val="24"/>
          <w:szCs w:val="24"/>
          <w:lang w:val="sr-Cyrl-CS"/>
        </w:rPr>
        <w:t>по</w:t>
      </w:r>
      <w:r w:rsidR="00C03B24" w:rsidRPr="004F5D67">
        <w:rPr>
          <w:rFonts w:ascii="Times New Roman" w:hAnsi="Times New Roman" w:cs="Times New Roman"/>
          <w:sz w:val="24"/>
          <w:szCs w:val="24"/>
          <w:lang w:val="sr-Cyrl-CS"/>
        </w:rPr>
        <w:t>себно, а</w:t>
      </w:r>
      <w:r w:rsidR="00006DE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преглед </w:t>
      </w:r>
      <w:r w:rsidR="00C03B2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резултата 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дат</w:t>
      </w:r>
      <w:r w:rsidR="00975C4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у Графи</w:t>
      </w:r>
      <w:r w:rsidR="00006DE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кону 4. </w:t>
      </w:r>
    </w:p>
    <w:p w14:paraId="27FA44B2" w14:textId="77777777" w:rsidR="005F6F4D" w:rsidRPr="004F5D67" w:rsidRDefault="005F6F4D" w:rsidP="009E34B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985A7B" w14:textId="1E20746D" w:rsidR="00480154" w:rsidRPr="004F5D67" w:rsidRDefault="00D92130" w:rsidP="00C606CE">
      <w:pPr>
        <w:pStyle w:val="Heading3"/>
        <w:rPr>
          <w:lang w:val="sr-Cyrl-CS"/>
        </w:rPr>
      </w:pPr>
      <w:bookmarkStart w:id="17" w:name="_Toc161827228"/>
      <w:r w:rsidRPr="004F5D67">
        <w:rPr>
          <w:lang w:val="sr-Cyrl-CS"/>
        </w:rPr>
        <w:lastRenderedPageBreak/>
        <w:t>Ефективност циљев</w:t>
      </w:r>
      <w:r w:rsidR="00386031" w:rsidRPr="004F5D67">
        <w:rPr>
          <w:lang w:val="sr-Cyrl-CS"/>
        </w:rPr>
        <w:t>а</w:t>
      </w:r>
      <w:r w:rsidRPr="004F5D67">
        <w:rPr>
          <w:lang w:val="sr-Cyrl-CS"/>
        </w:rPr>
        <w:t xml:space="preserve"> </w:t>
      </w:r>
      <w:r w:rsidR="00662221" w:rsidRPr="004F5D67">
        <w:rPr>
          <w:lang w:val="sr-Cyrl-CS"/>
        </w:rPr>
        <w:t>Стратешког плана</w:t>
      </w:r>
      <w:r w:rsidR="00C606CE" w:rsidRPr="004F5D67">
        <w:rPr>
          <w:lang w:val="sr-Cyrl-CS"/>
        </w:rPr>
        <w:t xml:space="preserve"> 2021−2023</w:t>
      </w:r>
      <w:bookmarkEnd w:id="17"/>
    </w:p>
    <w:p w14:paraId="36C05ED1" w14:textId="77777777" w:rsidR="005F6F4D" w:rsidRPr="004F5D67" w:rsidRDefault="005F6F4D" w:rsidP="009E34B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43D40C9E" w14:textId="60F9BA33" w:rsidR="00480154" w:rsidRPr="004F5D67" w:rsidRDefault="0062080D" w:rsidP="009E34B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noProof/>
          <w:lang w:val="en-US"/>
        </w:rPr>
        <w:drawing>
          <wp:inline distT="0" distB="0" distL="0" distR="0" wp14:anchorId="67691B74" wp14:editId="5C8F4171">
            <wp:extent cx="5270500" cy="5812403"/>
            <wp:effectExtent l="0" t="0" r="6350" b="1714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26A1829E" w14:textId="4F486333" w:rsidR="00480154" w:rsidRPr="004F5D67" w:rsidRDefault="00480154" w:rsidP="009E34B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75B4E12A" w14:textId="265FD70E" w:rsidR="000808D0" w:rsidRPr="004F5D67" w:rsidRDefault="000808D0" w:rsidP="009E34BA">
      <w:pPr>
        <w:jc w:val="center"/>
        <w:rPr>
          <w:rFonts w:ascii="Times New Roman" w:hAnsi="Times New Roman" w:cs="Times New Roman"/>
          <w:i/>
          <w:sz w:val="24"/>
          <w:szCs w:val="24"/>
          <w:lang w:val="sr-Cyrl-CS"/>
        </w:rPr>
      </w:pPr>
      <w:bookmarkStart w:id="18" w:name="_Toc161742837"/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Графикон 4</w:t>
      </w:r>
      <w:r w:rsidR="006D6059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: Ефективност циљев</w:t>
      </w:r>
      <w:r w:rsidR="00386031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а Стратешког плана</w:t>
      </w:r>
      <w:bookmarkEnd w:id="18"/>
      <w:r w:rsidR="005E7ECF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2021</w:t>
      </w:r>
      <w:r w:rsidR="00230453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5E7ECF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2023</w:t>
      </w:r>
    </w:p>
    <w:p w14:paraId="2144F58C" w14:textId="77777777" w:rsidR="000808D0" w:rsidRPr="004F5D67" w:rsidRDefault="000808D0" w:rsidP="009E34BA">
      <w:pPr>
        <w:tabs>
          <w:tab w:val="left" w:pos="1338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7CC5A0" w14:textId="4B17D3A5" w:rsidR="00354D7C" w:rsidRPr="004F5D67" w:rsidRDefault="004A5EF6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Иако </w:t>
      </w:r>
      <w:r w:rsidR="00AC5FB0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приказ</w:t>
      </w:r>
      <w:r w:rsidR="00BC422C" w:rsidRPr="004F5D67">
        <w:rPr>
          <w:rFonts w:ascii="Times New Roman" w:hAnsi="Times New Roman" w:cs="Times New Roman"/>
          <w:sz w:val="24"/>
          <w:szCs w:val="24"/>
          <w:lang w:val="sr-Cyrl-CS"/>
        </w:rPr>
        <w:t>ани резултат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AC5FB0" w:rsidRPr="004F5D67">
        <w:rPr>
          <w:rFonts w:ascii="Times New Roman" w:hAnsi="Times New Roman" w:cs="Times New Roman"/>
          <w:sz w:val="24"/>
          <w:szCs w:val="24"/>
          <w:lang w:val="sr-Cyrl-CS"/>
        </w:rPr>
        <w:t>не могу директно упоредит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33248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са резултатима испуњености циљева Стратегије</w:t>
      </w:r>
      <w:r w:rsidR="00C606CE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2017−</w:t>
      </w:r>
      <w:r w:rsidR="00332486" w:rsidRPr="004F5D67">
        <w:rPr>
          <w:rFonts w:ascii="Times New Roman" w:hAnsi="Times New Roman" w:cs="Times New Roman"/>
          <w:sz w:val="24"/>
          <w:szCs w:val="24"/>
          <w:lang w:val="sr-Cyrl-CS"/>
        </w:rPr>
        <w:t>2020</w:t>
      </w:r>
      <w:r w:rsidR="00D47D81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91CF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448E0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посредно се може закључити </w:t>
      </w:r>
      <w:r w:rsidR="00991CF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да је </w:t>
      </w:r>
      <w:r w:rsidR="00D47D81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дошло до побољшања у погледу </w:t>
      </w:r>
      <w:r w:rsidR="00991CF4" w:rsidRPr="004F5D67">
        <w:rPr>
          <w:rFonts w:ascii="Times New Roman" w:hAnsi="Times New Roman" w:cs="Times New Roman"/>
          <w:sz w:val="24"/>
          <w:szCs w:val="24"/>
          <w:lang w:val="sr-Cyrl-CS"/>
        </w:rPr>
        <w:t>испуњеност</w:t>
      </w:r>
      <w:r w:rsidR="00C606CE" w:rsidRPr="004F5D6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991CF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циљева Стратешког плана</w:t>
      </w:r>
      <w:r w:rsidR="00C606CE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2021−</w:t>
      </w:r>
      <w:r w:rsidR="00975C45" w:rsidRPr="004F5D67">
        <w:rPr>
          <w:rFonts w:ascii="Times New Roman" w:hAnsi="Times New Roman" w:cs="Times New Roman"/>
          <w:sz w:val="24"/>
          <w:szCs w:val="24"/>
          <w:lang w:val="sr-Cyrl-CS"/>
        </w:rPr>
        <w:t>2023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332486" w:rsidRPr="004F5D67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2C4CAC" w:rsidRPr="004F5D67">
        <w:rPr>
          <w:rFonts w:ascii="Times New Roman" w:hAnsi="Times New Roman" w:cs="Times New Roman"/>
          <w:sz w:val="24"/>
          <w:szCs w:val="24"/>
          <w:lang w:val="sr-Cyrl-CS"/>
        </w:rPr>
        <w:t>цене испуњености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24AF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посебних циљева Стратешког плана </w:t>
      </w:r>
      <w:r w:rsidR="00975C45" w:rsidRPr="004F5D67">
        <w:rPr>
          <w:rFonts w:ascii="Times New Roman" w:hAnsi="Times New Roman" w:cs="Times New Roman"/>
          <w:sz w:val="24"/>
          <w:szCs w:val="24"/>
          <w:lang w:val="sr-Cyrl-CS"/>
        </w:rPr>
        <w:t>2021</w:t>
      </w:r>
      <w:r w:rsidR="00C606CE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975C4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2023 </w:t>
      </w:r>
      <w:r w:rsidR="00524AF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су више и варирају од </w:t>
      </w:r>
      <w:r w:rsidR="00332486" w:rsidRPr="004F5D67">
        <w:rPr>
          <w:rFonts w:ascii="Times New Roman" w:hAnsi="Times New Roman" w:cs="Times New Roman"/>
          <w:sz w:val="24"/>
          <w:szCs w:val="24"/>
          <w:lang w:val="sr-Cyrl-CS"/>
        </w:rPr>
        <w:t>3,29 до 4,22</w:t>
      </w:r>
      <w:r w:rsidR="005C7C78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24AF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док су у </w:t>
      </w:r>
      <w:r w:rsidR="00332486" w:rsidRPr="004F5D67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тратегији</w:t>
      </w:r>
      <w:r w:rsidR="00C606CE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2017−</w:t>
      </w:r>
      <w:r w:rsidR="00332486" w:rsidRPr="004F5D67">
        <w:rPr>
          <w:rFonts w:ascii="Times New Roman" w:hAnsi="Times New Roman" w:cs="Times New Roman"/>
          <w:sz w:val="24"/>
          <w:szCs w:val="24"/>
          <w:lang w:val="sr-Cyrl-CS"/>
        </w:rPr>
        <w:t>2020</w:t>
      </w:r>
      <w:r w:rsidR="00524AF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имале </w:t>
      </w:r>
      <w:r w:rsidR="00524AF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нижи </w:t>
      </w:r>
      <w:r w:rsidR="0033248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распон, 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33248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2,57 до </w:t>
      </w:r>
      <w:r w:rsidR="001E556E" w:rsidRPr="004F5D67">
        <w:rPr>
          <w:rFonts w:ascii="Times New Roman" w:hAnsi="Times New Roman" w:cs="Times New Roman"/>
          <w:sz w:val="24"/>
          <w:szCs w:val="24"/>
          <w:lang w:val="sr-Cyrl-CS"/>
        </w:rPr>
        <w:t>3,25</w:t>
      </w:r>
      <w:r w:rsidR="00332486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C7C78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што указ</w:t>
      </w:r>
      <w:r w:rsidR="001D25B1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ује на </w:t>
      </w:r>
      <w:r w:rsidR="0033248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бољу испуњеност циљева Стратешког плана </w:t>
      </w:r>
      <w:r w:rsidR="00975C45" w:rsidRPr="004F5D67">
        <w:rPr>
          <w:rFonts w:ascii="Times New Roman" w:hAnsi="Times New Roman" w:cs="Times New Roman"/>
          <w:sz w:val="24"/>
          <w:szCs w:val="24"/>
          <w:lang w:val="sr-Cyrl-CS"/>
        </w:rPr>
        <w:t>2021</w:t>
      </w:r>
      <w:r w:rsidR="00C606CE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975C4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2023 </w:t>
      </w:r>
      <w:r w:rsidR="0033248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по перцепцији чланова </w:t>
      </w:r>
      <w:r w:rsidR="00975C4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АФКОС </w:t>
      </w:r>
      <w:r w:rsidR="00332486" w:rsidRPr="004F5D67">
        <w:rPr>
          <w:rFonts w:ascii="Times New Roman" w:hAnsi="Times New Roman" w:cs="Times New Roman"/>
          <w:sz w:val="24"/>
          <w:szCs w:val="24"/>
          <w:lang w:val="sr-Cyrl-CS"/>
        </w:rPr>
        <w:t>Мреже</w:t>
      </w:r>
      <w:r w:rsidR="001D25B1" w:rsidRPr="004F5D6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3248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279DB" w:rsidRPr="004F5D67">
        <w:rPr>
          <w:rFonts w:ascii="Times New Roman" w:hAnsi="Times New Roman" w:cs="Times New Roman"/>
          <w:sz w:val="24"/>
          <w:szCs w:val="24"/>
          <w:lang w:val="sr-Cyrl-CS"/>
        </w:rPr>
        <w:t>Испуњеност општег</w:t>
      </w:r>
      <w:r w:rsidR="0033248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циљ</w:t>
      </w:r>
      <w:r w:rsidR="005279DB" w:rsidRPr="004F5D67">
        <w:rPr>
          <w:rFonts w:ascii="Times New Roman" w:hAnsi="Times New Roman" w:cs="Times New Roman"/>
          <w:sz w:val="24"/>
          <w:szCs w:val="24"/>
          <w:lang w:val="sr-Cyrl-CS"/>
        </w:rPr>
        <w:t>а,</w:t>
      </w:r>
      <w:r w:rsidR="0033248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који је редефинисан у Стратешком плану</w:t>
      </w:r>
      <w:r w:rsidR="00975C4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2021</w:t>
      </w:r>
      <w:r w:rsidR="00C606CE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975C45" w:rsidRPr="004F5D67">
        <w:rPr>
          <w:rFonts w:ascii="Times New Roman" w:hAnsi="Times New Roman" w:cs="Times New Roman"/>
          <w:sz w:val="24"/>
          <w:szCs w:val="24"/>
          <w:lang w:val="sr-Cyrl-CS"/>
        </w:rPr>
        <w:t>2023</w:t>
      </w:r>
      <w:r w:rsidR="005279DB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3248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оцењен</w:t>
      </w:r>
      <w:r w:rsidR="005279DB" w:rsidRPr="004F5D6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3248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5279DB" w:rsidRPr="004F5D67">
        <w:rPr>
          <w:rFonts w:ascii="Times New Roman" w:hAnsi="Times New Roman" w:cs="Times New Roman"/>
          <w:sz w:val="24"/>
          <w:szCs w:val="24"/>
          <w:lang w:val="sr-Cyrl-CS"/>
        </w:rPr>
        <w:t>са 4,18</w:t>
      </w:r>
      <w:r w:rsidR="0049347A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5279D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248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као и </w:t>
      </w:r>
      <w:r w:rsidR="005279DB" w:rsidRPr="004F5D67">
        <w:rPr>
          <w:rFonts w:ascii="Times New Roman" w:hAnsi="Times New Roman" w:cs="Times New Roman"/>
          <w:sz w:val="24"/>
          <w:szCs w:val="24"/>
          <w:lang w:val="sr-Cyrl-CS"/>
        </w:rPr>
        <w:t>код Стратегије 2017</w:t>
      </w:r>
      <w:r w:rsidR="00C606CE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5279DB" w:rsidRPr="004F5D67">
        <w:rPr>
          <w:rFonts w:ascii="Times New Roman" w:hAnsi="Times New Roman" w:cs="Times New Roman"/>
          <w:sz w:val="24"/>
          <w:szCs w:val="24"/>
          <w:lang w:val="sr-Cyrl-CS"/>
        </w:rPr>
        <w:t>2020</w:t>
      </w:r>
      <w:r w:rsidR="0033248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556D981" w14:textId="7CA693AE" w:rsidR="00FB0475" w:rsidRPr="004F5D67" w:rsidRDefault="004529CB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Евидентан је напредак</w:t>
      </w:r>
      <w:r w:rsidR="008437E3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у делу који се односи на превентивно деловање и унапређење процеса раног откривања превара, </w:t>
      </w:r>
      <w:r w:rsidR="001648F3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док </w:t>
      </w:r>
      <w:r w:rsidR="005D063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спровођење </w:t>
      </w:r>
      <w:r w:rsidR="001648F3" w:rsidRPr="004F5D67">
        <w:rPr>
          <w:rFonts w:ascii="Times New Roman" w:hAnsi="Times New Roman" w:cs="Times New Roman"/>
          <w:sz w:val="24"/>
          <w:szCs w:val="24"/>
          <w:lang w:val="sr-Cyrl-CS"/>
        </w:rPr>
        <w:t>истражн</w:t>
      </w:r>
      <w:r w:rsidR="005D063D" w:rsidRPr="004F5D67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1648F3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радњ</w:t>
      </w:r>
      <w:r w:rsidR="005D063D" w:rsidRPr="004F5D67">
        <w:rPr>
          <w:rFonts w:ascii="Times New Roman" w:hAnsi="Times New Roman" w:cs="Times New Roman"/>
          <w:sz w:val="24"/>
          <w:szCs w:val="24"/>
          <w:lang w:val="sr-Cyrl-CS"/>
        </w:rPr>
        <w:t>и, сходно датим оценама, захтева унапређење</w:t>
      </w:r>
      <w:r w:rsidR="001648F3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. Иако су активности у оквиру </w:t>
      </w:r>
      <w:r w:rsidR="001648F3" w:rsidRPr="004F5D67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посебног </w:t>
      </w:r>
      <w:r w:rsidR="001310A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циља 5, који се односи на подизање </w:t>
      </w:r>
      <w:r w:rsidR="005D063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нивоа </w:t>
      </w:r>
      <w:r w:rsidR="001310AB" w:rsidRPr="004F5D67">
        <w:rPr>
          <w:rFonts w:ascii="Times New Roman" w:hAnsi="Times New Roman" w:cs="Times New Roman"/>
          <w:sz w:val="24"/>
          <w:szCs w:val="24"/>
          <w:lang w:val="sr-Cyrl-CS"/>
        </w:rPr>
        <w:t>свести јавности</w:t>
      </w:r>
      <w:r w:rsidR="002C4CAC" w:rsidRPr="004F5D67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310A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4CAC" w:rsidRPr="004F5D67">
        <w:rPr>
          <w:rFonts w:ascii="Times New Roman" w:hAnsi="Times New Roman" w:cs="Times New Roman"/>
          <w:sz w:val="24"/>
          <w:szCs w:val="24"/>
          <w:lang w:val="sr-Cyrl-CS"/>
        </w:rPr>
        <w:t>спроведене</w:t>
      </w:r>
      <w:r w:rsidR="001310A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, оне нису обухватиле </w:t>
      </w:r>
      <w:r w:rsidR="0020045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ширу циљну групу и јавност у целини. </w:t>
      </w:r>
    </w:p>
    <w:p w14:paraId="22552927" w14:textId="4A6224D0" w:rsidR="0050483D" w:rsidRPr="004F5D67" w:rsidRDefault="002F4E86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FB0475" w:rsidRPr="004F5D67">
        <w:rPr>
          <w:rFonts w:ascii="Times New Roman" w:hAnsi="Times New Roman" w:cs="Times New Roman"/>
          <w:sz w:val="24"/>
          <w:szCs w:val="24"/>
          <w:lang w:val="sr-Cyrl-CS"/>
        </w:rPr>
        <w:t>а основу разговора са представницима АФКОС</w:t>
      </w:r>
      <w:r w:rsidR="0010474B" w:rsidRPr="004F5D67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FB0475" w:rsidRPr="004F5D67">
        <w:rPr>
          <w:rFonts w:ascii="Times New Roman" w:hAnsi="Times New Roman" w:cs="Times New Roman"/>
          <w:sz w:val="24"/>
          <w:szCs w:val="24"/>
          <w:lang w:val="sr-Cyrl-CS"/>
        </w:rPr>
        <w:t>а и члан</w:t>
      </w:r>
      <w:r w:rsidR="0010474B" w:rsidRPr="004F5D67">
        <w:rPr>
          <w:rFonts w:ascii="Times New Roman" w:hAnsi="Times New Roman" w:cs="Times New Roman"/>
          <w:sz w:val="24"/>
          <w:szCs w:val="24"/>
          <w:lang w:val="sr-Cyrl-CS"/>
        </w:rPr>
        <w:t>овима</w:t>
      </w:r>
      <w:r w:rsidR="00FB047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727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АФКОС </w:t>
      </w:r>
      <w:r w:rsidR="00FB0475" w:rsidRPr="004F5D67">
        <w:rPr>
          <w:rFonts w:ascii="Times New Roman" w:hAnsi="Times New Roman" w:cs="Times New Roman"/>
          <w:sz w:val="24"/>
          <w:szCs w:val="24"/>
          <w:lang w:val="sr-Cyrl-CS"/>
        </w:rPr>
        <w:t>Мреже,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закључено је, </w:t>
      </w:r>
      <w:r w:rsidR="00FB047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да се мора наставити </w:t>
      </w:r>
      <w:r w:rsidR="0055453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са активностима </w:t>
      </w:r>
      <w:r w:rsidR="00881299" w:rsidRPr="004F5D67">
        <w:rPr>
          <w:rFonts w:ascii="Times New Roman" w:hAnsi="Times New Roman" w:cs="Times New Roman"/>
          <w:sz w:val="24"/>
          <w:szCs w:val="24"/>
          <w:lang w:val="sr-Cyrl-CS"/>
        </w:rPr>
        <w:t>које</w:t>
      </w:r>
      <w:r w:rsidR="00D91B0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се односе на јача</w:t>
      </w:r>
      <w:r w:rsidR="006D49D5" w:rsidRPr="004F5D67">
        <w:rPr>
          <w:rFonts w:ascii="Times New Roman" w:hAnsi="Times New Roman" w:cs="Times New Roman"/>
          <w:sz w:val="24"/>
          <w:szCs w:val="24"/>
          <w:lang w:val="sr-Cyrl-CS"/>
        </w:rPr>
        <w:t>ње превентивног деловања, рано</w:t>
      </w:r>
      <w:r w:rsidR="00D91B09" w:rsidRPr="004F5D67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6D49D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откривањ</w:t>
      </w:r>
      <w:r w:rsidR="00D91B09" w:rsidRPr="004F5D6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6D49D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превара и ист</w:t>
      </w:r>
      <w:r w:rsidR="005D063D" w:rsidRPr="004F5D67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6D49D5" w:rsidRPr="004F5D67">
        <w:rPr>
          <w:rFonts w:ascii="Times New Roman" w:hAnsi="Times New Roman" w:cs="Times New Roman"/>
          <w:sz w:val="24"/>
          <w:szCs w:val="24"/>
          <w:lang w:val="sr-Cyrl-CS"/>
        </w:rPr>
        <w:t>ажн</w:t>
      </w:r>
      <w:r w:rsidR="00D91B09" w:rsidRPr="004F5D67">
        <w:rPr>
          <w:rFonts w:ascii="Times New Roman" w:hAnsi="Times New Roman" w:cs="Times New Roman"/>
          <w:sz w:val="24"/>
          <w:szCs w:val="24"/>
          <w:lang w:val="sr-Cyrl-CS"/>
        </w:rPr>
        <w:t>их</w:t>
      </w:r>
      <w:r w:rsidR="006D49D5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радњ</w:t>
      </w:r>
      <w:r w:rsidR="00D91B09" w:rsidRPr="004F5D6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EE7F31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55453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како би се побољшали капацитети и унапредио 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систем</w:t>
      </w:r>
      <w:r w:rsidR="005D063D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заштите финансијских</w:t>
      </w:r>
      <w:r w:rsidR="0088129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интереса ЕУ</w:t>
      </w:r>
      <w:r w:rsidR="0055453D" w:rsidRPr="004F5D6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305D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Када се сумирају оцене и </w:t>
      </w: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сагледају </w:t>
      </w:r>
      <w:r w:rsidR="0064305D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коментари</w:t>
      </w: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анкетира</w:t>
      </w:r>
      <w:r w:rsidR="0066727A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них учесника у процесу анализе е</w:t>
      </w: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феката</w:t>
      </w:r>
      <w:r w:rsidR="0064305D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0808D0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може се конс</w:t>
      </w:r>
      <w:r w:rsidR="0064305D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татовати да је Стратешки план </w:t>
      </w:r>
      <w:r w:rsidR="0066727A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2021</w:t>
      </w:r>
      <w:r w:rsidR="00C606CE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66727A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2023 </w:t>
      </w:r>
      <w:r w:rsidR="00D91B09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потпуности </w:t>
      </w:r>
      <w:r w:rsidR="0064305D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о</w:t>
      </w:r>
      <w:r w:rsidR="004529CB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бухватио</w:t>
      </w:r>
      <w:r w:rsidR="0064305D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релевантне обл</w:t>
      </w: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асти.</w:t>
      </w:r>
    </w:p>
    <w:p w14:paraId="38188CF8" w14:textId="58F299B3" w:rsidR="0050483D" w:rsidRPr="004F5D67" w:rsidRDefault="00C606CE" w:rsidP="00C606CE">
      <w:pPr>
        <w:pStyle w:val="Heading3"/>
        <w:rPr>
          <w:lang w:val="sr-Cyrl-CS"/>
        </w:rPr>
      </w:pPr>
      <w:bookmarkStart w:id="19" w:name="_Toc161827229"/>
      <w:r w:rsidRPr="004F5D67">
        <w:rPr>
          <w:lang w:val="sr-Cyrl-CS"/>
        </w:rPr>
        <w:t>Ефикасност</w:t>
      </w:r>
      <w:bookmarkEnd w:id="19"/>
    </w:p>
    <w:p w14:paraId="7ECC6049" w14:textId="77777777" w:rsidR="00C606CE" w:rsidRPr="004F5D67" w:rsidRDefault="00C606CE" w:rsidP="009E34BA">
      <w:pPr>
        <w:tabs>
          <w:tab w:val="left" w:pos="1338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601BFF8C" w14:textId="2532FFB3" w:rsidR="00490864" w:rsidRPr="004F5D67" w:rsidRDefault="00971D43" w:rsidP="009E34BA">
      <w:pPr>
        <w:tabs>
          <w:tab w:val="left" w:pos="1338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noProof/>
          <w:lang w:val="en-US"/>
        </w:rPr>
        <w:drawing>
          <wp:inline distT="0" distB="0" distL="0" distR="0" wp14:anchorId="30882DDA" wp14:editId="4EE4B919">
            <wp:extent cx="5270500" cy="2872507"/>
            <wp:effectExtent l="0" t="0" r="6350" b="4445"/>
            <wp:docPr id="5" name="Char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="0049086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589BCC8" w14:textId="4D560032" w:rsidR="00490864" w:rsidRPr="004F5D67" w:rsidRDefault="00490864" w:rsidP="009E34BA">
      <w:pPr>
        <w:jc w:val="center"/>
        <w:rPr>
          <w:rFonts w:ascii="Times New Roman" w:hAnsi="Times New Roman" w:cs="Times New Roman"/>
          <w:i/>
          <w:sz w:val="24"/>
          <w:szCs w:val="24"/>
          <w:lang w:val="sr-Cyrl-CS"/>
        </w:rPr>
      </w:pPr>
      <w:bookmarkStart w:id="20" w:name="_Toc161742838"/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Графикон </w:t>
      </w:r>
      <w:r w:rsidR="00722A21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5</w:t>
      </w:r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: </w:t>
      </w:r>
      <w:r w:rsidR="00722A21"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Ефикасност</w:t>
      </w:r>
      <w:bookmarkEnd w:id="20"/>
    </w:p>
    <w:p w14:paraId="65E74B30" w14:textId="607221DB" w:rsidR="00130D2B" w:rsidRPr="004F5D67" w:rsidRDefault="00130D2B" w:rsidP="009E34BA">
      <w:pPr>
        <w:tabs>
          <w:tab w:val="left" w:pos="1338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5A324704" w14:textId="77777777" w:rsidR="006D6059" w:rsidRPr="004F5D67" w:rsidRDefault="006D6059" w:rsidP="009E34BA">
      <w:pPr>
        <w:tabs>
          <w:tab w:val="left" w:pos="1338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31A9CD35" w14:textId="54018FE3" w:rsidR="006D6059" w:rsidRPr="004F5D67" w:rsidRDefault="006D6059" w:rsidP="009E34B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Одговори у сегменту ефикасности указују да су </w:t>
      </w:r>
      <w:r w:rsidR="00BC584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изабрани 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параметри у имплементацији Страте</w:t>
      </w:r>
      <w:r w:rsidR="0010474B" w:rsidRPr="004F5D67">
        <w:rPr>
          <w:rFonts w:ascii="Times New Roman" w:hAnsi="Times New Roman" w:cs="Times New Roman"/>
          <w:sz w:val="24"/>
          <w:szCs w:val="24"/>
          <w:lang w:val="sr-Cyrl-CS"/>
        </w:rPr>
        <w:t>шког плана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727A" w:rsidRPr="004F5D67">
        <w:rPr>
          <w:rFonts w:ascii="Times New Roman" w:hAnsi="Times New Roman" w:cs="Times New Roman"/>
          <w:sz w:val="24"/>
          <w:szCs w:val="24"/>
          <w:lang w:val="sr-Cyrl-CS"/>
        </w:rPr>
        <w:t>2021</w:t>
      </w:r>
      <w:r w:rsidR="00C606CE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66727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2023 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оцењени средњом оценом</w:t>
      </w:r>
      <w:r w:rsidR="00C606CE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4,</w:t>
      </w:r>
      <w:r w:rsidR="00303286" w:rsidRPr="004F5D67">
        <w:rPr>
          <w:rFonts w:ascii="Times New Roman" w:hAnsi="Times New Roman" w:cs="Times New Roman"/>
          <w:sz w:val="24"/>
          <w:szCs w:val="24"/>
          <w:lang w:val="sr-Cyrl-CS"/>
        </w:rPr>
        <w:t>39</w:t>
      </w:r>
      <w:r w:rsidR="008D5819" w:rsidRPr="004F5D67">
        <w:rPr>
          <w:rFonts w:ascii="Times New Roman" w:hAnsi="Times New Roman" w:cs="Times New Roman"/>
          <w:sz w:val="24"/>
          <w:szCs w:val="24"/>
          <w:lang w:val="sr-Cyrl-CS"/>
        </w:rPr>
        <w:t>/5,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03286" w:rsidRPr="004F5D67">
        <w:rPr>
          <w:rFonts w:ascii="Times New Roman" w:hAnsi="Times New Roman" w:cs="Times New Roman"/>
          <w:sz w:val="24"/>
          <w:szCs w:val="24"/>
          <w:lang w:val="sr-Cyrl-CS"/>
        </w:rPr>
        <w:t>што је скоро у истом нивоу као и к</w:t>
      </w:r>
      <w:r w:rsidR="008D5819" w:rsidRPr="004F5D67">
        <w:rPr>
          <w:rFonts w:ascii="Times New Roman" w:hAnsi="Times New Roman" w:cs="Times New Roman"/>
          <w:sz w:val="24"/>
          <w:szCs w:val="24"/>
          <w:lang w:val="sr-Cyrl-CS"/>
        </w:rPr>
        <w:t>од оцене Стр</w:t>
      </w:r>
      <w:r w:rsidR="009F4075" w:rsidRPr="004F5D6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D5819" w:rsidRPr="004F5D67">
        <w:rPr>
          <w:rFonts w:ascii="Times New Roman" w:hAnsi="Times New Roman" w:cs="Times New Roman"/>
          <w:sz w:val="24"/>
          <w:szCs w:val="24"/>
          <w:lang w:val="sr-Cyrl-CS"/>
        </w:rPr>
        <w:t>тегије</w:t>
      </w:r>
      <w:r w:rsidR="0010474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2017</w:t>
      </w:r>
      <w:r w:rsidR="00C606CE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10474B" w:rsidRPr="004F5D67">
        <w:rPr>
          <w:rFonts w:ascii="Times New Roman" w:hAnsi="Times New Roman" w:cs="Times New Roman"/>
          <w:sz w:val="24"/>
          <w:szCs w:val="24"/>
          <w:lang w:val="sr-Cyrl-CS"/>
        </w:rPr>
        <w:t>2020</w:t>
      </w:r>
      <w:r w:rsidR="0012612A" w:rsidRPr="004F5D67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91B0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2612A" w:rsidRPr="004F5D67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8D5819" w:rsidRPr="004F5D67">
        <w:rPr>
          <w:rFonts w:ascii="Times New Roman" w:hAnsi="Times New Roman" w:cs="Times New Roman"/>
          <w:sz w:val="24"/>
          <w:szCs w:val="24"/>
          <w:lang w:val="sr-Cyrl-CS"/>
        </w:rPr>
        <w:t>апаж</w:t>
      </w:r>
      <w:r w:rsidR="00D91B09" w:rsidRPr="004F5D67">
        <w:rPr>
          <w:rFonts w:ascii="Times New Roman" w:hAnsi="Times New Roman" w:cs="Times New Roman"/>
          <w:sz w:val="24"/>
          <w:szCs w:val="24"/>
          <w:lang w:val="sr-Cyrl-CS"/>
        </w:rPr>
        <w:t>ена</w:t>
      </w:r>
      <w:r w:rsidR="0012612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је адекватнија</w:t>
      </w:r>
      <w:r w:rsidR="008D5819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утрошеност средстава</w:t>
      </w:r>
      <w:r w:rsidR="008C289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12612A" w:rsidRPr="004F5D67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66727A" w:rsidRPr="004F5D67">
        <w:rPr>
          <w:rFonts w:ascii="Times New Roman" w:hAnsi="Times New Roman" w:cs="Times New Roman"/>
          <w:sz w:val="24"/>
          <w:szCs w:val="24"/>
          <w:lang w:val="sr-Cyrl-CS"/>
        </w:rPr>
        <w:t>оступање сходно</w:t>
      </w:r>
      <w:r w:rsidR="0012612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утврђени</w:t>
      </w:r>
      <w:r w:rsidR="0066727A" w:rsidRPr="004F5D67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174DD1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роков</w:t>
      </w:r>
      <w:r w:rsidR="0066727A" w:rsidRPr="004F5D67">
        <w:rPr>
          <w:rFonts w:ascii="Times New Roman" w:hAnsi="Times New Roman" w:cs="Times New Roman"/>
          <w:sz w:val="24"/>
          <w:szCs w:val="24"/>
          <w:lang w:val="sr-Cyrl-CS"/>
        </w:rPr>
        <w:t>има</w:t>
      </w:r>
      <w:r w:rsidR="00174DD1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, с тим </w:t>
      </w:r>
      <w:r w:rsidR="0066727A" w:rsidRPr="004F5D67">
        <w:rPr>
          <w:rFonts w:ascii="Times New Roman" w:hAnsi="Times New Roman" w:cs="Times New Roman"/>
          <w:sz w:val="24"/>
          <w:szCs w:val="24"/>
          <w:lang w:val="sr-Cyrl-CS"/>
        </w:rPr>
        <w:t>што</w:t>
      </w:r>
      <w:r w:rsidR="008C289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је Стратешки</w:t>
      </w:r>
      <w:r w:rsidR="00174DD1" w:rsidRPr="004F5D67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8C289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план</w:t>
      </w:r>
      <w:r w:rsidR="00174DD1" w:rsidRPr="004F5D67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66727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2021</w:t>
      </w:r>
      <w:r w:rsidR="00C606CE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66727A" w:rsidRPr="004F5D67">
        <w:rPr>
          <w:rFonts w:ascii="Times New Roman" w:hAnsi="Times New Roman" w:cs="Times New Roman"/>
          <w:sz w:val="24"/>
          <w:szCs w:val="24"/>
          <w:lang w:val="sr-Cyrl-CS"/>
        </w:rPr>
        <w:t>2023</w:t>
      </w:r>
      <w:r w:rsidR="00174DD1" w:rsidRPr="004F5D67">
        <w:rPr>
          <w:rFonts w:ascii="Times New Roman" w:hAnsi="Times New Roman" w:cs="Times New Roman"/>
          <w:sz w:val="24"/>
          <w:szCs w:val="24"/>
          <w:lang w:val="sr-Cyrl-CS"/>
        </w:rPr>
        <w:t>, као</w:t>
      </w:r>
      <w:r w:rsidR="008C289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2254C" w:rsidRPr="004F5D67">
        <w:rPr>
          <w:rFonts w:ascii="Times New Roman" w:hAnsi="Times New Roman" w:cs="Times New Roman"/>
          <w:sz w:val="24"/>
          <w:szCs w:val="24"/>
          <w:lang w:val="sr-Cyrl-CS"/>
        </w:rPr>
        <w:t>крајњи</w:t>
      </w:r>
      <w:r w:rsidR="008C289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рок </w:t>
      </w:r>
      <w:r w:rsidR="005B1B81" w:rsidRPr="004F5D67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8C289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174DD1" w:rsidRPr="004F5D67">
        <w:rPr>
          <w:rFonts w:ascii="Times New Roman" w:hAnsi="Times New Roman" w:cs="Times New Roman"/>
          <w:sz w:val="24"/>
          <w:szCs w:val="24"/>
          <w:lang w:val="sr-Cyrl-CS"/>
        </w:rPr>
        <w:t>спровођење активности предвиђен последњи квартал</w:t>
      </w:r>
      <w:r w:rsidR="00C606CE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202</w:t>
      </w:r>
      <w:r w:rsidR="00174DD1" w:rsidRPr="004F5D67">
        <w:rPr>
          <w:rFonts w:ascii="Times New Roman" w:hAnsi="Times New Roman" w:cs="Times New Roman"/>
          <w:sz w:val="24"/>
          <w:szCs w:val="24"/>
          <w:lang w:val="sr-Cyrl-CS"/>
        </w:rPr>
        <w:t>3. године</w:t>
      </w:r>
      <w:r w:rsidR="008C289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, што је </w:t>
      </w:r>
      <w:r w:rsidR="004F1901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резултирало </w:t>
      </w:r>
      <w:r w:rsidR="00B56404" w:rsidRPr="004F5D67">
        <w:rPr>
          <w:rFonts w:ascii="Times New Roman" w:hAnsi="Times New Roman" w:cs="Times New Roman"/>
          <w:sz w:val="24"/>
          <w:szCs w:val="24"/>
          <w:lang w:val="sr-Cyrl-CS"/>
        </w:rPr>
        <w:t>реализацијом</w:t>
      </w:r>
      <w:r w:rsidR="004F1901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велик</w:t>
      </w:r>
      <w:r w:rsidR="00B56404" w:rsidRPr="004F5D67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4F1901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број</w:t>
      </w:r>
      <w:r w:rsidR="00B56404" w:rsidRPr="004F5D6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F1901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активности </w:t>
      </w:r>
      <w:r w:rsidR="00B5640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у овом </w:t>
      </w:r>
      <w:r w:rsidR="00054CD4" w:rsidRPr="004F5D67">
        <w:rPr>
          <w:rFonts w:ascii="Times New Roman" w:hAnsi="Times New Roman" w:cs="Times New Roman"/>
          <w:sz w:val="24"/>
          <w:szCs w:val="24"/>
          <w:lang w:val="sr-Cyrl-CS"/>
        </w:rPr>
        <w:t>интервалу</w:t>
      </w:r>
      <w:r w:rsidR="004F1901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6727A" w:rsidRPr="004F5D67">
        <w:rPr>
          <w:rFonts w:ascii="Times New Roman" w:hAnsi="Times New Roman" w:cs="Times New Roman"/>
          <w:sz w:val="24"/>
          <w:szCs w:val="24"/>
          <w:lang w:val="sr-Cyrl-CS"/>
        </w:rPr>
        <w:t>Препоручено</w:t>
      </w:r>
      <w:r w:rsidR="00BC5846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6727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је да се </w:t>
      </w:r>
      <w:r w:rsidR="00613C8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активности </w:t>
      </w:r>
      <w:r w:rsidR="0066727A" w:rsidRPr="004F5D67">
        <w:rPr>
          <w:rFonts w:ascii="Times New Roman" w:hAnsi="Times New Roman" w:cs="Times New Roman"/>
          <w:sz w:val="24"/>
          <w:szCs w:val="24"/>
          <w:lang w:val="sr-Cyrl-CS"/>
        </w:rPr>
        <w:t>у Стратешком плану</w:t>
      </w:r>
      <w:r w:rsidR="00227EA8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2024</w:t>
      </w:r>
      <w:r w:rsidR="00C606CE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66727A" w:rsidRPr="004F5D67">
        <w:rPr>
          <w:rFonts w:ascii="Times New Roman" w:hAnsi="Times New Roman" w:cs="Times New Roman"/>
          <w:sz w:val="24"/>
          <w:szCs w:val="24"/>
          <w:lang w:val="sr-Cyrl-CS"/>
        </w:rPr>
        <w:t>202</w:t>
      </w:r>
      <w:r w:rsidR="00227EA8" w:rsidRPr="004F5D67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66727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13C8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предвиђају </w:t>
      </w:r>
      <w:r w:rsidR="00054CD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613C8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годишњем </w:t>
      </w:r>
      <w:r w:rsidR="00054CD4" w:rsidRPr="004F5D67">
        <w:rPr>
          <w:rFonts w:ascii="Times New Roman" w:hAnsi="Times New Roman" w:cs="Times New Roman"/>
          <w:sz w:val="24"/>
          <w:szCs w:val="24"/>
          <w:lang w:val="sr-Cyrl-CS"/>
        </w:rPr>
        <w:t>нивоу</w:t>
      </w:r>
      <w:r w:rsidR="00613C8B" w:rsidRPr="004F5D67">
        <w:rPr>
          <w:rFonts w:ascii="Times New Roman" w:hAnsi="Times New Roman" w:cs="Times New Roman"/>
          <w:sz w:val="24"/>
          <w:szCs w:val="24"/>
          <w:lang w:val="sr-Cyrl-CS"/>
        </w:rPr>
        <w:t>, а не трогодишњем,</w:t>
      </w:r>
      <w:r w:rsidR="00054CD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као до сада,</w:t>
      </w:r>
      <w:r w:rsidR="00613C8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што </w:t>
      </w:r>
      <w:r w:rsidR="00B5640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="00C606CE" w:rsidRPr="004F5D67">
        <w:rPr>
          <w:rFonts w:ascii="Times New Roman" w:hAnsi="Times New Roman" w:cs="Times New Roman"/>
          <w:sz w:val="24"/>
          <w:szCs w:val="24"/>
          <w:lang w:val="sr-Cyrl-CS"/>
        </w:rPr>
        <w:t>омо</w:t>
      </w:r>
      <w:r w:rsidR="00613C8B" w:rsidRPr="004F5D67">
        <w:rPr>
          <w:rFonts w:ascii="Times New Roman" w:hAnsi="Times New Roman" w:cs="Times New Roman"/>
          <w:sz w:val="24"/>
          <w:szCs w:val="24"/>
          <w:lang w:val="sr-Cyrl-CS"/>
        </w:rPr>
        <w:t>гућ</w:t>
      </w:r>
      <w:r w:rsidR="00B56404" w:rsidRPr="004F5D67">
        <w:rPr>
          <w:rFonts w:ascii="Times New Roman" w:hAnsi="Times New Roman" w:cs="Times New Roman"/>
          <w:sz w:val="24"/>
          <w:szCs w:val="24"/>
          <w:lang w:val="sr-Cyrl-CS"/>
        </w:rPr>
        <w:t>ити</w:t>
      </w:r>
      <w:r w:rsidR="00613C8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90864" w:rsidRPr="004F5D67">
        <w:rPr>
          <w:rFonts w:ascii="Times New Roman" w:hAnsi="Times New Roman" w:cs="Times New Roman"/>
          <w:sz w:val="24"/>
          <w:szCs w:val="24"/>
          <w:lang w:val="sr-Cyrl-CS"/>
        </w:rPr>
        <w:t>фреквентније уочавање препрека</w:t>
      </w:r>
      <w:r w:rsidR="00C2254C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49086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њихово </w:t>
      </w:r>
      <w:r w:rsidR="00B5640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благовремено </w:t>
      </w:r>
      <w:r w:rsidR="00490864" w:rsidRPr="004F5D67">
        <w:rPr>
          <w:rFonts w:ascii="Times New Roman" w:hAnsi="Times New Roman" w:cs="Times New Roman"/>
          <w:sz w:val="24"/>
          <w:szCs w:val="24"/>
          <w:lang w:val="sr-Cyrl-CS"/>
        </w:rPr>
        <w:t>откл</w:t>
      </w:r>
      <w:r w:rsidR="009F4075" w:rsidRPr="004F5D67">
        <w:rPr>
          <w:rFonts w:ascii="Times New Roman" w:hAnsi="Times New Roman" w:cs="Times New Roman"/>
          <w:sz w:val="24"/>
          <w:szCs w:val="24"/>
          <w:lang w:val="sr-Cyrl-CS"/>
        </w:rPr>
        <w:t>ањање</w:t>
      </w:r>
      <w:r w:rsidR="00C3464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490864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7EA8" w:rsidRPr="004F5D67">
        <w:rPr>
          <w:rFonts w:ascii="Times New Roman" w:hAnsi="Times New Roman" w:cs="Times New Roman"/>
          <w:sz w:val="24"/>
          <w:szCs w:val="24"/>
          <w:lang w:val="sr-Cyrl-CS"/>
        </w:rPr>
        <w:t>евентуално утврђивање алтернативних решења</w:t>
      </w:r>
      <w:r w:rsidR="00C3464F" w:rsidRPr="004F5D6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A56EA92" w14:textId="4D628C3D" w:rsidR="004260ED" w:rsidRPr="004F5D67" w:rsidRDefault="004260ED" w:rsidP="009E34BA">
      <w:pPr>
        <w:tabs>
          <w:tab w:val="left" w:pos="1338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58AAD6A0" w14:textId="20C1E3F9" w:rsidR="00733298" w:rsidRPr="004F5D67" w:rsidRDefault="00733298" w:rsidP="009E34BA">
      <w:pPr>
        <w:tabs>
          <w:tab w:val="left" w:pos="1338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49539023" w14:textId="679E3529" w:rsidR="00733298" w:rsidRPr="004F5D67" w:rsidRDefault="00733298" w:rsidP="009E34BA">
      <w:pPr>
        <w:tabs>
          <w:tab w:val="left" w:pos="1338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6A59A9" w14:textId="6B97A4E5" w:rsidR="00733298" w:rsidRPr="004F5D67" w:rsidRDefault="00733298" w:rsidP="009E34BA">
      <w:pPr>
        <w:tabs>
          <w:tab w:val="left" w:pos="1338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9DD1D7" w14:textId="26497EF5" w:rsidR="00733298" w:rsidRPr="004F5D67" w:rsidRDefault="00733298" w:rsidP="009E34BA">
      <w:pPr>
        <w:tabs>
          <w:tab w:val="left" w:pos="1338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6C98460E" w14:textId="5E5BFD88" w:rsidR="00733298" w:rsidRDefault="00733298" w:rsidP="009E34BA">
      <w:pPr>
        <w:tabs>
          <w:tab w:val="left" w:pos="1338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1A3778" w14:textId="77777777" w:rsidR="00681EFB" w:rsidRPr="004F5D67" w:rsidRDefault="00681EFB" w:rsidP="009E34BA">
      <w:pPr>
        <w:tabs>
          <w:tab w:val="left" w:pos="1338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3770B152" w14:textId="66C51D04" w:rsidR="00331EC3" w:rsidRPr="004F5D67" w:rsidRDefault="00662221" w:rsidP="00C606CE">
      <w:pPr>
        <w:pStyle w:val="Heading3"/>
        <w:rPr>
          <w:lang w:val="sr-Cyrl-CS"/>
        </w:rPr>
      </w:pPr>
      <w:bookmarkStart w:id="21" w:name="_Toc161827230"/>
      <w:r w:rsidRPr="004F5D67">
        <w:rPr>
          <w:lang w:val="sr-Cyrl-CS"/>
        </w:rPr>
        <w:lastRenderedPageBreak/>
        <w:t>Одрживост</w:t>
      </w:r>
      <w:bookmarkEnd w:id="21"/>
    </w:p>
    <w:p w14:paraId="04A10D33" w14:textId="77777777" w:rsidR="00331EC3" w:rsidRPr="004F5D67" w:rsidRDefault="00331EC3" w:rsidP="009E34BA">
      <w:pPr>
        <w:tabs>
          <w:tab w:val="left" w:pos="1338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7B33139C" w14:textId="2D3B7779" w:rsidR="00D81147" w:rsidRPr="004F5D67" w:rsidRDefault="00971D43" w:rsidP="009E34BA">
      <w:pPr>
        <w:tabs>
          <w:tab w:val="left" w:pos="1338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noProof/>
          <w:lang w:val="en-US"/>
        </w:rPr>
        <w:drawing>
          <wp:inline distT="0" distB="0" distL="0" distR="0" wp14:anchorId="5D633525" wp14:editId="3FA3C3D5">
            <wp:extent cx="5270500" cy="2089588"/>
            <wp:effectExtent l="0" t="0" r="6350" b="6350"/>
            <wp:docPr id="3" name="Char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69D7FF40" w14:textId="77777777" w:rsidR="00331EC3" w:rsidRPr="004F5D67" w:rsidRDefault="00331EC3" w:rsidP="009E34BA">
      <w:pPr>
        <w:tabs>
          <w:tab w:val="left" w:pos="1338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307C4834" w14:textId="00874986" w:rsidR="00722A21" w:rsidRPr="004F5D67" w:rsidRDefault="00722A21" w:rsidP="009E34BA">
      <w:pPr>
        <w:jc w:val="center"/>
        <w:rPr>
          <w:rFonts w:ascii="Times New Roman" w:hAnsi="Times New Roman" w:cs="Times New Roman"/>
          <w:i/>
          <w:sz w:val="24"/>
          <w:szCs w:val="24"/>
          <w:lang w:val="sr-Cyrl-CS"/>
        </w:rPr>
      </w:pPr>
      <w:bookmarkStart w:id="22" w:name="_Toc161742840"/>
      <w:r w:rsidRPr="004F5D67">
        <w:rPr>
          <w:rFonts w:ascii="Times New Roman" w:hAnsi="Times New Roman" w:cs="Times New Roman"/>
          <w:i/>
          <w:sz w:val="24"/>
          <w:szCs w:val="24"/>
          <w:lang w:val="sr-Cyrl-CS"/>
        </w:rPr>
        <w:t>Графикон 6: Одрживост</w:t>
      </w:r>
      <w:bookmarkEnd w:id="22"/>
    </w:p>
    <w:p w14:paraId="1E682600" w14:textId="77777777" w:rsidR="00331EC3" w:rsidRPr="004F5D67" w:rsidRDefault="00331EC3" w:rsidP="009E34BA">
      <w:pPr>
        <w:tabs>
          <w:tab w:val="left" w:pos="1338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985190" w14:textId="2734F979" w:rsidR="00910C2B" w:rsidRPr="004F5D67" w:rsidRDefault="00331EC3" w:rsidP="00733298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Средња оцена у области одрживости је </w:t>
      </w:r>
      <w:r w:rsidR="001B1602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такође</w:t>
      </w:r>
      <w:r w:rsidR="00054CD4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висока (4,</w:t>
      </w:r>
      <w:r w:rsidR="00041E14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59</w:t>
      </w: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/5). Одговори упућују на то да је АФКОС </w:t>
      </w:r>
      <w:r w:rsidR="00B4213F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унапредио координациону</w:t>
      </w: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улог</w:t>
      </w:r>
      <w:r w:rsidR="00B4213F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у</w:t>
      </w: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2254C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(с</w:t>
      </w:r>
      <w:r w:rsidR="00054CD4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a 4,40 на</w:t>
      </w:r>
      <w:r w:rsidR="00D7246A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4,78) </w:t>
      </w: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што не искључује потребу за </w:t>
      </w:r>
      <w:r w:rsidR="00D7246A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одржавањем високог нивоа </w:t>
      </w: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</w:t>
      </w:r>
      <w:r w:rsidR="00054CD4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наредном периоду</w:t>
      </w: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="00426B74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Такође</w:t>
      </w:r>
      <w:r w:rsidR="00054CD4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426B74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побољшани су механи</w:t>
      </w:r>
      <w:r w:rsidR="005B1B81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з</w:t>
      </w:r>
      <w:r w:rsidR="00426B74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ми у </w:t>
      </w:r>
      <w:r w:rsidR="00054CD4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погледу</w:t>
      </w:r>
      <w:r w:rsidR="00426B74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дуготрајне одрживости и кор</w:t>
      </w:r>
      <w:r w:rsidR="00054CD4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исти од Стратешког плана</w:t>
      </w:r>
      <w:r w:rsidR="009158FC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2021</w:t>
      </w:r>
      <w:r w:rsidR="009158FC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B4213F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2023</w:t>
      </w:r>
      <w:r w:rsidR="00054CD4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426B74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054CD4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док</w:t>
      </w:r>
      <w:r w:rsidR="00426B74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054CD4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је </w:t>
      </w:r>
      <w:r w:rsidR="00426B74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не</w:t>
      </w:r>
      <w:r w:rsidR="007F61E4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знатно</w:t>
      </w:r>
      <w:r w:rsidR="00426B74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нижа оцена </w:t>
      </w:r>
      <w:r w:rsidR="00B4213F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у вези с</w:t>
      </w:r>
      <w:r w:rsidR="00426B74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а </w:t>
      </w:r>
      <w:r w:rsidR="00C81F83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институционални</w:t>
      </w:r>
      <w:r w:rsidR="00B4213F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м</w:t>
      </w:r>
      <w:r w:rsidR="00C81F83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капацитет</w:t>
      </w:r>
      <w:r w:rsidR="00B4213F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ом</w:t>
      </w:r>
      <w:r w:rsidR="00C81F83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последица флуктуације кадрова.</w:t>
      </w:r>
    </w:p>
    <w:p w14:paraId="00425318" w14:textId="77777777" w:rsidR="00086F35" w:rsidRPr="004F5D67" w:rsidRDefault="00086F35" w:rsidP="009E34B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202A4AD" w14:textId="091BFCA1" w:rsidR="00086F35" w:rsidRPr="004F5D67" w:rsidRDefault="00502FDC" w:rsidP="009E34BA">
      <w:pPr>
        <w:pStyle w:val="Heading1"/>
        <w:spacing w:before="0"/>
        <w:rPr>
          <w:sz w:val="24"/>
          <w:szCs w:val="24"/>
          <w:lang w:val="sr-Cyrl-CS"/>
        </w:rPr>
      </w:pPr>
      <w:bookmarkStart w:id="23" w:name="_Toc161827231"/>
      <w:bookmarkStart w:id="24" w:name="_Toc32166174"/>
      <w:proofErr w:type="spellStart"/>
      <w:r w:rsidRPr="004F5D67">
        <w:rPr>
          <w:sz w:val="24"/>
          <w:szCs w:val="24"/>
          <w:lang w:val="sr-Cyrl-CS"/>
        </w:rPr>
        <w:t>IV</w:t>
      </w:r>
      <w:proofErr w:type="spellEnd"/>
      <w:r w:rsidR="00681EFB">
        <w:rPr>
          <w:sz w:val="24"/>
          <w:szCs w:val="24"/>
          <w:lang w:val="sr-Cyrl-CS"/>
        </w:rPr>
        <w:t>.</w:t>
      </w:r>
      <w:r w:rsidRPr="004F5D67">
        <w:rPr>
          <w:sz w:val="24"/>
          <w:szCs w:val="24"/>
          <w:lang w:val="sr-Cyrl-CS"/>
        </w:rPr>
        <w:t xml:space="preserve"> </w:t>
      </w:r>
      <w:r w:rsidR="00086F35" w:rsidRPr="004F5D67">
        <w:rPr>
          <w:sz w:val="24"/>
          <w:szCs w:val="24"/>
          <w:lang w:val="sr-Cyrl-CS"/>
        </w:rPr>
        <w:t>Анализа ризика</w:t>
      </w:r>
      <w:bookmarkEnd w:id="23"/>
      <w:r w:rsidR="00086F35" w:rsidRPr="004F5D67">
        <w:rPr>
          <w:sz w:val="24"/>
          <w:szCs w:val="24"/>
          <w:lang w:val="sr-Cyrl-CS"/>
        </w:rPr>
        <w:t xml:space="preserve"> </w:t>
      </w:r>
      <w:bookmarkEnd w:id="24"/>
    </w:p>
    <w:p w14:paraId="7A745331" w14:textId="77777777" w:rsidR="00086F35" w:rsidRPr="004F5D67" w:rsidRDefault="00086F35" w:rsidP="009E34BA">
      <w:pPr>
        <w:pStyle w:val="Heading1"/>
        <w:spacing w:before="0"/>
        <w:ind w:firstLine="0"/>
        <w:rPr>
          <w:sz w:val="24"/>
          <w:szCs w:val="24"/>
          <w:lang w:val="sr-Cyrl-CS"/>
        </w:rPr>
      </w:pPr>
    </w:p>
    <w:p w14:paraId="328C6C76" w14:textId="6B3D83F5" w:rsidR="009158FC" w:rsidRPr="004F5D67" w:rsidRDefault="00CB35FE" w:rsidP="00733298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Анализом ризика разматран је начин функционисања система заштите финансијских интереса ЕУ по фазама циклуса борбе против превара. За потребе </w:t>
      </w:r>
      <w:r w:rsidR="0072763E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ове анализе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2763E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узете су у обзир три основне фазе, и то</w:t>
      </w:r>
      <w:r w:rsidR="00B77BAF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</w:p>
    <w:p w14:paraId="3318241F" w14:textId="740A791D" w:rsidR="00B77BAF" w:rsidRPr="004F5D67" w:rsidRDefault="00B77BAF" w:rsidP="009E34BA">
      <w:pPr>
        <w:pStyle w:val="ListParagraph"/>
        <w:numPr>
          <w:ilvl w:val="1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фаза превентивно</w:t>
      </w:r>
      <w:r w:rsidR="0072763E" w:rsidRPr="004F5D67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деловањ</w:t>
      </w:r>
      <w:r w:rsidR="0072763E" w:rsidRPr="004F5D6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на з</w:t>
      </w:r>
      <w:r w:rsidR="0072763E" w:rsidRPr="004F5D67">
        <w:rPr>
          <w:rFonts w:ascii="Times New Roman" w:hAnsi="Times New Roman" w:cs="Times New Roman"/>
          <w:sz w:val="24"/>
          <w:szCs w:val="24"/>
          <w:lang w:val="sr-Cyrl-CS"/>
        </w:rPr>
        <w:t>аштити финансијских интереса ЕУ;</w:t>
      </w:r>
    </w:p>
    <w:p w14:paraId="5424B142" w14:textId="0DF487FA" w:rsidR="00B77BAF" w:rsidRPr="004F5D67" w:rsidRDefault="00B77BAF" w:rsidP="009E34BA">
      <w:pPr>
        <w:pStyle w:val="ListParagraph"/>
        <w:numPr>
          <w:ilvl w:val="1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фаза рано</w:t>
      </w:r>
      <w:r w:rsidR="0072763E" w:rsidRPr="004F5D67">
        <w:rPr>
          <w:rFonts w:ascii="Times New Roman" w:hAnsi="Times New Roman" w:cs="Times New Roman"/>
          <w:sz w:val="24"/>
          <w:szCs w:val="24"/>
          <w:lang w:val="sr-Cyrl-CS"/>
        </w:rPr>
        <w:t>г откривања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>, пријављивањ</w:t>
      </w:r>
      <w:r w:rsidR="0072763E" w:rsidRPr="004F5D6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и поступањ</w:t>
      </w:r>
      <w:r w:rsidR="0072763E" w:rsidRPr="004F5D6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по непра</w:t>
      </w:r>
      <w:r w:rsidR="0072763E" w:rsidRPr="004F5D67">
        <w:rPr>
          <w:rFonts w:ascii="Times New Roman" w:hAnsi="Times New Roman" w:cs="Times New Roman"/>
          <w:sz w:val="24"/>
          <w:szCs w:val="24"/>
          <w:lang w:val="sr-Cyrl-CS"/>
        </w:rPr>
        <w:t>вилностима и сумњама на превару;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</w:p>
    <w:p w14:paraId="08520D1A" w14:textId="75932D0D" w:rsidR="00B77BAF" w:rsidRPr="004F5D67" w:rsidRDefault="00B77BAF" w:rsidP="009E34BA">
      <w:pPr>
        <w:pStyle w:val="ListParagraph"/>
        <w:numPr>
          <w:ilvl w:val="1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фаза спровођењ</w:t>
      </w:r>
      <w:r w:rsidR="0072763E" w:rsidRPr="004F5D6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истражних радњи у вези са злоупотребом финансијских </w:t>
      </w:r>
      <w:r w:rsidR="00CA6DDE" w:rsidRPr="004F5D67">
        <w:rPr>
          <w:rFonts w:ascii="Times New Roman" w:hAnsi="Times New Roman" w:cs="Times New Roman"/>
          <w:sz w:val="24"/>
          <w:szCs w:val="24"/>
          <w:lang w:val="sr-Cyrl-CS"/>
        </w:rPr>
        <w:t>средстава ЕУ, праћења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судских поступака и повраћај</w:t>
      </w:r>
      <w:r w:rsidR="00CA6DDE" w:rsidRPr="004F5D67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финансијских средстава у буџет Републике Србије. </w:t>
      </w:r>
    </w:p>
    <w:p w14:paraId="647F6F02" w14:textId="77777777" w:rsidR="00B77BAF" w:rsidRPr="004F5D67" w:rsidRDefault="00B77BAF" w:rsidP="009E34BA">
      <w:pPr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74E649EF" w14:textId="78265EE8" w:rsidR="002F0800" w:rsidRPr="004F5D67" w:rsidRDefault="00B77BAF" w:rsidP="009E34BA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Такође, </w:t>
      </w:r>
      <w:r w:rsidR="00CB35FE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узета је у обзир и међуинституционална координација и сарадња, која прожима све фазе у домену сарадње релевантних институција. Поменутим поступком идентификовани су и описани ризици са могућим узроцима и спроведена је квалитативна анализа и процена укупне изложености ризику.</w:t>
      </w:r>
    </w:p>
    <w:p w14:paraId="7313E503" w14:textId="45021D8E" w:rsidR="009158FC" w:rsidRPr="004F5D67" w:rsidRDefault="009158FC" w:rsidP="009E34BA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7D34B9A2" w14:textId="77777777" w:rsidR="009158FC" w:rsidRPr="004F5D67" w:rsidRDefault="009158FC" w:rsidP="009E34BA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1AF51FB" w14:textId="7D81BB06" w:rsidR="002F0800" w:rsidRPr="004F5D67" w:rsidRDefault="002F0800" w:rsidP="009E34BA">
      <w:pPr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74F0DF45" w14:textId="413BDD74" w:rsidR="00643B06" w:rsidRPr="004F5D67" w:rsidRDefault="00643B06" w:rsidP="009E34BA">
      <w:pPr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30AB747F" w14:textId="53A206C8" w:rsidR="00643B06" w:rsidRPr="004F5D67" w:rsidRDefault="00643B06" w:rsidP="009E34BA">
      <w:pPr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09EB091E" w14:textId="2DBE587D" w:rsidR="00643B06" w:rsidRPr="004F5D67" w:rsidRDefault="00643B06" w:rsidP="009E34BA">
      <w:pPr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7A557472" w14:textId="77777777" w:rsidR="00643B06" w:rsidRPr="004F5D67" w:rsidRDefault="00643B06" w:rsidP="009E34BA">
      <w:pPr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300D194A" w14:textId="7618536D" w:rsidR="00643B06" w:rsidRDefault="00643B06" w:rsidP="0051169E">
      <w:pPr>
        <w:pStyle w:val="ListParagraph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1E457828" w14:textId="6B814CA1" w:rsidR="00681EFB" w:rsidRDefault="00681EFB" w:rsidP="0051169E">
      <w:pPr>
        <w:pStyle w:val="ListParagraph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5A659B59" w14:textId="77777777" w:rsidR="00681EFB" w:rsidRPr="004F5D67" w:rsidRDefault="00681EFB" w:rsidP="0051169E">
      <w:pPr>
        <w:pStyle w:val="ListParagraph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16E2271B" w14:textId="77777777" w:rsidR="00643B06" w:rsidRPr="004F5D67" w:rsidRDefault="00643B06" w:rsidP="0051169E">
      <w:pPr>
        <w:pStyle w:val="ListParagraph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633FBCE5" w14:textId="77777777" w:rsidR="00643B06" w:rsidRPr="004F5D67" w:rsidRDefault="00643B06" w:rsidP="0051169E">
      <w:pPr>
        <w:pStyle w:val="ListParagraph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6283A870" w14:textId="38DF229D" w:rsidR="0051169E" w:rsidRPr="004F5D67" w:rsidRDefault="00556C39" w:rsidP="000739D3">
      <w:pPr>
        <w:pStyle w:val="ListParagraph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Табела 1</w:t>
      </w:r>
      <w:r w:rsidR="00BB4C97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:</w:t>
      </w:r>
      <w:r w:rsidR="009158FC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Оцена укупне изложености ризицима</w:t>
      </w:r>
      <w:r w:rsidR="00086F35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по фазама циклуса борбе против превара</w:t>
      </w:r>
    </w:p>
    <w:tbl>
      <w:tblPr>
        <w:tblStyle w:val="TableGrid"/>
        <w:tblW w:w="8380" w:type="dxa"/>
        <w:jc w:val="center"/>
        <w:tblLayout w:type="fixed"/>
        <w:tblLook w:val="04A0" w:firstRow="1" w:lastRow="0" w:firstColumn="1" w:lastColumn="0" w:noHBand="0" w:noVBand="1"/>
      </w:tblPr>
      <w:tblGrid>
        <w:gridCol w:w="893"/>
        <w:gridCol w:w="6069"/>
        <w:gridCol w:w="1418"/>
      </w:tblGrid>
      <w:tr w:rsidR="0051169E" w:rsidRPr="004F5D67" w14:paraId="219B1170" w14:textId="77777777" w:rsidTr="0051169E">
        <w:trPr>
          <w:trHeight w:val="536"/>
          <w:tblHeader/>
          <w:jc w:val="center"/>
        </w:trPr>
        <w:tc>
          <w:tcPr>
            <w:tcW w:w="893" w:type="dxa"/>
            <w:shd w:val="clear" w:color="auto" w:fill="D9D9D9" w:themeFill="background1" w:themeFillShade="D9"/>
            <w:vAlign w:val="center"/>
          </w:tcPr>
          <w:p w14:paraId="44DB00A8" w14:textId="77777777" w:rsidR="0051169E" w:rsidRPr="004F5D67" w:rsidRDefault="0051169E" w:rsidP="000739D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Редни број</w:t>
            </w:r>
          </w:p>
        </w:tc>
        <w:tc>
          <w:tcPr>
            <w:tcW w:w="606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B50633" w14:textId="77777777" w:rsidR="0051169E" w:rsidRPr="004F5D67" w:rsidRDefault="0051169E" w:rsidP="000739D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  <w:p w14:paraId="5BBB8BD9" w14:textId="77777777" w:rsidR="0051169E" w:rsidRPr="004F5D67" w:rsidRDefault="0051169E" w:rsidP="000739D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Опис ризика</w:t>
            </w:r>
          </w:p>
          <w:p w14:paraId="44F0DBF3" w14:textId="77777777" w:rsidR="0051169E" w:rsidRPr="004F5D67" w:rsidRDefault="0051169E" w:rsidP="000739D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32C421" w14:textId="77777777" w:rsidR="0051169E" w:rsidRPr="004F5D67" w:rsidRDefault="0051169E" w:rsidP="000739D3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Укупна изложеност ризику</w:t>
            </w:r>
          </w:p>
        </w:tc>
      </w:tr>
      <w:tr w:rsidR="0051169E" w:rsidRPr="004F5D67" w14:paraId="79B1E748" w14:textId="77777777" w:rsidTr="0051169E">
        <w:trPr>
          <w:trHeight w:val="266"/>
          <w:jc w:val="center"/>
        </w:trPr>
        <w:tc>
          <w:tcPr>
            <w:tcW w:w="893" w:type="dxa"/>
            <w:tcBorders>
              <w:right w:val="nil"/>
            </w:tcBorders>
            <w:shd w:val="clear" w:color="auto" w:fill="F2F2F2" w:themeFill="background1" w:themeFillShade="F2"/>
          </w:tcPr>
          <w:p w14:paraId="54F8BB4C" w14:textId="77777777" w:rsidR="0051169E" w:rsidRPr="004F5D67" w:rsidRDefault="0051169E" w:rsidP="000739D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7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3622A1" w14:textId="77777777" w:rsidR="0051169E" w:rsidRPr="004F5D67" w:rsidRDefault="0051169E" w:rsidP="000739D3">
            <w:pPr>
              <w:spacing w:before="60" w:after="60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sr-Cyrl-CS"/>
              </w:rPr>
            </w:pPr>
          </w:p>
          <w:p w14:paraId="68DB7A64" w14:textId="77777777" w:rsidR="0051169E" w:rsidRPr="004F5D67" w:rsidRDefault="0051169E" w:rsidP="000739D3">
            <w:pPr>
              <w:spacing w:before="60" w:after="6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Cyrl-CS"/>
              </w:rPr>
              <w:t>Превентивно деловање на заштити финансијских интереса ЕУ</w:t>
            </w:r>
          </w:p>
          <w:p w14:paraId="46F32A7D" w14:textId="77777777" w:rsidR="0051169E" w:rsidRPr="004F5D67" w:rsidRDefault="0051169E" w:rsidP="000739D3">
            <w:pPr>
              <w:spacing w:before="60" w:after="60"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Cyrl-CS"/>
              </w:rPr>
            </w:pPr>
          </w:p>
        </w:tc>
      </w:tr>
      <w:tr w:rsidR="000739D3" w:rsidRPr="004F5D67" w14:paraId="1A93D2EA" w14:textId="77777777" w:rsidTr="0051169E">
        <w:trPr>
          <w:trHeight w:val="608"/>
          <w:jc w:val="center"/>
        </w:trPr>
        <w:tc>
          <w:tcPr>
            <w:tcW w:w="893" w:type="dxa"/>
          </w:tcPr>
          <w:p w14:paraId="3902A83F" w14:textId="77777777" w:rsidR="000739D3" w:rsidRPr="004F5D67" w:rsidRDefault="000739D3" w:rsidP="000739D3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6069" w:type="dxa"/>
            <w:tcBorders>
              <w:top w:val="single" w:sz="4" w:space="0" w:color="auto"/>
            </w:tcBorders>
          </w:tcPr>
          <w:p w14:paraId="35FD52BA" w14:textId="77777777" w:rsidR="000739D3" w:rsidRPr="004F5D67" w:rsidRDefault="000739D3" w:rsidP="000739D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Неадекватно постављање приоритета задацима у вези са заштитом финансијских интереса ЕУ, као и недовољно утврђена одговорност лица у процесу.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E5B8B7"/>
          </w:tcPr>
          <w:p w14:paraId="525B7B3E" w14:textId="3AC3FEAB" w:rsidR="000739D3" w:rsidRPr="004F5D67" w:rsidRDefault="000739D3" w:rsidP="000739D3">
            <w:pPr>
              <w:spacing w:before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средња</w:t>
            </w:r>
          </w:p>
        </w:tc>
      </w:tr>
      <w:tr w:rsidR="0051169E" w:rsidRPr="004F5D67" w14:paraId="77693C68" w14:textId="77777777" w:rsidTr="0051169E">
        <w:trPr>
          <w:trHeight w:val="356"/>
          <w:jc w:val="center"/>
        </w:trPr>
        <w:tc>
          <w:tcPr>
            <w:tcW w:w="893" w:type="dxa"/>
          </w:tcPr>
          <w:p w14:paraId="340F293C" w14:textId="77777777" w:rsidR="0051169E" w:rsidRPr="004F5D67" w:rsidRDefault="0051169E" w:rsidP="000739D3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6069" w:type="dxa"/>
          </w:tcPr>
          <w:p w14:paraId="44ADAE8D" w14:textId="67FE2D4A" w:rsidR="0051169E" w:rsidRPr="004F5D67" w:rsidRDefault="0051169E" w:rsidP="002340A8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Непрепознавање слабости у процесу управљања финансијским средствима ЕУ или зло</w:t>
            </w:r>
            <w:r w:rsidR="002340A8"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употребљена знања о слабостима</w:t>
            </w: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418" w:type="dxa"/>
            <w:shd w:val="clear" w:color="auto" w:fill="E5B8B7" w:themeFill="accent2" w:themeFillTint="66"/>
          </w:tcPr>
          <w:p w14:paraId="560E2333" w14:textId="77777777" w:rsidR="0051169E" w:rsidRPr="004F5D67" w:rsidRDefault="0051169E" w:rsidP="000739D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средња</w:t>
            </w:r>
          </w:p>
        </w:tc>
      </w:tr>
      <w:tr w:rsidR="0051169E" w:rsidRPr="004F5D67" w14:paraId="0B80C721" w14:textId="77777777" w:rsidTr="0051169E">
        <w:trPr>
          <w:trHeight w:val="527"/>
          <w:jc w:val="center"/>
        </w:trPr>
        <w:tc>
          <w:tcPr>
            <w:tcW w:w="893" w:type="dxa"/>
          </w:tcPr>
          <w:p w14:paraId="1B3F5CAB" w14:textId="77777777" w:rsidR="0051169E" w:rsidRPr="004F5D67" w:rsidRDefault="0051169E" w:rsidP="000739D3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6069" w:type="dxa"/>
            <w:shd w:val="clear" w:color="auto" w:fill="auto"/>
          </w:tcPr>
          <w:p w14:paraId="68D2BB66" w14:textId="77777777" w:rsidR="0051169E" w:rsidRPr="004F5D67" w:rsidRDefault="0051169E" w:rsidP="000739D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Недовољно познавање прописа, процедура, пројектног циклуса, као и недостатак искуства запослених и новозапослених у процесу управљања финансијским средствима ЕУ. </w:t>
            </w:r>
          </w:p>
        </w:tc>
        <w:tc>
          <w:tcPr>
            <w:tcW w:w="1418" w:type="dxa"/>
            <w:shd w:val="clear" w:color="auto" w:fill="E5B8B7"/>
          </w:tcPr>
          <w:p w14:paraId="776C297E" w14:textId="77777777" w:rsidR="0051169E" w:rsidRPr="004F5D67" w:rsidRDefault="0051169E" w:rsidP="000739D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средња</w:t>
            </w:r>
          </w:p>
        </w:tc>
      </w:tr>
      <w:tr w:rsidR="0051169E" w:rsidRPr="004F5D67" w14:paraId="315355BE" w14:textId="77777777" w:rsidTr="0051169E">
        <w:trPr>
          <w:trHeight w:val="527"/>
          <w:jc w:val="center"/>
        </w:trPr>
        <w:tc>
          <w:tcPr>
            <w:tcW w:w="893" w:type="dxa"/>
          </w:tcPr>
          <w:p w14:paraId="6663F64E" w14:textId="77777777" w:rsidR="0051169E" w:rsidRPr="004F5D67" w:rsidRDefault="0051169E" w:rsidP="000739D3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6069" w:type="dxa"/>
            <w:shd w:val="clear" w:color="auto" w:fill="auto"/>
          </w:tcPr>
          <w:p w14:paraId="23ED0CD1" w14:textId="77777777" w:rsidR="0051169E" w:rsidRPr="004F5D67" w:rsidRDefault="0051169E" w:rsidP="000739D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Неблаговремено праћење процеса имплементације одобрених пројеката (уместо од самог почетка прати се у одмаклим фазама).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B8B7"/>
          </w:tcPr>
          <w:p w14:paraId="581178C7" w14:textId="77777777" w:rsidR="0051169E" w:rsidRPr="004F5D67" w:rsidRDefault="0051169E" w:rsidP="000739D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средња</w:t>
            </w:r>
          </w:p>
        </w:tc>
      </w:tr>
      <w:tr w:rsidR="0051169E" w:rsidRPr="004F5D67" w14:paraId="409E502B" w14:textId="77777777" w:rsidTr="0051169E">
        <w:trPr>
          <w:trHeight w:val="527"/>
          <w:jc w:val="center"/>
        </w:trPr>
        <w:tc>
          <w:tcPr>
            <w:tcW w:w="893" w:type="dxa"/>
          </w:tcPr>
          <w:p w14:paraId="650D1FA1" w14:textId="77777777" w:rsidR="0051169E" w:rsidRPr="004F5D67" w:rsidRDefault="0051169E" w:rsidP="000739D3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6069" w:type="dxa"/>
            <w:tcBorders>
              <w:bottom w:val="single" w:sz="4" w:space="0" w:color="auto"/>
            </w:tcBorders>
            <w:shd w:val="clear" w:color="auto" w:fill="auto"/>
          </w:tcPr>
          <w:p w14:paraId="438359E0" w14:textId="77777777" w:rsidR="0051169E" w:rsidRPr="004F5D67" w:rsidRDefault="0051169E" w:rsidP="000739D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Недовољна информисаност јавности, као и корисника и потенцијалних корисника финансијских средстава ЕУ о потреби и важности наменског коришћења тих средстава и сузбијања неправилности и превара.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9594"/>
          </w:tcPr>
          <w:p w14:paraId="211BBFEB" w14:textId="77777777" w:rsidR="0051169E" w:rsidRPr="004F5D67" w:rsidRDefault="0051169E" w:rsidP="000739D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висока</w:t>
            </w:r>
          </w:p>
        </w:tc>
      </w:tr>
      <w:tr w:rsidR="0051169E" w:rsidRPr="004F5D67" w14:paraId="37F57D01" w14:textId="77777777" w:rsidTr="0051169E">
        <w:trPr>
          <w:trHeight w:val="57"/>
          <w:jc w:val="center"/>
        </w:trPr>
        <w:tc>
          <w:tcPr>
            <w:tcW w:w="893" w:type="dxa"/>
            <w:tcBorders>
              <w:right w:val="nil"/>
            </w:tcBorders>
            <w:shd w:val="clear" w:color="auto" w:fill="F2F2F2" w:themeFill="background1" w:themeFillShade="F2"/>
          </w:tcPr>
          <w:p w14:paraId="14766B7F" w14:textId="77777777" w:rsidR="0051169E" w:rsidRPr="004F5D67" w:rsidRDefault="0051169E" w:rsidP="000739D3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7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E06B3DE" w14:textId="77777777" w:rsidR="0051169E" w:rsidRPr="004F5D67" w:rsidRDefault="0051169E" w:rsidP="000739D3">
            <w:pPr>
              <w:spacing w:before="60" w:after="6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/>
              </w:rPr>
            </w:pPr>
          </w:p>
          <w:p w14:paraId="022EFF21" w14:textId="77777777" w:rsidR="0051169E" w:rsidRPr="004F5D67" w:rsidRDefault="0051169E" w:rsidP="000739D3">
            <w:pPr>
              <w:spacing w:before="60" w:after="6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sr-Cyrl-CS"/>
              </w:rPr>
              <w:t>Рано откривање, пријављивање и поступање по неправилностима и сумњама на превару</w:t>
            </w:r>
          </w:p>
          <w:p w14:paraId="5FFE404C" w14:textId="77777777" w:rsidR="0051169E" w:rsidRPr="004F5D67" w:rsidRDefault="0051169E" w:rsidP="000739D3">
            <w:pPr>
              <w:spacing w:before="60" w:after="60"/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</w:pPr>
          </w:p>
        </w:tc>
      </w:tr>
      <w:tr w:rsidR="0051169E" w:rsidRPr="004F5D67" w14:paraId="11D8209F" w14:textId="77777777" w:rsidTr="0051169E">
        <w:trPr>
          <w:trHeight w:val="293"/>
          <w:jc w:val="center"/>
        </w:trPr>
        <w:tc>
          <w:tcPr>
            <w:tcW w:w="893" w:type="dxa"/>
          </w:tcPr>
          <w:p w14:paraId="5FC94E3A" w14:textId="77777777" w:rsidR="0051169E" w:rsidRPr="004F5D67" w:rsidRDefault="0051169E" w:rsidP="000739D3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6069" w:type="dxa"/>
            <w:tcBorders>
              <w:top w:val="single" w:sz="4" w:space="0" w:color="auto"/>
            </w:tcBorders>
          </w:tcPr>
          <w:p w14:paraId="48CAF01F" w14:textId="77777777" w:rsidR="0051169E" w:rsidRPr="004F5D67" w:rsidRDefault="0051169E" w:rsidP="000739D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Занемарљив број пријава неправилности које подносе запослени у систему управљања финансијским средствима ЕУ.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E5B8B7"/>
          </w:tcPr>
          <w:p w14:paraId="2C6AA211" w14:textId="77777777" w:rsidR="0051169E" w:rsidRPr="004F5D67" w:rsidRDefault="0051169E" w:rsidP="000739D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средња</w:t>
            </w:r>
          </w:p>
        </w:tc>
      </w:tr>
      <w:tr w:rsidR="0051169E" w:rsidRPr="004F5D67" w14:paraId="3CE1AE5B" w14:textId="77777777" w:rsidTr="0051169E">
        <w:trPr>
          <w:trHeight w:val="293"/>
          <w:jc w:val="center"/>
        </w:trPr>
        <w:tc>
          <w:tcPr>
            <w:tcW w:w="893" w:type="dxa"/>
          </w:tcPr>
          <w:p w14:paraId="2B684150" w14:textId="77777777" w:rsidR="0051169E" w:rsidRPr="004F5D67" w:rsidRDefault="0051169E" w:rsidP="000739D3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6069" w:type="dxa"/>
          </w:tcPr>
          <w:p w14:paraId="599E73D3" w14:textId="77777777" w:rsidR="0051169E" w:rsidRPr="004F5D67" w:rsidRDefault="0051169E" w:rsidP="000739D3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Смањен број пријава неправилности из екстерних извора.</w:t>
            </w:r>
          </w:p>
        </w:tc>
        <w:tc>
          <w:tcPr>
            <w:tcW w:w="1418" w:type="dxa"/>
            <w:shd w:val="clear" w:color="auto" w:fill="D99594"/>
          </w:tcPr>
          <w:p w14:paraId="2ECE56B8" w14:textId="77777777" w:rsidR="0051169E" w:rsidRPr="004F5D67" w:rsidRDefault="0051169E" w:rsidP="000739D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висока</w:t>
            </w:r>
          </w:p>
        </w:tc>
      </w:tr>
      <w:tr w:rsidR="0051169E" w:rsidRPr="004F5D67" w14:paraId="7A6649A5" w14:textId="77777777" w:rsidTr="0051169E">
        <w:trPr>
          <w:trHeight w:val="293"/>
          <w:jc w:val="center"/>
        </w:trPr>
        <w:tc>
          <w:tcPr>
            <w:tcW w:w="893" w:type="dxa"/>
          </w:tcPr>
          <w:p w14:paraId="38EAA6E9" w14:textId="77777777" w:rsidR="0051169E" w:rsidRPr="004F5D67" w:rsidRDefault="0051169E" w:rsidP="000739D3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6069" w:type="dxa"/>
          </w:tcPr>
          <w:p w14:paraId="1D1207EC" w14:textId="77777777" w:rsidR="0051169E" w:rsidRPr="004F5D67" w:rsidRDefault="0051169E" w:rsidP="000739D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Недовољна информисаност јавности о потреби и важности пријављивања потенцијалних злоупотреба насталих приликом коришћења финансијских средстава ЕУ.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9594"/>
          </w:tcPr>
          <w:p w14:paraId="57C6A2F4" w14:textId="77777777" w:rsidR="0051169E" w:rsidRPr="004F5D67" w:rsidRDefault="0051169E" w:rsidP="000739D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висока</w:t>
            </w:r>
          </w:p>
        </w:tc>
      </w:tr>
      <w:tr w:rsidR="0051169E" w:rsidRPr="004F5D67" w14:paraId="3FE02A78" w14:textId="77777777" w:rsidTr="0051169E">
        <w:trPr>
          <w:trHeight w:val="347"/>
          <w:jc w:val="center"/>
        </w:trPr>
        <w:tc>
          <w:tcPr>
            <w:tcW w:w="893" w:type="dxa"/>
          </w:tcPr>
          <w:p w14:paraId="41244B6F" w14:textId="77777777" w:rsidR="0051169E" w:rsidRPr="004F5D67" w:rsidRDefault="0051169E" w:rsidP="000739D3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9.</w:t>
            </w:r>
          </w:p>
        </w:tc>
        <w:tc>
          <w:tcPr>
            <w:tcW w:w="6069" w:type="dxa"/>
          </w:tcPr>
          <w:p w14:paraId="286EAAFB" w14:textId="77777777" w:rsidR="0051169E" w:rsidRPr="004F5D67" w:rsidRDefault="0051169E" w:rsidP="000739D3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Недовољно развијена структура за извештавање кроз интерне информационе системе као и кроз Информациони систем за управљање неправилностима (ИМС).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9594"/>
          </w:tcPr>
          <w:p w14:paraId="38A227DD" w14:textId="77777777" w:rsidR="0051169E" w:rsidRPr="004F5D67" w:rsidRDefault="0051169E" w:rsidP="000739D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средња</w:t>
            </w:r>
          </w:p>
        </w:tc>
      </w:tr>
      <w:tr w:rsidR="0051169E" w:rsidRPr="004F5D67" w14:paraId="72054DFC" w14:textId="77777777" w:rsidTr="0051169E">
        <w:trPr>
          <w:trHeight w:val="347"/>
          <w:jc w:val="center"/>
        </w:trPr>
        <w:tc>
          <w:tcPr>
            <w:tcW w:w="893" w:type="dxa"/>
          </w:tcPr>
          <w:p w14:paraId="15CA07A0" w14:textId="77777777" w:rsidR="0051169E" w:rsidRPr="004F5D67" w:rsidRDefault="0051169E" w:rsidP="000739D3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10.</w:t>
            </w:r>
          </w:p>
        </w:tc>
        <w:tc>
          <w:tcPr>
            <w:tcW w:w="6069" w:type="dxa"/>
          </w:tcPr>
          <w:p w14:paraId="02934A4A" w14:textId="77777777" w:rsidR="0051169E" w:rsidRPr="004F5D67" w:rsidRDefault="0051169E" w:rsidP="000739D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Недовољно транспарентан и јавности видљив начин пријављивања неправилности и сумњи на превару.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9594"/>
          </w:tcPr>
          <w:p w14:paraId="67959F18" w14:textId="77777777" w:rsidR="0051169E" w:rsidRPr="004F5D67" w:rsidRDefault="0051169E" w:rsidP="000739D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висока</w:t>
            </w:r>
          </w:p>
        </w:tc>
      </w:tr>
      <w:tr w:rsidR="0051169E" w:rsidRPr="004F5D67" w14:paraId="041E6BE1" w14:textId="77777777" w:rsidTr="0051169E">
        <w:trPr>
          <w:trHeight w:val="833"/>
          <w:jc w:val="center"/>
        </w:trPr>
        <w:tc>
          <w:tcPr>
            <w:tcW w:w="893" w:type="dxa"/>
          </w:tcPr>
          <w:p w14:paraId="508DAD77" w14:textId="77777777" w:rsidR="0051169E" w:rsidRPr="004F5D67" w:rsidRDefault="0051169E" w:rsidP="000739D3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11.</w:t>
            </w:r>
          </w:p>
        </w:tc>
        <w:tc>
          <w:tcPr>
            <w:tcW w:w="6069" w:type="dxa"/>
            <w:tcBorders>
              <w:bottom w:val="single" w:sz="4" w:space="0" w:color="auto"/>
            </w:tcBorders>
          </w:tcPr>
          <w:p w14:paraId="66447DE1" w14:textId="77777777" w:rsidR="0051169E" w:rsidRPr="004F5D67" w:rsidRDefault="0051169E" w:rsidP="000739D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Неблаговремена размена информација о уоченим неправилностима односно црвених сигнала у поступку контроле унутар система.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E5B8B7"/>
          </w:tcPr>
          <w:p w14:paraId="6C9DFDCC" w14:textId="77777777" w:rsidR="0051169E" w:rsidRPr="004F5D67" w:rsidRDefault="0051169E" w:rsidP="000739D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средња</w:t>
            </w:r>
          </w:p>
        </w:tc>
      </w:tr>
      <w:tr w:rsidR="0051169E" w:rsidRPr="004F5D67" w14:paraId="74D9DEB5" w14:textId="77777777" w:rsidTr="0051169E">
        <w:trPr>
          <w:trHeight w:val="293"/>
          <w:jc w:val="center"/>
        </w:trPr>
        <w:tc>
          <w:tcPr>
            <w:tcW w:w="893" w:type="dxa"/>
            <w:tcBorders>
              <w:right w:val="nil"/>
            </w:tcBorders>
            <w:shd w:val="clear" w:color="auto" w:fill="F2F2F2" w:themeFill="background1" w:themeFillShade="F2"/>
          </w:tcPr>
          <w:p w14:paraId="1E1D5874" w14:textId="77777777" w:rsidR="0051169E" w:rsidRPr="004F5D67" w:rsidRDefault="0051169E" w:rsidP="000739D3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7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D71914" w14:textId="77777777" w:rsidR="0051169E" w:rsidRPr="004F5D67" w:rsidRDefault="0051169E" w:rsidP="000739D3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64EA0448" w14:textId="77777777" w:rsidR="0051169E" w:rsidRPr="004F5D67" w:rsidRDefault="0051169E" w:rsidP="000739D3">
            <w:pPr>
              <w:spacing w:before="60" w:after="6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Спровођење истражних радњи у вези са злоупотребом финансијских средстава ЕУ, праћење судских поступака и повраћаја финансијских средстава у буџет Републике Србије</w:t>
            </w:r>
          </w:p>
          <w:p w14:paraId="00B32D34" w14:textId="77777777" w:rsidR="0051169E" w:rsidRPr="004F5D67" w:rsidRDefault="0051169E" w:rsidP="000739D3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</w:tr>
      <w:tr w:rsidR="0051169E" w:rsidRPr="004F5D67" w14:paraId="768219C3" w14:textId="77777777" w:rsidTr="0051169E">
        <w:trPr>
          <w:trHeight w:val="518"/>
          <w:jc w:val="center"/>
        </w:trPr>
        <w:tc>
          <w:tcPr>
            <w:tcW w:w="893" w:type="dxa"/>
          </w:tcPr>
          <w:p w14:paraId="6541B625" w14:textId="77777777" w:rsidR="0051169E" w:rsidRPr="004F5D67" w:rsidRDefault="0051169E" w:rsidP="000739D3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12.</w:t>
            </w:r>
          </w:p>
        </w:tc>
        <w:tc>
          <w:tcPr>
            <w:tcW w:w="6069" w:type="dxa"/>
            <w:tcBorders>
              <w:top w:val="single" w:sz="4" w:space="0" w:color="auto"/>
            </w:tcBorders>
          </w:tcPr>
          <w:p w14:paraId="24F5A081" w14:textId="77777777" w:rsidR="0051169E" w:rsidRPr="004F5D67" w:rsidRDefault="0051169E" w:rsidP="000739D3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Неадекватна и/или неблаговремена реакција одговорних тела на пријављене неправилности и сумње на превару.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9594"/>
          </w:tcPr>
          <w:p w14:paraId="7E1B4063" w14:textId="77777777" w:rsidR="0051169E" w:rsidRPr="004F5D67" w:rsidRDefault="0051169E" w:rsidP="000739D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висока</w:t>
            </w:r>
          </w:p>
        </w:tc>
      </w:tr>
      <w:tr w:rsidR="0051169E" w:rsidRPr="004F5D67" w14:paraId="4A11B08E" w14:textId="77777777" w:rsidTr="0051169E">
        <w:trPr>
          <w:trHeight w:val="518"/>
          <w:jc w:val="center"/>
        </w:trPr>
        <w:tc>
          <w:tcPr>
            <w:tcW w:w="893" w:type="dxa"/>
          </w:tcPr>
          <w:p w14:paraId="78233B28" w14:textId="77777777" w:rsidR="0051169E" w:rsidRPr="004F5D67" w:rsidRDefault="0051169E" w:rsidP="000739D3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13.</w:t>
            </w:r>
          </w:p>
        </w:tc>
        <w:tc>
          <w:tcPr>
            <w:tcW w:w="6069" w:type="dxa"/>
          </w:tcPr>
          <w:p w14:paraId="7AA16E54" w14:textId="77777777" w:rsidR="0051169E" w:rsidRPr="004F5D67" w:rsidRDefault="0051169E" w:rsidP="000739D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Неблаговремена размена информација и недовољно познавање методологије рада ОЛАФ-а.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9594"/>
          </w:tcPr>
          <w:p w14:paraId="1E129603" w14:textId="77777777" w:rsidR="0051169E" w:rsidRPr="004F5D67" w:rsidRDefault="0051169E" w:rsidP="000739D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висока</w:t>
            </w:r>
          </w:p>
        </w:tc>
      </w:tr>
      <w:tr w:rsidR="0051169E" w:rsidRPr="004F5D67" w14:paraId="49189B1E" w14:textId="77777777" w:rsidTr="0051169E">
        <w:trPr>
          <w:trHeight w:val="356"/>
          <w:jc w:val="center"/>
        </w:trPr>
        <w:tc>
          <w:tcPr>
            <w:tcW w:w="893" w:type="dxa"/>
          </w:tcPr>
          <w:p w14:paraId="23AF0BA8" w14:textId="77777777" w:rsidR="0051169E" w:rsidRPr="004F5D67" w:rsidRDefault="0051169E" w:rsidP="000739D3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14.</w:t>
            </w:r>
          </w:p>
        </w:tc>
        <w:tc>
          <w:tcPr>
            <w:tcW w:w="6069" w:type="dxa"/>
          </w:tcPr>
          <w:p w14:paraId="0D5EFE3B" w14:textId="77777777" w:rsidR="0051169E" w:rsidRPr="004F5D67" w:rsidRDefault="0051169E" w:rsidP="000739D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highlight w:val="green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Успоравање процеса подизања оптужница услед недовољног познавања важећих правила ЕУ, недостатка изворних докумената на српском језику и ограничених преводилачких ресурса.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9594"/>
          </w:tcPr>
          <w:p w14:paraId="104BDAE1" w14:textId="77777777" w:rsidR="0051169E" w:rsidRPr="004F5D67" w:rsidRDefault="0051169E" w:rsidP="000739D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висока</w:t>
            </w:r>
          </w:p>
        </w:tc>
      </w:tr>
      <w:tr w:rsidR="0051169E" w:rsidRPr="004F5D67" w14:paraId="65763B44" w14:textId="77777777" w:rsidTr="0051169E">
        <w:trPr>
          <w:trHeight w:val="356"/>
          <w:jc w:val="center"/>
        </w:trPr>
        <w:tc>
          <w:tcPr>
            <w:tcW w:w="893" w:type="dxa"/>
          </w:tcPr>
          <w:p w14:paraId="50039C46" w14:textId="77777777" w:rsidR="0051169E" w:rsidRPr="004F5D67" w:rsidRDefault="0051169E" w:rsidP="000739D3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15.</w:t>
            </w:r>
          </w:p>
        </w:tc>
        <w:tc>
          <w:tcPr>
            <w:tcW w:w="6069" w:type="dxa"/>
          </w:tcPr>
          <w:p w14:paraId="358F031F" w14:textId="77777777" w:rsidR="0051169E" w:rsidRPr="004F5D67" w:rsidRDefault="0051169E" w:rsidP="000739D3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Недовољно развијен механизам за повраћај ненаменски утрошених средстава у буџет Републике Србије.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9594"/>
          </w:tcPr>
          <w:p w14:paraId="4A777FFF" w14:textId="77777777" w:rsidR="0051169E" w:rsidRPr="004F5D67" w:rsidRDefault="0051169E" w:rsidP="000739D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висока</w:t>
            </w:r>
          </w:p>
        </w:tc>
      </w:tr>
      <w:tr w:rsidR="0051169E" w:rsidRPr="004F5D67" w14:paraId="5221E9AD" w14:textId="77777777" w:rsidTr="0051169E">
        <w:trPr>
          <w:trHeight w:val="356"/>
          <w:jc w:val="center"/>
        </w:trPr>
        <w:tc>
          <w:tcPr>
            <w:tcW w:w="893" w:type="dxa"/>
          </w:tcPr>
          <w:p w14:paraId="03CC938C" w14:textId="77777777" w:rsidR="0051169E" w:rsidRPr="004F5D67" w:rsidRDefault="0051169E" w:rsidP="000739D3">
            <w:pPr>
              <w:spacing w:before="60" w:after="6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16.</w:t>
            </w:r>
          </w:p>
        </w:tc>
        <w:tc>
          <w:tcPr>
            <w:tcW w:w="6069" w:type="dxa"/>
          </w:tcPr>
          <w:p w14:paraId="5A450E4A" w14:textId="77777777" w:rsidR="0051169E" w:rsidRPr="004F5D67" w:rsidRDefault="0051169E" w:rsidP="000739D3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Недостатак развијене свести запослених у систему локалне самоуправе о обавези повраћаја ненаменски утрошених средстава у буџет Републике Србије.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9594"/>
          </w:tcPr>
          <w:p w14:paraId="26422213" w14:textId="77777777" w:rsidR="0051169E" w:rsidRPr="004F5D67" w:rsidRDefault="0051169E" w:rsidP="000739D3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висока</w:t>
            </w:r>
          </w:p>
        </w:tc>
      </w:tr>
    </w:tbl>
    <w:p w14:paraId="45CC66A9" w14:textId="77777777" w:rsidR="0051169E" w:rsidRPr="004F5D67" w:rsidRDefault="0051169E" w:rsidP="009E34BA">
      <w:pPr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72E8E2E5" w14:textId="2101F44E" w:rsidR="004260ED" w:rsidRPr="004F5D67" w:rsidRDefault="00086F35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Анализа ризика у погледу начина функционисања система заштите финансијских интереса ЕУ указала је да постоји значајан простор за унапређење мера и механизама у свим фазам</w:t>
      </w:r>
      <w:r w:rsidR="00164BC7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а циклуса борбе против превара, </w:t>
      </w:r>
      <w:r w:rsidR="008F5D9B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164BC7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што је преточено у мере и активности за остварење </w:t>
      </w:r>
      <w:r w:rsidR="00501233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општег и </w:t>
      </w:r>
      <w:r w:rsidR="008F5D9B" w:rsidRPr="004F5D67">
        <w:rPr>
          <w:rFonts w:ascii="Times New Roman" w:hAnsi="Times New Roman" w:cs="Times New Roman"/>
          <w:sz w:val="24"/>
          <w:szCs w:val="24"/>
          <w:lang w:val="sr-Cyrl-CS"/>
        </w:rPr>
        <w:t>посеб</w:t>
      </w:r>
      <w:r w:rsidR="00501233" w:rsidRPr="004F5D67">
        <w:rPr>
          <w:rFonts w:ascii="Times New Roman" w:hAnsi="Times New Roman" w:cs="Times New Roman"/>
          <w:sz w:val="24"/>
          <w:szCs w:val="24"/>
          <w:lang w:val="sr-Cyrl-CS"/>
        </w:rPr>
        <w:t>них циљева</w:t>
      </w:r>
      <w:r w:rsidR="0051169E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у оквиру Стратешког плана 2024−</w:t>
      </w:r>
      <w:r w:rsidR="00501233" w:rsidRPr="004F5D67">
        <w:rPr>
          <w:rFonts w:ascii="Times New Roman" w:hAnsi="Times New Roman" w:cs="Times New Roman"/>
          <w:sz w:val="24"/>
          <w:szCs w:val="24"/>
          <w:lang w:val="sr-Cyrl-CS"/>
        </w:rPr>
        <w:t>2026.</w:t>
      </w:r>
      <w:r w:rsidR="00D663DF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96A301D" w14:textId="602AF1D4" w:rsidR="0051169E" w:rsidRPr="004F5D67" w:rsidRDefault="0051169E" w:rsidP="009E34B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2EFA04C" w14:textId="11BAC7F7" w:rsidR="00086F35" w:rsidRPr="004F5D67" w:rsidRDefault="000E6BEB" w:rsidP="0051169E">
      <w:pPr>
        <w:pStyle w:val="Heading1"/>
        <w:spacing w:before="0"/>
        <w:rPr>
          <w:sz w:val="24"/>
          <w:szCs w:val="24"/>
          <w:lang w:val="sr-Cyrl-CS"/>
        </w:rPr>
      </w:pPr>
      <w:bookmarkStart w:id="25" w:name="_Toc161827232"/>
      <w:r w:rsidRPr="004F5D67">
        <w:rPr>
          <w:sz w:val="24"/>
          <w:szCs w:val="24"/>
          <w:lang w:val="sr-Cyrl-CS"/>
        </w:rPr>
        <w:t>V</w:t>
      </w:r>
      <w:r w:rsidR="007144D4">
        <w:rPr>
          <w:sz w:val="24"/>
          <w:szCs w:val="24"/>
          <w:lang w:val="sr-Cyrl-CS"/>
        </w:rPr>
        <w:t>.</w:t>
      </w:r>
      <w:r w:rsidR="00FD4586" w:rsidRPr="004F5D67">
        <w:rPr>
          <w:sz w:val="24"/>
          <w:szCs w:val="24"/>
          <w:lang w:val="sr-Cyrl-CS"/>
        </w:rPr>
        <w:t xml:space="preserve"> </w:t>
      </w:r>
      <w:r w:rsidR="00984521" w:rsidRPr="004F5D67">
        <w:rPr>
          <w:sz w:val="24"/>
          <w:szCs w:val="24"/>
          <w:lang w:val="sr-Cyrl-CS"/>
        </w:rPr>
        <w:t>Визија и ц</w:t>
      </w:r>
      <w:r w:rsidR="00FD4586" w:rsidRPr="004F5D67">
        <w:rPr>
          <w:sz w:val="24"/>
          <w:szCs w:val="24"/>
          <w:lang w:val="sr-Cyrl-CS"/>
        </w:rPr>
        <w:t>иљеви Стратешког плана</w:t>
      </w:r>
      <w:r w:rsidR="00501233" w:rsidRPr="004F5D67">
        <w:rPr>
          <w:sz w:val="24"/>
          <w:szCs w:val="24"/>
          <w:lang w:val="sr-Cyrl-CS"/>
        </w:rPr>
        <w:t xml:space="preserve"> 2024</w:t>
      </w:r>
      <w:r w:rsidR="0051169E" w:rsidRPr="004F5D67">
        <w:rPr>
          <w:sz w:val="24"/>
          <w:szCs w:val="24"/>
          <w:lang w:val="sr-Cyrl-CS"/>
        </w:rPr>
        <w:t>−</w:t>
      </w:r>
      <w:r w:rsidR="00501233" w:rsidRPr="004F5D67">
        <w:rPr>
          <w:sz w:val="24"/>
          <w:szCs w:val="24"/>
          <w:lang w:val="sr-Cyrl-CS"/>
        </w:rPr>
        <w:t>2026</w:t>
      </w:r>
      <w:bookmarkEnd w:id="25"/>
    </w:p>
    <w:p w14:paraId="4F6FC96E" w14:textId="3E041378" w:rsidR="003D417C" w:rsidRPr="004F5D67" w:rsidRDefault="003D417C" w:rsidP="009E34BA">
      <w:pPr>
        <w:jc w:val="both"/>
        <w:rPr>
          <w:rFonts w:ascii="Times New Roman" w:hAnsi="Times New Roman" w:cs="Times New Roman"/>
          <w:noProof/>
          <w:color w:val="3366FF"/>
          <w:sz w:val="24"/>
          <w:szCs w:val="24"/>
          <w:lang w:val="sr-Cyrl-CS"/>
        </w:rPr>
      </w:pPr>
    </w:p>
    <w:p w14:paraId="2D4A7330" w14:textId="78732826" w:rsidR="003D417C" w:rsidRPr="004F5D67" w:rsidRDefault="003D417C" w:rsidP="009E34BA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Визија</w:t>
      </w:r>
    </w:p>
    <w:p w14:paraId="74D83ECD" w14:textId="7B1F7F84" w:rsidR="0054768A" w:rsidRPr="004F5D67" w:rsidRDefault="0054768A" w:rsidP="009E34BA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E3D41D5" w14:textId="5FF30F93" w:rsidR="00522562" w:rsidRPr="004F5D67" w:rsidRDefault="0054768A" w:rsidP="00733298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eastAsia="Times New Roman" w:hAnsi="Times New Roman" w:cs="Times New Roman"/>
          <w:sz w:val="24"/>
          <w:szCs w:val="24"/>
          <w:lang w:val="sr-Cyrl-CS"/>
        </w:rPr>
        <w:t>Јака и стабилна позиција Републике Србије у погледу преговора о чланству, као и коришћења финансијске помоћи ЕУ у наредним програмским периодима.</w:t>
      </w:r>
    </w:p>
    <w:p w14:paraId="31007AA9" w14:textId="77777777" w:rsidR="00522562" w:rsidRPr="004F5D67" w:rsidRDefault="00522562" w:rsidP="009E34BA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991210E" w14:textId="51D69AE1" w:rsidR="003D417C" w:rsidRPr="004F5D67" w:rsidRDefault="003D417C" w:rsidP="009E34BA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Општи циљ </w:t>
      </w:r>
    </w:p>
    <w:p w14:paraId="0FADD63A" w14:textId="77777777" w:rsidR="003D417C" w:rsidRPr="004F5D67" w:rsidRDefault="003D417C" w:rsidP="009E34BA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B003521" w14:textId="1A02A654" w:rsidR="003D417C" w:rsidRPr="004F5D67" w:rsidRDefault="00B447F4" w:rsidP="009E34BA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Подизање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заштите финансијских интереса ЕУ 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виши ниво, путем ангажовања 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релевант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них институција Републике Србије, а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кроз 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све 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фазе циклуса борбе против превара.</w:t>
      </w:r>
    </w:p>
    <w:p w14:paraId="72030675" w14:textId="4ADCD46E" w:rsidR="003D417C" w:rsidRPr="004F5D67" w:rsidRDefault="003D417C" w:rsidP="009E34BA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4CE6C76" w14:textId="00FFD3C7" w:rsidR="00733298" w:rsidRPr="004F5D67" w:rsidRDefault="00733298" w:rsidP="009E34BA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16C37DB" w14:textId="77777777" w:rsidR="00733298" w:rsidRPr="004F5D67" w:rsidRDefault="00733298" w:rsidP="009E34BA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91B9DAD" w14:textId="3CE1CB10" w:rsidR="003D417C" w:rsidRPr="004F5D67" w:rsidRDefault="003D417C" w:rsidP="009E34B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>Посебни циљеви</w:t>
      </w:r>
    </w:p>
    <w:p w14:paraId="3D380240" w14:textId="6DE53DC9" w:rsidR="0073257E" w:rsidRPr="004F5D67" w:rsidRDefault="0073257E" w:rsidP="009E34B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7CFAB2" w14:textId="2204470C" w:rsidR="003D417C" w:rsidRPr="004F5D67" w:rsidRDefault="00A4433B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73257E" w:rsidRPr="004F5D67">
        <w:rPr>
          <w:rFonts w:ascii="Times New Roman" w:hAnsi="Times New Roman" w:cs="Times New Roman"/>
          <w:sz w:val="24"/>
          <w:szCs w:val="24"/>
          <w:lang w:val="sr-Cyrl-CS"/>
        </w:rPr>
        <w:t>темељу анализа постојећег стања, претходно постигнутих резултата и приоритета за деловање путем</w:t>
      </w:r>
      <w:r w:rsidR="00E929CA" w:rsidRPr="004F5D67">
        <w:rPr>
          <w:rFonts w:ascii="Times New Roman" w:hAnsi="Times New Roman" w:cs="Times New Roman"/>
          <w:sz w:val="24"/>
          <w:szCs w:val="24"/>
          <w:lang w:val="sr-Cyrl-CS"/>
        </w:rPr>
        <w:t xml:space="preserve"> новог стратешког документа издвојени су посебни циљеви, и то:</w:t>
      </w:r>
    </w:p>
    <w:p w14:paraId="1B510852" w14:textId="1D9388DB" w:rsidR="003D417C" w:rsidRPr="004F5D67" w:rsidRDefault="003D417C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1. </w:t>
      </w:r>
      <w:r w:rsidR="007144D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</w:t>
      </w:r>
      <w:r w:rsidR="004902E8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јачање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превентивног деловања на з</w:t>
      </w:r>
      <w:r w:rsidR="0051169E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аштити финансијских интереса ЕУ;</w:t>
      </w:r>
    </w:p>
    <w:p w14:paraId="0EB8E365" w14:textId="4E46D818" w:rsidR="003D417C" w:rsidRPr="004F5D67" w:rsidRDefault="003D417C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2. унапређење процеса раног откривања превара, пријављивања и поступања по пријављеним непра</w:t>
      </w:r>
      <w:r w:rsidR="0051169E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вилностима и сумњама на превару;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</w:t>
      </w:r>
    </w:p>
    <w:p w14:paraId="0B833239" w14:textId="1A700223" w:rsidR="0051169E" w:rsidRPr="004F5D67" w:rsidRDefault="003D417C" w:rsidP="00733298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3. унапређење процеса спровођења истражних радњи у вези са злоупотребом финансијских средстава ЕУ, праћења судских поступака и праћењa повраћаја финансијских средстава у буџет Р</w:t>
      </w:r>
      <w:r w:rsidR="00287555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епублике С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рбије.</w:t>
      </w:r>
    </w:p>
    <w:p w14:paraId="305279E6" w14:textId="77777777" w:rsidR="0051169E" w:rsidRPr="004F5D67" w:rsidRDefault="0051169E" w:rsidP="009E34B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29FBA13" w14:textId="78A701DF" w:rsidR="00984521" w:rsidRPr="004F5D67" w:rsidRDefault="000E6BEB" w:rsidP="009E34BA">
      <w:pPr>
        <w:pStyle w:val="Heading1"/>
        <w:spacing w:before="0"/>
        <w:rPr>
          <w:sz w:val="24"/>
          <w:szCs w:val="24"/>
          <w:lang w:val="sr-Cyrl-CS"/>
        </w:rPr>
      </w:pPr>
      <w:bookmarkStart w:id="26" w:name="_Toc161827233"/>
      <w:r w:rsidRPr="004F5D67">
        <w:rPr>
          <w:sz w:val="24"/>
          <w:szCs w:val="24"/>
          <w:lang w:val="sr-Cyrl-CS"/>
        </w:rPr>
        <w:t>VI</w:t>
      </w:r>
      <w:r w:rsidR="007144D4">
        <w:rPr>
          <w:sz w:val="24"/>
          <w:szCs w:val="24"/>
          <w:lang w:val="sr-Cyrl-CS"/>
        </w:rPr>
        <w:t>.</w:t>
      </w:r>
      <w:r w:rsidR="00984521" w:rsidRPr="004F5D67">
        <w:rPr>
          <w:sz w:val="24"/>
          <w:szCs w:val="24"/>
          <w:lang w:val="sr-Cyrl-CS"/>
        </w:rPr>
        <w:t xml:space="preserve"> Мере за остваривање циљева</w:t>
      </w:r>
      <w:bookmarkEnd w:id="26"/>
    </w:p>
    <w:p w14:paraId="35D0291F" w14:textId="77777777" w:rsidR="00984521" w:rsidRPr="004F5D67" w:rsidRDefault="00984521" w:rsidP="009E34B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348404E6" w14:textId="3FDF2F03" w:rsidR="00BA027C" w:rsidRPr="004F5D67" w:rsidRDefault="00984521" w:rsidP="00733298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Имајући у виду да испуњење посебних циљева представља предуслов за остваривање општег циља, пратећим </w:t>
      </w:r>
      <w:r w:rsidR="004E69C3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ланом</w:t>
      </w:r>
      <w:r w:rsidR="004E69C3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активности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предвиђене су мере, као скуп међусобно повезаних активности, чије спровођење ће бити поверено надлежним институцијама.</w:t>
      </w:r>
    </w:p>
    <w:p w14:paraId="4D21B34D" w14:textId="1AEFA07F" w:rsidR="003D417C" w:rsidRPr="004F5D67" w:rsidRDefault="00BA027C" w:rsidP="00733298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eastAsia="Times New Roman" w:hAnsi="Times New Roman" w:cs="Times New Roman"/>
          <w:sz w:val="24"/>
          <w:szCs w:val="24"/>
          <w:lang w:val="sr-Cyrl-CS"/>
        </w:rPr>
        <w:t>Сагласно утврђеним посебним циљевима, предвиђене су, у оквиру истих, следеће мере</w:t>
      </w:r>
      <w:r w:rsidR="003D417C" w:rsidRPr="004F5D67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20E86053" w14:textId="09348AE7" w:rsidR="003D417C" w:rsidRPr="004F5D67" w:rsidRDefault="00C25CAA" w:rsidP="00522562">
      <w:pPr>
        <w:pStyle w:val="ListParagraph"/>
        <w:numPr>
          <w:ilvl w:val="0"/>
          <w:numId w:val="23"/>
        </w:numPr>
        <w:ind w:left="426" w:hanging="426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Јачање</w:t>
      </w:r>
      <w:r w:rsidR="003D417C" w:rsidRPr="004F5D67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 xml:space="preserve"> превентивног деловања на заштити финансијских интереса ЕУ:</w:t>
      </w:r>
    </w:p>
    <w:p w14:paraId="0DC41158" w14:textId="116A425E" w:rsidR="003D417C" w:rsidRPr="004F5D67" w:rsidRDefault="007144D4" w:rsidP="009E34B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ера 1.1 – Подизање капацитета људских ресурса у оквиру превентивног деловања на заштити финансијских интереса ЕУ (усвајање знања из области п</w:t>
      </w:r>
      <w:r w:rsidR="00500BE0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одршке ЕУ, управљања пројектима и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праћења имплементације пројеката);</w:t>
      </w:r>
    </w:p>
    <w:p w14:paraId="35DA117F" w14:textId="01D75584" w:rsidR="003D417C" w:rsidRPr="004F5D67" w:rsidRDefault="007144D4" w:rsidP="009E34B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ера 1.2 – Унапређење интерних процедура у области превентивног деловања на заштити финансијских интереса ЕУ;</w:t>
      </w:r>
    </w:p>
    <w:p w14:paraId="09DDF547" w14:textId="6095C772" w:rsidR="003D417C" w:rsidRPr="004F5D67" w:rsidRDefault="007144D4" w:rsidP="009E34B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ера 1.3 – Развијање сарадње и размене информација у сфери превентивног деловања на заштити финансијских интереса ЕУ</w:t>
      </w:r>
      <w:r w:rsidR="00CA4803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4902E8" w:rsidRPr="004F5D67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а самим тим и финансијских интереса Републике Србије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;</w:t>
      </w:r>
    </w:p>
    <w:p w14:paraId="23176ADA" w14:textId="28601F00" w:rsidR="003D417C" w:rsidRPr="004F5D67" w:rsidRDefault="007144D4" w:rsidP="009E34B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Ме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рa</w:t>
      </w:r>
      <w:proofErr w:type="spellEnd"/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1.4 – Измена и/или усклађивање правног оквира ради јачања превентивног деловања на заштити финансијских интереса ЕУ;</w:t>
      </w:r>
    </w:p>
    <w:p w14:paraId="546B00AA" w14:textId="7A073B60" w:rsidR="003D417C" w:rsidRPr="004F5D67" w:rsidRDefault="007144D4" w:rsidP="009E34B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ера 1.5 – Подизање нивоа свести о значају заштите финансијских интереса ЕУ и финансијских интереса Републике Србије и пријављивања неправилности и сумњи на превару унутар </w:t>
      </w:r>
      <w:r w:rsidR="004902E8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 ван 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система;</w:t>
      </w:r>
      <w:r w:rsidR="008B3BE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</w:t>
      </w:r>
    </w:p>
    <w:p w14:paraId="280560F0" w14:textId="472624FC" w:rsidR="003D417C" w:rsidRPr="004F5D67" w:rsidRDefault="007144D4" w:rsidP="009E34B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ера 1.6 – Повећање видљивости о значају заштите финансијских интереса ЕУ и финансијских интереса Републике Србије </w:t>
      </w:r>
      <w:r w:rsidR="004902E8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код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други</w:t>
      </w:r>
      <w:r w:rsidR="004902E8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х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заинтересовани</w:t>
      </w:r>
      <w:r w:rsidR="004902E8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х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4902E8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страна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јавности и потенцијални</w:t>
      </w:r>
      <w:r w:rsidR="004902E8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х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субјек</w:t>
      </w:r>
      <w:r w:rsidR="004902E8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ат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 који пријављују неправилности унутар и ван система.</w:t>
      </w:r>
    </w:p>
    <w:p w14:paraId="71648F3B" w14:textId="77777777" w:rsidR="003D417C" w:rsidRPr="004F5D67" w:rsidRDefault="003D417C" w:rsidP="009E34B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9D7C58B" w14:textId="77777777" w:rsidR="003D417C" w:rsidRPr="004F5D67" w:rsidRDefault="003D417C" w:rsidP="009E34B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2.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4F5D67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Унапређење процеса раног откривања превара, пријављивања и поступања по пријављеним неправилностима и сумњама на превару:</w:t>
      </w:r>
    </w:p>
    <w:p w14:paraId="24C8BD29" w14:textId="42A6D20B" w:rsidR="003D417C" w:rsidRPr="004F5D67" w:rsidRDefault="007144D4" w:rsidP="009E34B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</w:t>
      </w:r>
      <w:r w:rsidR="008B3BE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ера 2.1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– Развијање сарадње и размене информација у области раног откривања превара;</w:t>
      </w:r>
    </w:p>
    <w:p w14:paraId="440DA4E3" w14:textId="3E256745" w:rsidR="003D417C" w:rsidRPr="004F5D67" w:rsidRDefault="007144D4" w:rsidP="009E34B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</w:t>
      </w:r>
      <w:r w:rsidR="008B3BE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ера 2.2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– Подизање капацитета АФКОС-а ради унапређења процеса раног откривања превара;</w:t>
      </w:r>
      <w:r w:rsidR="008B3BE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</w:t>
      </w:r>
    </w:p>
    <w:p w14:paraId="5A7B6DE2" w14:textId="79F61977" w:rsidR="003D417C" w:rsidRPr="004F5D67" w:rsidRDefault="007144D4" w:rsidP="009E34BA">
      <w:pPr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>
        <w:rPr>
          <w:rFonts w:ascii="Times New Roman" w:hAnsi="Times New Roman" w:cs="Times New Roman"/>
          <w:noProof/>
          <w:sz w:val="24"/>
          <w:szCs w:val="24"/>
          <w:lang w:val="sr-Cyrl-CS"/>
        </w:rPr>
        <w:t>М</w:t>
      </w:r>
      <w:r w:rsidR="008B3BE6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ера 2.3</w:t>
      </w:r>
      <w:r w:rsidR="003D417C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– Подизање капацитета 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људских ресурса унутар система у оквиру процеса раног откривања превара за уочавање </w:t>
      </w:r>
      <w:r w:rsidR="003D417C" w:rsidRPr="004F5D67">
        <w:rPr>
          <w:rFonts w:ascii="Times New Roman" w:hAnsi="Times New Roman" w:cs="Times New Roman"/>
          <w:noProof/>
          <w:sz w:val="24"/>
          <w:szCs w:val="24"/>
          <w:lang w:val="sr-Cyrl-CS"/>
        </w:rPr>
        <w:t>и детектовање поузданих и валидних сигнала неправилности и процену значаја пријављених информација.</w:t>
      </w:r>
    </w:p>
    <w:p w14:paraId="4C3353A3" w14:textId="73DC73F9" w:rsidR="003D417C" w:rsidRPr="004F5D67" w:rsidRDefault="003D417C" w:rsidP="009E34B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2796EB2A" w14:textId="3591C25D" w:rsidR="003D417C" w:rsidRPr="004F5D67" w:rsidRDefault="003D417C" w:rsidP="009E34BA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3. Унапређење процеса спровођења истражних радњи у вези са злоупотребом финансијских средстава ЕУ, праћења судских поступака и праћењa повраћаја финансијских средстава у буџет Републике Србије:</w:t>
      </w:r>
    </w:p>
    <w:p w14:paraId="1908A3BD" w14:textId="2D56D759" w:rsidR="003D417C" w:rsidRPr="004F5D67" w:rsidRDefault="007144D4" w:rsidP="009E34B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ера 3.1 – Унапређење сарадње и размене информација у спровођењу истражних радњи;</w:t>
      </w:r>
    </w:p>
    <w:p w14:paraId="7B7E48BF" w14:textId="62718354" w:rsidR="003D417C" w:rsidRPr="004F5D67" w:rsidRDefault="007144D4" w:rsidP="009E34B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ера 3.2 – Подизање капацитета људских ресурса ради унапређења спровођења истражних радњи;</w:t>
      </w:r>
    </w:p>
    <w:p w14:paraId="36B9C558" w14:textId="32845E82" w:rsidR="003D417C" w:rsidRPr="004F5D67" w:rsidRDefault="007144D4" w:rsidP="009E34B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ера 3.3 – Измена и/или усклађивање правног оквира у циљу унапређења спровођења истражних радњи;</w:t>
      </w:r>
    </w:p>
    <w:p w14:paraId="0FD4817C" w14:textId="788634CA" w:rsidR="003D417C" w:rsidRPr="004F5D67" w:rsidRDefault="007144D4" w:rsidP="009E34BA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ера 3.4 – Измена и/или усклађивање организационе структуре ради унапређења спровођења истражних радњи;</w:t>
      </w:r>
      <w:r w:rsidR="008B3BE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</w:t>
      </w:r>
    </w:p>
    <w:p w14:paraId="009928A0" w14:textId="22B5FE3B" w:rsidR="008B3BE6" w:rsidRPr="004F5D67" w:rsidRDefault="007144D4" w:rsidP="00733298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</w:t>
      </w:r>
      <w:r w:rsidR="003D41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ера 3.5 – Побољшање материјално-техничких капацитета институција надлежних за спровођење</w:t>
      </w:r>
      <w:r w:rsidR="008B3BE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истражних радњи.</w:t>
      </w:r>
    </w:p>
    <w:p w14:paraId="74653E4F" w14:textId="77777777" w:rsidR="00522562" w:rsidRPr="004F5D67" w:rsidRDefault="00522562" w:rsidP="009E34BA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1DDCD47" w14:textId="7392D3EA" w:rsidR="00984521" w:rsidRPr="004F5D67" w:rsidRDefault="000E6BEB" w:rsidP="009E34BA">
      <w:pPr>
        <w:pStyle w:val="Heading1"/>
        <w:spacing w:before="0"/>
        <w:rPr>
          <w:sz w:val="24"/>
          <w:szCs w:val="24"/>
          <w:lang w:val="sr-Cyrl-CS"/>
        </w:rPr>
      </w:pPr>
      <w:bookmarkStart w:id="27" w:name="_Toc161827234"/>
      <w:proofErr w:type="spellStart"/>
      <w:r w:rsidRPr="004F5D67">
        <w:rPr>
          <w:sz w:val="24"/>
          <w:szCs w:val="24"/>
          <w:lang w:val="sr-Cyrl-CS"/>
        </w:rPr>
        <w:t>VII</w:t>
      </w:r>
      <w:proofErr w:type="spellEnd"/>
      <w:r w:rsidR="00825836">
        <w:rPr>
          <w:sz w:val="24"/>
          <w:szCs w:val="24"/>
          <w:lang w:val="sr-Cyrl-CS"/>
        </w:rPr>
        <w:t>.</w:t>
      </w:r>
      <w:r w:rsidR="00984521" w:rsidRPr="004F5D67">
        <w:rPr>
          <w:sz w:val="24"/>
          <w:szCs w:val="24"/>
          <w:lang w:val="sr-Cyrl-CS"/>
        </w:rPr>
        <w:t xml:space="preserve"> Институције укључене у процес спровођења активности</w:t>
      </w:r>
      <w:r w:rsidR="00E24240" w:rsidRPr="004F5D67">
        <w:rPr>
          <w:sz w:val="24"/>
          <w:szCs w:val="24"/>
          <w:lang w:val="sr-Cyrl-CS"/>
        </w:rPr>
        <w:t>, праћење</w:t>
      </w:r>
      <w:r w:rsidR="00984521" w:rsidRPr="004F5D67">
        <w:rPr>
          <w:sz w:val="24"/>
          <w:szCs w:val="24"/>
          <w:lang w:val="sr-Cyrl-CS"/>
        </w:rPr>
        <w:t xml:space="preserve"> и извештавање о оствареним резултатима</w:t>
      </w:r>
      <w:bookmarkEnd w:id="27"/>
    </w:p>
    <w:p w14:paraId="2A802612" w14:textId="77777777" w:rsidR="00984521" w:rsidRPr="004F5D67" w:rsidRDefault="00984521" w:rsidP="009E34B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90D3233" w14:textId="4B99B9A4" w:rsidR="00BA027C" w:rsidRPr="004F5D67" w:rsidRDefault="00984521" w:rsidP="00733298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Остваривање циљева и отклањање уочених ризика конкретизовано је кроз поједине кораке, односно активности утврђене планом</w:t>
      </w:r>
      <w:r w:rsidR="00F37410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активности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који чини саставни део</w:t>
      </w:r>
      <w:r w:rsidR="006B361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Стратешког плана </w:t>
      </w:r>
      <w:r w:rsidR="00C94FBB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2024</w:t>
      </w:r>
      <w:r w:rsidR="00BA027C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C94FBB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2026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3EBB3CD2" w14:textId="3052FD45" w:rsidR="00BA027C" w:rsidRPr="004F5D67" w:rsidRDefault="00984521" w:rsidP="00733298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Спровођење Стратешког плана </w:t>
      </w:r>
      <w:r w:rsidR="006B361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2024</w:t>
      </w:r>
      <w:r w:rsidR="00BA027C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6B361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2026 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надлежности</w:t>
      </w:r>
      <w:r w:rsidR="00BA02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је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6B361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АФКОС-а и 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институција које имају именоване представнике у </w:t>
      </w:r>
      <w:r w:rsidR="006B361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АФКОС 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Мрежи. Наведене институције су планом</w:t>
      </w:r>
      <w:r w:rsidR="000622CF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активности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одређене за носиоце појединачних активности, а праћење спровођења Стратешког плана</w:t>
      </w:r>
      <w:r w:rsidR="006B361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2024</w:t>
      </w:r>
      <w:r w:rsidR="00BA027C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6B361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2026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надлежности је АФКОС-а и представља </w:t>
      </w:r>
      <w:r w:rsidR="00BA02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континуирану активност. О свим р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еализованим активностима АФКОС информише </w:t>
      </w:r>
      <w:r w:rsidR="006B361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АФКОС 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Мрежу</w:t>
      </w:r>
      <w:r w:rsidR="006B361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путем редовних састанака</w:t>
      </w:r>
      <w:r w:rsidR="00E24240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</w:t>
      </w:r>
    </w:p>
    <w:p w14:paraId="0F8DD2EB" w14:textId="32570D9C" w:rsidR="004260ED" w:rsidRPr="004F5D67" w:rsidRDefault="00984521" w:rsidP="00733298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Министарство финансија </w:t>
      </w:r>
      <w:r w:rsidR="00CF6CCD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АФКОС извештава Владу </w:t>
      </w:r>
      <w:r w:rsidR="006B361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сваких шест месеци 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спровођењу циљева и активности из Стратешког плана</w:t>
      </w:r>
      <w:r w:rsidR="00BA02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2024</w:t>
      </w:r>
      <w:r w:rsidR="00BA027C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6B3616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2026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Приликом израде </w:t>
      </w:r>
      <w:r w:rsidR="001E37A8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ових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извештаја, институције одређене за носиоце појединачних активности, писаним путем, извештавају АФКОС о реализацији активности за које су задужене.</w:t>
      </w:r>
    </w:p>
    <w:p w14:paraId="2C305458" w14:textId="77777777" w:rsidR="00BA027C" w:rsidRPr="004F5D67" w:rsidRDefault="00BA027C" w:rsidP="009E34B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C5A67CC" w14:textId="70C1D629" w:rsidR="00984521" w:rsidRPr="004F5D67" w:rsidRDefault="00556C39" w:rsidP="009E34BA">
      <w:pPr>
        <w:pStyle w:val="Heading1"/>
        <w:spacing w:before="0"/>
        <w:rPr>
          <w:sz w:val="24"/>
          <w:szCs w:val="24"/>
          <w:lang w:val="sr-Cyrl-CS"/>
        </w:rPr>
      </w:pPr>
      <w:bookmarkStart w:id="28" w:name="_Toc161827235"/>
      <w:proofErr w:type="spellStart"/>
      <w:r w:rsidRPr="004F5D67">
        <w:rPr>
          <w:sz w:val="24"/>
          <w:szCs w:val="24"/>
          <w:lang w:val="sr-Cyrl-CS"/>
        </w:rPr>
        <w:t>VIII</w:t>
      </w:r>
      <w:proofErr w:type="spellEnd"/>
      <w:r w:rsidR="00825836">
        <w:rPr>
          <w:sz w:val="24"/>
          <w:szCs w:val="24"/>
          <w:lang w:val="sr-Cyrl-CS"/>
        </w:rPr>
        <w:t xml:space="preserve">. </w:t>
      </w:r>
      <w:r w:rsidR="00E6527B" w:rsidRPr="004F5D67">
        <w:rPr>
          <w:sz w:val="24"/>
          <w:szCs w:val="24"/>
          <w:lang w:val="sr-Cyrl-CS"/>
        </w:rPr>
        <w:t>Ф</w:t>
      </w:r>
      <w:r w:rsidR="00984521" w:rsidRPr="004F5D67">
        <w:rPr>
          <w:sz w:val="24"/>
          <w:szCs w:val="24"/>
          <w:lang w:val="sr-Cyrl-CS"/>
        </w:rPr>
        <w:t>инансијск</w:t>
      </w:r>
      <w:r w:rsidR="00E6527B" w:rsidRPr="004F5D67">
        <w:rPr>
          <w:sz w:val="24"/>
          <w:szCs w:val="24"/>
          <w:lang w:val="sr-Cyrl-CS"/>
        </w:rPr>
        <w:t>а</w:t>
      </w:r>
      <w:r w:rsidR="00984521" w:rsidRPr="004F5D67">
        <w:rPr>
          <w:sz w:val="24"/>
          <w:szCs w:val="24"/>
          <w:lang w:val="sr-Cyrl-CS"/>
        </w:rPr>
        <w:t xml:space="preserve"> средстава потребн</w:t>
      </w:r>
      <w:r w:rsidR="00E6527B" w:rsidRPr="004F5D67">
        <w:rPr>
          <w:sz w:val="24"/>
          <w:szCs w:val="24"/>
          <w:lang w:val="sr-Cyrl-CS"/>
        </w:rPr>
        <w:t>а</w:t>
      </w:r>
      <w:r w:rsidR="00984521" w:rsidRPr="004F5D67">
        <w:rPr>
          <w:sz w:val="24"/>
          <w:szCs w:val="24"/>
          <w:lang w:val="sr-Cyrl-CS"/>
        </w:rPr>
        <w:t xml:space="preserve"> за </w:t>
      </w:r>
      <w:r w:rsidR="00E6527B" w:rsidRPr="004F5D67">
        <w:rPr>
          <w:sz w:val="24"/>
          <w:szCs w:val="24"/>
          <w:lang w:val="sr-Cyrl-CS"/>
        </w:rPr>
        <w:t>усвајање</w:t>
      </w:r>
      <w:r w:rsidR="00984521" w:rsidRPr="004F5D67">
        <w:rPr>
          <w:sz w:val="24"/>
          <w:szCs w:val="24"/>
          <w:lang w:val="sr-Cyrl-CS"/>
        </w:rPr>
        <w:t xml:space="preserve"> Стратешког плана</w:t>
      </w:r>
      <w:r w:rsidR="00BA027C" w:rsidRPr="004F5D67">
        <w:rPr>
          <w:sz w:val="24"/>
          <w:szCs w:val="24"/>
          <w:lang w:val="sr-Cyrl-CS"/>
        </w:rPr>
        <w:t xml:space="preserve"> 2024−</w:t>
      </w:r>
      <w:r w:rsidR="00E6527B" w:rsidRPr="004F5D67">
        <w:rPr>
          <w:sz w:val="24"/>
          <w:szCs w:val="24"/>
          <w:lang w:val="sr-Cyrl-CS"/>
        </w:rPr>
        <w:t>2026</w:t>
      </w:r>
      <w:bookmarkEnd w:id="28"/>
    </w:p>
    <w:p w14:paraId="0328EE05" w14:textId="77777777" w:rsidR="00411263" w:rsidRPr="004F5D67" w:rsidRDefault="00411263" w:rsidP="009E34BA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6903653" w14:textId="508728F8" w:rsidR="001E37A8" w:rsidRPr="004F5D67" w:rsidRDefault="00984521" w:rsidP="0073329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За поступак усвајања Стратешког плана </w:t>
      </w:r>
      <w:r w:rsidR="00BA027C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2024</w:t>
      </w:r>
      <w:r w:rsidR="00BA027C" w:rsidRPr="004F5D67">
        <w:rPr>
          <w:rFonts w:ascii="Times New Roman" w:hAnsi="Times New Roman" w:cs="Times New Roman"/>
          <w:sz w:val="24"/>
          <w:szCs w:val="24"/>
          <w:lang w:val="sr-Cyrl-CS"/>
        </w:rPr>
        <w:t>−</w:t>
      </w:r>
      <w:r w:rsidR="00E6527B"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2026 </w:t>
      </w:r>
      <w:r w:rsidRPr="004F5D67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нису потребна финансијска средства.</w:t>
      </w:r>
    </w:p>
    <w:p w14:paraId="1EE66964" w14:textId="77777777" w:rsidR="00BA027C" w:rsidRPr="004F5D67" w:rsidRDefault="00BA027C" w:rsidP="009E34BA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AC4DFA8" w14:textId="786441B2" w:rsidR="001E37A8" w:rsidRPr="004F5D67" w:rsidRDefault="001E37A8" w:rsidP="009E34BA">
      <w:pPr>
        <w:pStyle w:val="Heading1"/>
        <w:spacing w:before="0"/>
        <w:rPr>
          <w:sz w:val="24"/>
          <w:szCs w:val="24"/>
          <w:lang w:val="sr-Cyrl-CS"/>
        </w:rPr>
      </w:pPr>
      <w:bookmarkStart w:id="29" w:name="_Toc161827236"/>
      <w:proofErr w:type="spellStart"/>
      <w:r w:rsidRPr="004F5D67">
        <w:rPr>
          <w:sz w:val="24"/>
          <w:szCs w:val="24"/>
          <w:lang w:val="sr-Cyrl-CS"/>
        </w:rPr>
        <w:t>IX</w:t>
      </w:r>
      <w:proofErr w:type="spellEnd"/>
      <w:r w:rsidR="00825836">
        <w:rPr>
          <w:sz w:val="24"/>
          <w:szCs w:val="24"/>
          <w:lang w:val="sr-Cyrl-CS"/>
        </w:rPr>
        <w:t>.</w:t>
      </w:r>
      <w:r w:rsidRPr="004F5D67">
        <w:rPr>
          <w:sz w:val="24"/>
          <w:szCs w:val="24"/>
          <w:lang w:val="sr-Cyrl-CS"/>
        </w:rPr>
        <w:t xml:space="preserve"> </w:t>
      </w:r>
      <w:r w:rsidR="005A3D74" w:rsidRPr="004F5D67">
        <w:rPr>
          <w:sz w:val="24"/>
          <w:szCs w:val="24"/>
          <w:lang w:val="sr-Cyrl-CS"/>
        </w:rPr>
        <w:t>П</w:t>
      </w:r>
      <w:r w:rsidRPr="004F5D67">
        <w:rPr>
          <w:sz w:val="24"/>
          <w:szCs w:val="24"/>
          <w:lang w:val="sr-Cyrl-CS"/>
        </w:rPr>
        <w:t>лан</w:t>
      </w:r>
      <w:bookmarkEnd w:id="29"/>
      <w:r w:rsidR="005A3D74" w:rsidRPr="004F5D67">
        <w:rPr>
          <w:sz w:val="24"/>
          <w:szCs w:val="24"/>
          <w:lang w:val="sr-Cyrl-CS"/>
        </w:rPr>
        <w:t xml:space="preserve"> активности</w:t>
      </w:r>
    </w:p>
    <w:p w14:paraId="3DC4DE56" w14:textId="77777777" w:rsidR="001E37A8" w:rsidRPr="004F5D67" w:rsidRDefault="001E37A8" w:rsidP="009E34BA">
      <w:pPr>
        <w:pStyle w:val="PASUS"/>
        <w:spacing w:before="0" w:after="0"/>
        <w:rPr>
          <w:lang w:val="sr-Cyrl-CS" w:eastAsia="en-GB"/>
        </w:rPr>
      </w:pPr>
    </w:p>
    <w:p w14:paraId="4081CF0B" w14:textId="553400E7" w:rsidR="00643B06" w:rsidRPr="004F5D67" w:rsidRDefault="005A3D74" w:rsidP="00733298">
      <w:pPr>
        <w:pStyle w:val="PASUS"/>
        <w:spacing w:before="0" w:after="0"/>
        <w:rPr>
          <w:lang w:val="sr-Cyrl-CS" w:eastAsia="en-GB"/>
        </w:rPr>
      </w:pPr>
      <w:r w:rsidRPr="004F5D67">
        <w:rPr>
          <w:lang w:val="sr-Cyrl-CS" w:eastAsia="en-GB"/>
        </w:rPr>
        <w:t>П</w:t>
      </w:r>
      <w:r w:rsidR="001E37A8" w:rsidRPr="004F5D67">
        <w:rPr>
          <w:lang w:val="sr-Cyrl-CS" w:eastAsia="en-GB"/>
        </w:rPr>
        <w:t>лан</w:t>
      </w:r>
      <w:r w:rsidRPr="004F5D67">
        <w:rPr>
          <w:lang w:val="sr-Cyrl-CS" w:eastAsia="en-GB"/>
        </w:rPr>
        <w:t xml:space="preserve"> активности</w:t>
      </w:r>
      <w:r w:rsidR="001E37A8" w:rsidRPr="004F5D67">
        <w:rPr>
          <w:lang w:val="sr-Cyrl-CS" w:eastAsia="en-GB"/>
        </w:rPr>
        <w:t xml:space="preserve"> садржи скуп мера и активности које је потребно предузети ради остварења предвиђених циљева. Поред наведеног, истим су утврђене институције задужене за спровођење активности, органи партнери у спровођењу активности, рокови за спровођење активности, извори финансирања, као и показатељи.</w:t>
      </w:r>
      <w:r w:rsidR="00643B06" w:rsidRPr="004F5D67">
        <w:rPr>
          <w:lang w:val="sr-Cyrl-CS" w:eastAsia="en-GB"/>
        </w:rPr>
        <w:t xml:space="preserve"> </w:t>
      </w:r>
    </w:p>
    <w:p w14:paraId="15579F27" w14:textId="1418F6E6" w:rsidR="001E37A8" w:rsidRPr="004F5D67" w:rsidRDefault="005A3D74" w:rsidP="009E34BA">
      <w:pPr>
        <w:pStyle w:val="PASUS"/>
        <w:spacing w:before="0" w:after="0"/>
        <w:rPr>
          <w:lang w:val="sr-Cyrl-CS" w:eastAsia="en-GB"/>
        </w:rPr>
      </w:pPr>
      <w:r w:rsidRPr="004F5D67">
        <w:rPr>
          <w:lang w:val="sr-Cyrl-CS" w:eastAsia="en-GB"/>
        </w:rPr>
        <w:t>П</w:t>
      </w:r>
      <w:r w:rsidR="001E37A8" w:rsidRPr="004F5D67">
        <w:rPr>
          <w:lang w:val="sr-Cyrl-CS" w:eastAsia="en-GB"/>
        </w:rPr>
        <w:t>лан</w:t>
      </w:r>
      <w:r w:rsidRPr="004F5D67">
        <w:rPr>
          <w:lang w:val="sr-Cyrl-CS" w:eastAsia="en-GB"/>
        </w:rPr>
        <w:t xml:space="preserve"> активности</w:t>
      </w:r>
      <w:r w:rsidR="001E37A8" w:rsidRPr="004F5D67">
        <w:rPr>
          <w:lang w:val="sr-Cyrl-CS" w:eastAsia="en-GB"/>
        </w:rPr>
        <w:t xml:space="preserve"> чини саставни део овог документа.</w:t>
      </w:r>
    </w:p>
    <w:p w14:paraId="28F7FFA3" w14:textId="77777777" w:rsidR="001E37A8" w:rsidRPr="004F5D67" w:rsidRDefault="001E37A8" w:rsidP="009E34BA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0339FFA" w14:textId="77777777" w:rsidR="003D417C" w:rsidRPr="004F5D67" w:rsidRDefault="003D417C" w:rsidP="009E34BA">
      <w:pPr>
        <w:tabs>
          <w:tab w:val="left" w:pos="1338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2657E7" w14:textId="77777777" w:rsidR="004E76D3" w:rsidRPr="004F5D67" w:rsidRDefault="004E76D3" w:rsidP="009E34BA">
      <w:pPr>
        <w:tabs>
          <w:tab w:val="left" w:pos="1338"/>
        </w:tabs>
        <w:rPr>
          <w:rFonts w:ascii="Times New Roman" w:hAnsi="Times New Roman" w:cs="Times New Roman"/>
          <w:sz w:val="24"/>
          <w:szCs w:val="24"/>
          <w:lang w:val="sr-Cyrl-CS"/>
        </w:rPr>
        <w:sectPr w:rsidR="004E76D3" w:rsidRPr="004F5D67" w:rsidSect="00643B06">
          <w:footerReference w:type="even" r:id="rId14"/>
          <w:footerReference w:type="default" r:id="rId15"/>
          <w:pgSz w:w="11900" w:h="16840"/>
          <w:pgMar w:top="1135" w:right="1800" w:bottom="1440" w:left="1800" w:header="720" w:footer="720" w:gutter="0"/>
          <w:cols w:space="720"/>
          <w:titlePg/>
          <w:docGrid w:linePitch="360"/>
        </w:sectPr>
      </w:pPr>
    </w:p>
    <w:p w14:paraId="38C6F787" w14:textId="4230C901" w:rsidR="004E76D3" w:rsidRPr="004F5D67" w:rsidRDefault="0008065B" w:rsidP="009E34BA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 w:rsidRPr="004F5D67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lastRenderedPageBreak/>
        <w:t>П</w:t>
      </w:r>
      <w:r w:rsidR="000E668E" w:rsidRPr="004F5D67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лан</w:t>
      </w:r>
      <w:r w:rsidRPr="004F5D67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активности</w:t>
      </w:r>
    </w:p>
    <w:p w14:paraId="6288FE80" w14:textId="77777777" w:rsidR="000E668E" w:rsidRPr="004F5D67" w:rsidRDefault="000E668E" w:rsidP="009E34BA">
      <w:pPr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tbl>
      <w:tblPr>
        <w:tblW w:w="14293" w:type="dxa"/>
        <w:tblCellSpacing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2966"/>
        <w:gridCol w:w="1843"/>
        <w:gridCol w:w="2015"/>
        <w:gridCol w:w="935"/>
        <w:gridCol w:w="935"/>
        <w:gridCol w:w="936"/>
        <w:gridCol w:w="1980"/>
        <w:gridCol w:w="1987"/>
      </w:tblGrid>
      <w:tr w:rsidR="004E76D3" w:rsidRPr="004F5D67" w14:paraId="220E33A5" w14:textId="77777777" w:rsidTr="00EB3F00">
        <w:trPr>
          <w:trHeight w:val="45"/>
          <w:tblCellSpacing w:w="0" w:type="auto"/>
        </w:trPr>
        <w:tc>
          <w:tcPr>
            <w:tcW w:w="1429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12D8A6" w14:textId="297B3CE6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val="sr-Cyrl-CS"/>
              </w:rPr>
              <w:t>Општи циљ:</w:t>
            </w:r>
            <w:r w:rsidR="00E546DF" w:rsidRPr="004F5D67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 xml:space="preserve"> Подизање заштите финансијских интереса ЕУ на виши ниво, путем ангажовања релевантних институција Републике Србије, а кроз све фазе циклуса борбе против превара</w:t>
            </w:r>
            <w:r w:rsidRPr="004F5D67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4E76D3" w:rsidRPr="004F5D67" w14:paraId="4E1A82BD" w14:textId="77777777" w:rsidTr="00EB3F00">
        <w:trPr>
          <w:trHeight w:val="45"/>
          <w:tblCellSpacing w:w="0" w:type="auto"/>
        </w:trPr>
        <w:tc>
          <w:tcPr>
            <w:tcW w:w="1429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E00488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val="sr-Cyrl-CS"/>
              </w:rPr>
              <w:t>Посебни циљ 1. Јачање превентивног деловања на заштити финансијских интереса ЕУ</w:t>
            </w:r>
          </w:p>
        </w:tc>
      </w:tr>
      <w:tr w:rsidR="004E76D3" w:rsidRPr="004F5D67" w14:paraId="77C8F548" w14:textId="77777777" w:rsidTr="00EB3F00">
        <w:trPr>
          <w:trHeight w:val="45"/>
          <w:tblCellSpacing w:w="0" w:type="auto"/>
        </w:trPr>
        <w:tc>
          <w:tcPr>
            <w:tcW w:w="1429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166260" w14:textId="104EE03F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Мера 1.1 Подизање капацитета људских ресурса у оквиру превентивног деловања на заштити финансијских интереса ЕУ (усвајање знања из области по</w:t>
            </w:r>
            <w:r w:rsidR="00500BE0"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 xml:space="preserve">дршке ЕУ, управљања пројектима и </w:t>
            </w: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пра</w:t>
            </w:r>
            <w:r w:rsidR="00D44AD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ћења имплементације пројеката)</w:t>
            </w:r>
          </w:p>
        </w:tc>
      </w:tr>
      <w:tr w:rsidR="000216D2" w:rsidRPr="004F5D67" w14:paraId="1B7BE254" w14:textId="77777777" w:rsidTr="00EB3F00">
        <w:trPr>
          <w:trHeight w:val="444"/>
          <w:tblCellSpacing w:w="0" w:type="auto"/>
        </w:trPr>
        <w:tc>
          <w:tcPr>
            <w:tcW w:w="36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CC0119" w14:textId="77777777" w:rsidR="000216D2" w:rsidRPr="004F5D67" w:rsidRDefault="000216D2" w:rsidP="00F8499E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352F7B8" w14:textId="77777777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Надлежне институције</w:t>
            </w:r>
          </w:p>
        </w:tc>
        <w:tc>
          <w:tcPr>
            <w:tcW w:w="20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0F62D4E" w14:textId="77777777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8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34CC8B" w14:textId="77777777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Рок за спровођење активности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797EE14" w14:textId="77777777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Извори финансирања</w:t>
            </w:r>
          </w:p>
        </w:tc>
        <w:tc>
          <w:tcPr>
            <w:tcW w:w="19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A9544C5" w14:textId="77777777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Показатељи</w:t>
            </w:r>
          </w:p>
        </w:tc>
      </w:tr>
      <w:tr w:rsidR="000216D2" w:rsidRPr="004F5D67" w14:paraId="10719765" w14:textId="77777777" w:rsidTr="00EB3F00">
        <w:trPr>
          <w:trHeight w:val="443"/>
          <w:tblCellSpacing w:w="0" w:type="auto"/>
        </w:trPr>
        <w:tc>
          <w:tcPr>
            <w:tcW w:w="366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02A325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39A7F8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20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EDB3A7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11F05A" w14:textId="12534A04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2024</w:t>
            </w:r>
            <w:r w:rsidR="008D164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3E68A3" w14:textId="6DA3CD6B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2025</w:t>
            </w:r>
            <w:r w:rsidR="008D164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411B0B" w14:textId="558032AC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2026</w:t>
            </w:r>
            <w:r w:rsidR="008D164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B74910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9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7AE360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</w:tr>
      <w:tr w:rsidR="004E76D3" w:rsidRPr="004F5D67" w14:paraId="7E63CDDD" w14:textId="77777777" w:rsidTr="00EB3F00">
        <w:trPr>
          <w:trHeight w:val="2700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C9B609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1.1.1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5967E4" w14:textId="0F5F1E9C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Одржавање обука и радионица у циљу подизања капацитета свих релевантних учесника у процесу управљања средствима ЕУ са фокусом на приоритизацију задатака и </w:t>
            </w:r>
            <w:r w:rsidR="00966263"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одговорнo</w:t>
            </w: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сти појединаца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F3499A" w14:textId="54712C15" w:rsidR="004E76D3" w:rsidRPr="004F5D67" w:rsidRDefault="00D44AD2" w:rsidP="006B7C9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Министарство финансија -</w:t>
            </w:r>
            <w:r w:rsidR="004E76D3"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Сектор за управљање средствима Европске уније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5B867D" w14:textId="52A2C2E6" w:rsidR="004E76D3" w:rsidRPr="004F5D67" w:rsidRDefault="004E76D3" w:rsidP="006B7C9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Министарство фин</w:t>
            </w:r>
            <w:r w:rsidR="00D44AD2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ансија -</w:t>
            </w: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Сектор за уговарање и финансирање програма из средстава Европске уније, АФКОС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4358AE" w14:textId="77777777" w:rsidR="004E76D3" w:rsidRPr="004F5D67" w:rsidRDefault="004E76D3" w:rsidP="006B7C9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К4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ADDB03" w14:textId="77777777" w:rsidR="004E76D3" w:rsidRPr="004F5D67" w:rsidRDefault="004E76D3" w:rsidP="006B7C9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К2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B7C6BA" w14:textId="77777777" w:rsidR="004E76D3" w:rsidRPr="004F5D67" w:rsidRDefault="004E76D3" w:rsidP="006B7C9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К4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4F8FBC" w14:textId="77777777" w:rsidR="004E76D3" w:rsidRPr="004F5D67" w:rsidRDefault="004E76D3" w:rsidP="006B7C9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Донаторска средства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49E1B0" w14:textId="77777777" w:rsidR="004E76D3" w:rsidRPr="004F5D67" w:rsidRDefault="004E76D3" w:rsidP="006B7C9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Спроведене обуке и радионице</w:t>
            </w:r>
          </w:p>
        </w:tc>
      </w:tr>
      <w:tr w:rsidR="004E76D3" w:rsidRPr="004F5D67" w14:paraId="45F90A67" w14:textId="77777777" w:rsidTr="00EB3F00">
        <w:trPr>
          <w:trHeight w:val="548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DD8893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1.1.2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CD61D2" w14:textId="503227C9" w:rsidR="004E76D3" w:rsidRPr="004F5D67" w:rsidRDefault="004E76D3" w:rsidP="00A151EF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Тренинзи и радионице прилагођене захтевима и потребама запослених у Канцеларији </w:t>
            </w:r>
            <w:r w:rsidR="00FB3BC1"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за ревизију система управљања средствима Европске уније, на теме: п</w:t>
            </w: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ревенције и детекције пр</w:t>
            </w:r>
            <w:r w:rsidR="00D7297E"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евара и </w:t>
            </w:r>
            <w:r w:rsidR="00FB3BC1"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форензичко рачуноводство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2E76C7" w14:textId="7B03C7C1" w:rsidR="004E76D3" w:rsidRPr="004F5D67" w:rsidRDefault="004E76D3" w:rsidP="006B7C9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Канцеларија за ревизију система управљања средствима Е</w:t>
            </w:r>
            <w:r w:rsidR="00FB3BC1"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вропске уније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8F80B1" w14:textId="77777777" w:rsidR="004E76D3" w:rsidRPr="004F5D67" w:rsidRDefault="004E76D3" w:rsidP="006B7C90">
            <w:pPr>
              <w:spacing w:before="60" w:after="60"/>
              <w:jc w:val="center"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Cyrl-CS"/>
              </w:rPr>
              <w:t>Тwinning light projekat EUD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48DC52" w14:textId="77777777" w:rsidR="004E76D3" w:rsidRPr="004F5D67" w:rsidRDefault="004E76D3" w:rsidP="006B7C9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К4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38FD5A" w14:textId="02720097" w:rsidR="004E76D3" w:rsidRPr="004F5D67" w:rsidRDefault="00286502" w:rsidP="006B7C9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5C04B7" w14:textId="4FBBC684" w:rsidR="004E76D3" w:rsidRPr="004F5D67" w:rsidRDefault="00286502" w:rsidP="006B7C9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2DC1F7" w14:textId="77777777" w:rsidR="004E76D3" w:rsidRPr="004F5D67" w:rsidRDefault="004E76D3" w:rsidP="006B7C9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Донаторска средства ЕУ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76F746" w14:textId="77777777" w:rsidR="004E76D3" w:rsidRPr="004F5D67" w:rsidRDefault="004E76D3" w:rsidP="006B7C9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Број сати едукације по запосленом</w:t>
            </w:r>
          </w:p>
        </w:tc>
      </w:tr>
      <w:tr w:rsidR="004E76D3" w:rsidRPr="004F5D67" w14:paraId="2C1CDEA5" w14:textId="77777777" w:rsidTr="00EB3F00">
        <w:trPr>
          <w:trHeight w:val="4664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10E050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1.1.3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7A6787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Одржавање радионица за кориснике пројеката финансираних из програма европске територијалне сарадње са државама чланицама ЕУ у Републици Србији у оквиру ИПА III, а у циљу јачања капацитета корисника за самостално спровођење пројектних активности ради обезбеђивања свеобухватније заштите финансијских интереса ЕУ, као и сопствених буџета корисника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E299A8" w14:textId="77777777" w:rsidR="004E76D3" w:rsidRPr="004F5D67" w:rsidRDefault="004E76D3" w:rsidP="003125B8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Министарство за европске интеграције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2DA64A" w14:textId="6A55B64B" w:rsidR="004E76D3" w:rsidRPr="004F5D67" w:rsidRDefault="004E76D3" w:rsidP="003125B8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Управљачка тела програма европске територијалне сарадње, Заједнички секретаријати, Министарство финансија - АФКОС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119B5" w14:textId="77777777" w:rsidR="004E76D3" w:rsidRPr="004F5D67" w:rsidRDefault="004E76D3" w:rsidP="003125B8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К4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5410C4" w14:textId="77777777" w:rsidR="004E76D3" w:rsidRPr="004F5D67" w:rsidRDefault="004E76D3" w:rsidP="003125B8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К4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140B24" w14:textId="77777777" w:rsidR="004E76D3" w:rsidRPr="004F5D67" w:rsidRDefault="004E76D3" w:rsidP="003125B8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К4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FC390C" w14:textId="77777777" w:rsidR="004E76D3" w:rsidRPr="004F5D67" w:rsidRDefault="004E76D3" w:rsidP="003125B8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постојећи капацитети:</w:t>
            </w:r>
          </w:p>
          <w:p w14:paraId="60255A73" w14:textId="21914B88" w:rsidR="004E76D3" w:rsidRPr="004F5D67" w:rsidRDefault="00FB3BC1" w:rsidP="003125B8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1) извор 1:</w:t>
            </w:r>
            <w:r w:rsidR="004E76D3"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буџетска средства -</w:t>
            </w: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E76D3"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плате државних службеника;</w:t>
            </w:r>
          </w:p>
          <w:p w14:paraId="396BBF56" w14:textId="51102344" w:rsidR="00FB3BC1" w:rsidRPr="004F5D67" w:rsidRDefault="004E76D3" w:rsidP="003125B8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2)</w:t>
            </w:r>
            <w:r w:rsidR="00FB3BC1"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извор 2:</w:t>
            </w:r>
          </w:p>
          <w:p w14:paraId="22CAAC03" w14:textId="63EAB9DD" w:rsidR="004E76D3" w:rsidRPr="004F5D67" w:rsidRDefault="00FB3BC1" w:rsidP="003125B8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ИПА </w:t>
            </w:r>
            <w:r w:rsidR="004E76D3"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накнаде које лица ангажована за рад у антенама заједничких </w:t>
            </w:r>
            <w:r w:rsidR="00EF474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секретарија</w:t>
            </w:r>
            <w:r w:rsidR="004E76D3"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та редовно примају из ИПА средстава за конкретни програм</w:t>
            </w: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европске територијалне сарадње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35B991" w14:textId="77777777" w:rsidR="004E76D3" w:rsidRPr="004F5D67" w:rsidRDefault="004E76D3" w:rsidP="003125B8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Број одржаних радионица</w:t>
            </w:r>
          </w:p>
        </w:tc>
      </w:tr>
      <w:tr w:rsidR="004E76D3" w:rsidRPr="004F5D67" w14:paraId="2041DEAF" w14:textId="77777777" w:rsidTr="00EB3F00">
        <w:trPr>
          <w:trHeight w:val="45"/>
          <w:tblCellSpacing w:w="0" w:type="auto"/>
        </w:trPr>
        <w:tc>
          <w:tcPr>
            <w:tcW w:w="1429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963A27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Мера 1.2 Унапређење интерних процедура у области превентивног деловања на заштити финансијских интереса ЕУ</w:t>
            </w:r>
          </w:p>
        </w:tc>
      </w:tr>
      <w:tr w:rsidR="000216D2" w:rsidRPr="004F5D67" w14:paraId="78AD2994" w14:textId="77777777" w:rsidTr="00EB3F00">
        <w:trPr>
          <w:trHeight w:val="444"/>
          <w:tblCellSpacing w:w="0" w:type="auto"/>
        </w:trPr>
        <w:tc>
          <w:tcPr>
            <w:tcW w:w="36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8962D85" w14:textId="77777777" w:rsidR="000216D2" w:rsidRPr="004F5D67" w:rsidRDefault="000216D2" w:rsidP="00EB3F0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45D27D4" w14:textId="77777777" w:rsidR="000216D2" w:rsidRPr="004F5D67" w:rsidRDefault="000216D2" w:rsidP="00EB3F0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Надлежне институције</w:t>
            </w:r>
          </w:p>
        </w:tc>
        <w:tc>
          <w:tcPr>
            <w:tcW w:w="20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4CDA1B1" w14:textId="77777777" w:rsidR="000216D2" w:rsidRPr="004F5D67" w:rsidRDefault="000216D2" w:rsidP="00EB3F0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8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C0ED8C" w14:textId="77777777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Рок за спровођење активности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766036D" w14:textId="77777777" w:rsidR="000216D2" w:rsidRPr="004F5D67" w:rsidRDefault="000216D2" w:rsidP="00EB3F0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Извори финансирања</w:t>
            </w:r>
          </w:p>
        </w:tc>
        <w:tc>
          <w:tcPr>
            <w:tcW w:w="19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F9E5844" w14:textId="77777777" w:rsidR="000216D2" w:rsidRPr="004F5D67" w:rsidRDefault="000216D2" w:rsidP="00EB3F0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Показатељи</w:t>
            </w:r>
          </w:p>
        </w:tc>
      </w:tr>
      <w:tr w:rsidR="000216D2" w:rsidRPr="004F5D67" w14:paraId="546850D8" w14:textId="77777777" w:rsidTr="00EB3F00">
        <w:trPr>
          <w:trHeight w:val="443"/>
          <w:tblCellSpacing w:w="0" w:type="auto"/>
        </w:trPr>
        <w:tc>
          <w:tcPr>
            <w:tcW w:w="366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8EAC1F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6DF9D4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20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160851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49DE27" w14:textId="4D3EDC81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2024</w:t>
            </w:r>
            <w:r w:rsidR="00EB3F0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DC1FAA" w14:textId="361E1579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2025</w:t>
            </w:r>
            <w:r w:rsidR="00EB3F0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B777A7" w14:textId="3F29083E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2026</w:t>
            </w:r>
            <w:r w:rsidR="00EB3F0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7612AB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9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B6EB29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</w:tr>
      <w:tr w:rsidR="004E76D3" w:rsidRPr="004F5D67" w14:paraId="44D7B418" w14:textId="77777777" w:rsidTr="00EB3F00">
        <w:trPr>
          <w:trHeight w:val="45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F25D37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1.2.1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ECC4A" w14:textId="75ACE786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Доношење Приручника o процедурама за рад Националног органа и Приручника o процедурама за рад Контролног тела у Републици Србији за програме европске територијалне сарадње са државама чланицама ЕУ који се спроводе по моделу дељ</w:t>
            </w:r>
            <w:r w:rsidR="00FB3BC1"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еног управљања у оквиру ИПА III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200D65" w14:textId="77777777" w:rsidR="004E76D3" w:rsidRPr="004F5D67" w:rsidRDefault="004E76D3" w:rsidP="003125B8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Министарство за европске интеграције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EC5B7" w14:textId="77777777" w:rsidR="004E76D3" w:rsidRPr="004F5D67" w:rsidRDefault="004E76D3" w:rsidP="003125B8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E3D824" w14:textId="77777777" w:rsidR="004E76D3" w:rsidRPr="004F5D67" w:rsidRDefault="004E76D3" w:rsidP="003125B8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К2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7D50B" w14:textId="07D0DD8F" w:rsidR="004E76D3" w:rsidRPr="004F5D67" w:rsidRDefault="00286502" w:rsidP="003125B8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E4B322" w14:textId="71E5D428" w:rsidR="004E76D3" w:rsidRPr="004F5D67" w:rsidRDefault="00286502" w:rsidP="003125B8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E34B2B" w14:textId="4DF4D70B" w:rsidR="008B26C6" w:rsidRPr="004F5D67" w:rsidRDefault="004E76D3" w:rsidP="003125B8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1:</w:t>
            </w:r>
          </w:p>
          <w:p w14:paraId="0EB8D24E" w14:textId="54EB1722" w:rsidR="004E76D3" w:rsidRPr="004F5D67" w:rsidRDefault="008B26C6" w:rsidP="003125B8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i/>
                <w:noProof/>
                <w:spacing w:val="-2"/>
                <w:sz w:val="24"/>
                <w:szCs w:val="24"/>
                <w:lang w:val="sr-Cyrl-CS" w:eastAsia="sr-Latn-CS"/>
              </w:rPr>
              <w:t>Project Preparation Facility</w:t>
            </w: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4E76D3" w:rsidRPr="004F5D67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(</w:t>
            </w:r>
            <w:r w:rsidRPr="004F5D67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PPF</w:t>
            </w:r>
            <w:r w:rsidR="004E76D3" w:rsidRPr="004F5D67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 xml:space="preserve"> 10)</w:t>
            </w:r>
            <w:r w:rsidR="004E76D3"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извор 2: буџетска средства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68C197" w14:textId="77777777" w:rsidR="004E76D3" w:rsidRPr="004F5D67" w:rsidRDefault="004E76D3" w:rsidP="003125B8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Донет Приручник o процедурама за рад Националног органа, као и Приручник o процедурама за рад Контролног тела</w:t>
            </w:r>
          </w:p>
        </w:tc>
      </w:tr>
      <w:tr w:rsidR="004E76D3" w:rsidRPr="004F5D67" w14:paraId="33C44E91" w14:textId="77777777" w:rsidTr="00EB3F00">
        <w:trPr>
          <w:trHeight w:val="45"/>
          <w:tblCellSpacing w:w="0" w:type="auto"/>
        </w:trPr>
        <w:tc>
          <w:tcPr>
            <w:tcW w:w="1429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BFDE6A" w14:textId="4BDD431D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Мера 1.3 Развијање сарадње и размене информација у сфери превентивног деловања на заштити финансијских интереса ЕУ</w:t>
            </w:r>
            <w:r w:rsidR="00CA4803"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,</w:t>
            </w: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 xml:space="preserve"> а самим тим и финансијских интереса Републике Србије</w:t>
            </w:r>
          </w:p>
        </w:tc>
      </w:tr>
      <w:tr w:rsidR="000216D2" w:rsidRPr="004F5D67" w14:paraId="07ABBBC6" w14:textId="77777777" w:rsidTr="00EB3F00">
        <w:trPr>
          <w:trHeight w:val="444"/>
          <w:tblCellSpacing w:w="0" w:type="auto"/>
        </w:trPr>
        <w:tc>
          <w:tcPr>
            <w:tcW w:w="36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C6B469E" w14:textId="77777777" w:rsidR="000216D2" w:rsidRPr="004F5D67" w:rsidRDefault="000216D2" w:rsidP="00630795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A80F9D0" w14:textId="77777777" w:rsidR="000216D2" w:rsidRPr="004F5D67" w:rsidRDefault="000216D2" w:rsidP="00CC23D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Надлежне институције</w:t>
            </w:r>
          </w:p>
        </w:tc>
        <w:tc>
          <w:tcPr>
            <w:tcW w:w="20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0FC4EF1" w14:textId="77777777" w:rsidR="000216D2" w:rsidRPr="004F5D67" w:rsidRDefault="000216D2" w:rsidP="00CC23D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8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6D5E19" w14:textId="77777777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Рок за спровођење активности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0BFCA29" w14:textId="77777777" w:rsidR="000216D2" w:rsidRPr="004F5D67" w:rsidRDefault="000216D2" w:rsidP="00CC23D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Извори финансирања</w:t>
            </w:r>
          </w:p>
        </w:tc>
        <w:tc>
          <w:tcPr>
            <w:tcW w:w="19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8BB6202" w14:textId="77777777" w:rsidR="000216D2" w:rsidRPr="004F5D67" w:rsidRDefault="000216D2" w:rsidP="00CC23D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Показатељи</w:t>
            </w:r>
          </w:p>
        </w:tc>
      </w:tr>
      <w:tr w:rsidR="000216D2" w:rsidRPr="004F5D67" w14:paraId="3A20A8EB" w14:textId="77777777" w:rsidTr="00EB3F00">
        <w:trPr>
          <w:trHeight w:val="443"/>
          <w:tblCellSpacing w:w="0" w:type="auto"/>
        </w:trPr>
        <w:tc>
          <w:tcPr>
            <w:tcW w:w="366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E52B9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683974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20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710476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C4FD3B" w14:textId="15805932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2024</w:t>
            </w:r>
            <w:r w:rsidR="00CC23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39C85" w14:textId="0FA2EC4D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2025</w:t>
            </w:r>
            <w:r w:rsidR="00CC23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087D39" w14:textId="059E2D21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2026</w:t>
            </w:r>
            <w:r w:rsidR="00CC23D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B8C48F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9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59550C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</w:tr>
      <w:tr w:rsidR="004E76D3" w:rsidRPr="004F5D67" w14:paraId="69F967CF" w14:textId="77777777" w:rsidTr="00EB3F00">
        <w:trPr>
          <w:trHeight w:val="45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FD0715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1.3.1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055D96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Успостављање софтверске платформе за размену података и информација из области управљања неправилностима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E41CBB" w14:textId="068F25CD" w:rsidR="004E76D3" w:rsidRPr="004F5D67" w:rsidRDefault="003125B8" w:rsidP="003125B8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Министарство финансија -</w:t>
            </w:r>
          </w:p>
          <w:p w14:paraId="1D2F1896" w14:textId="77777777" w:rsidR="004E76D3" w:rsidRPr="004F5D67" w:rsidRDefault="004E76D3" w:rsidP="003125B8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Сектор за уговарање и финансирање програма из средстава Европске уније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CF06A3" w14:textId="6DC9E0F7" w:rsidR="004E76D3" w:rsidRPr="004F5D67" w:rsidRDefault="003125B8" w:rsidP="003125B8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Министарство финансија -</w:t>
            </w:r>
          </w:p>
          <w:p w14:paraId="4B3E7461" w14:textId="77777777" w:rsidR="004E76D3" w:rsidRPr="004F5D67" w:rsidRDefault="004E76D3" w:rsidP="003125B8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Сектор за управљање средствима Европске уније,</w:t>
            </w:r>
          </w:p>
          <w:p w14:paraId="36038CEC" w14:textId="77777777" w:rsidR="004E76D3" w:rsidRPr="004F5D67" w:rsidRDefault="004E76D3" w:rsidP="003125B8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АФКОС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4211DA" w14:textId="46E5C57E" w:rsidR="004E76D3" w:rsidRPr="004F5D67" w:rsidRDefault="00286502" w:rsidP="003125B8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B3A30D" w14:textId="77777777" w:rsidR="004E76D3" w:rsidRPr="004F5D67" w:rsidRDefault="004E76D3" w:rsidP="003125B8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K3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82EECE" w14:textId="47259E6E" w:rsidR="004E76D3" w:rsidRPr="004F5D67" w:rsidRDefault="00286502" w:rsidP="003125B8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1040CE" w14:textId="77777777" w:rsidR="004E76D3" w:rsidRPr="004F5D67" w:rsidRDefault="004E76D3" w:rsidP="003125B8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Буџетска средства</w:t>
            </w:r>
          </w:p>
          <w:p w14:paraId="6893154C" w14:textId="77777777" w:rsidR="004E76D3" w:rsidRPr="004F5D67" w:rsidRDefault="004E76D3" w:rsidP="003125B8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4E531" w14:textId="77777777" w:rsidR="004E76D3" w:rsidRPr="004F5D67" w:rsidRDefault="004E76D3" w:rsidP="003125B8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Успостављена софтверска платформа</w:t>
            </w:r>
          </w:p>
        </w:tc>
      </w:tr>
      <w:tr w:rsidR="004E76D3" w:rsidRPr="004F5D67" w14:paraId="45A71131" w14:textId="77777777" w:rsidTr="00EB3F00">
        <w:trPr>
          <w:trHeight w:val="45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105654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1.3.2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CC9E19" w14:textId="3DFBB48B" w:rsidR="004E76D3" w:rsidRPr="004F5D67" w:rsidRDefault="00E369B5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Одржавање регионалне радионице</w:t>
            </w:r>
            <w:r w:rsidR="004E76D3"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службеника за неправилности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9E6CC" w14:textId="4E1D7B17" w:rsidR="004E76D3" w:rsidRPr="004F5D67" w:rsidRDefault="00B64304" w:rsidP="00B6430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Министарство финансија -</w:t>
            </w:r>
          </w:p>
          <w:p w14:paraId="4B77DF0C" w14:textId="77777777" w:rsidR="004E76D3" w:rsidRPr="004F5D67" w:rsidRDefault="004E76D3" w:rsidP="00B6430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Сектор за уговарање и финансирање програма из средстава Европске уније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B4BF60" w14:textId="749710EA" w:rsidR="004E76D3" w:rsidRPr="004F5D67" w:rsidRDefault="004E76D3" w:rsidP="00B6430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Министарство </w:t>
            </w:r>
            <w:r w:rsidR="00B6430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финансија -</w:t>
            </w:r>
          </w:p>
          <w:p w14:paraId="411EB4EB" w14:textId="77777777" w:rsidR="004E76D3" w:rsidRPr="004F5D67" w:rsidRDefault="004E76D3" w:rsidP="00B64304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Сектор за управљање средствима Европске уније,</w:t>
            </w:r>
          </w:p>
          <w:p w14:paraId="520F7C8D" w14:textId="77777777" w:rsidR="004E76D3" w:rsidRPr="004F5D67" w:rsidRDefault="004E76D3" w:rsidP="00B6430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АФКОС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2A1D9E" w14:textId="77777777" w:rsidR="004E76D3" w:rsidRPr="004F5D67" w:rsidRDefault="004E76D3" w:rsidP="00B6430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К4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BEFB8E" w14:textId="2692F898" w:rsidR="004E76D3" w:rsidRPr="004F5D67" w:rsidRDefault="006F19EE" w:rsidP="00B6430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C56986" w14:textId="7C249762" w:rsidR="004E76D3" w:rsidRPr="004F5D67" w:rsidRDefault="006F19EE" w:rsidP="00B6430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6E2BF2" w14:textId="77777777" w:rsidR="004E76D3" w:rsidRPr="004F5D67" w:rsidRDefault="004E76D3" w:rsidP="00B6430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Извор 1: буџетска средства и</w:t>
            </w:r>
          </w:p>
          <w:p w14:paraId="4798BCE7" w14:textId="77777777" w:rsidR="004E76D3" w:rsidRPr="004F5D67" w:rsidRDefault="004E76D3" w:rsidP="00B6430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извор 2: донаторска средства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93C987" w14:textId="655E4D79" w:rsidR="004E76D3" w:rsidRPr="004F5D67" w:rsidRDefault="006F19EE" w:rsidP="00B6430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Одржана радионица</w:t>
            </w:r>
          </w:p>
        </w:tc>
      </w:tr>
      <w:tr w:rsidR="004E76D3" w:rsidRPr="004F5D67" w14:paraId="168857C4" w14:textId="77777777" w:rsidTr="00EB3F00">
        <w:trPr>
          <w:trHeight w:val="45"/>
          <w:tblCellSpacing w:w="0" w:type="auto"/>
        </w:trPr>
        <w:tc>
          <w:tcPr>
            <w:tcW w:w="1429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1E5AA6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Мера 1.4 Измена и/или усклађивање правног оквира ради јачања превентивног деловања на заштити финансијских интереса ЕУ</w:t>
            </w:r>
          </w:p>
        </w:tc>
      </w:tr>
      <w:tr w:rsidR="000216D2" w:rsidRPr="004F5D67" w14:paraId="42CBAA77" w14:textId="77777777" w:rsidTr="00EB3F00">
        <w:trPr>
          <w:trHeight w:val="444"/>
          <w:tblCellSpacing w:w="0" w:type="auto"/>
        </w:trPr>
        <w:tc>
          <w:tcPr>
            <w:tcW w:w="36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C9344A9" w14:textId="77777777" w:rsidR="000216D2" w:rsidRPr="004F5D67" w:rsidRDefault="000216D2" w:rsidP="00FB3357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8BE092C" w14:textId="77777777" w:rsidR="000216D2" w:rsidRPr="004F5D67" w:rsidRDefault="000216D2" w:rsidP="00FB3357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Надлежне институције</w:t>
            </w:r>
          </w:p>
        </w:tc>
        <w:tc>
          <w:tcPr>
            <w:tcW w:w="20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D72A789" w14:textId="77777777" w:rsidR="000216D2" w:rsidRPr="004F5D67" w:rsidRDefault="000216D2" w:rsidP="00FB3357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8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9228B4" w14:textId="77777777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Рок за спровођење активности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C307E00" w14:textId="77777777" w:rsidR="000216D2" w:rsidRPr="004F5D67" w:rsidRDefault="000216D2" w:rsidP="00FB3357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Извори финансирања</w:t>
            </w:r>
          </w:p>
        </w:tc>
        <w:tc>
          <w:tcPr>
            <w:tcW w:w="19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B5E7C1A" w14:textId="77777777" w:rsidR="000216D2" w:rsidRPr="004F5D67" w:rsidRDefault="000216D2" w:rsidP="00FB3357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Показатељи</w:t>
            </w:r>
          </w:p>
        </w:tc>
      </w:tr>
      <w:tr w:rsidR="000216D2" w:rsidRPr="004F5D67" w14:paraId="613A81DE" w14:textId="77777777" w:rsidTr="00EB3F00">
        <w:trPr>
          <w:trHeight w:val="443"/>
          <w:tblCellSpacing w:w="0" w:type="auto"/>
        </w:trPr>
        <w:tc>
          <w:tcPr>
            <w:tcW w:w="366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E9E215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930337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20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EF28AD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F84A91" w14:textId="5328EBC8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2024</w:t>
            </w:r>
            <w:r w:rsidR="00FB335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16EB8" w14:textId="2C280FCA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2025</w:t>
            </w:r>
            <w:r w:rsidR="00FB335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118514" w14:textId="45050BDA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2026</w:t>
            </w:r>
            <w:r w:rsidR="00FB335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2B0A09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9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2CD6D4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</w:tr>
      <w:tr w:rsidR="004E76D3" w:rsidRPr="004F5D67" w14:paraId="774ABD6A" w14:textId="77777777" w:rsidTr="00EB3F00">
        <w:trPr>
          <w:trHeight w:val="45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950F59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1.4.1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7A79D0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Спровођење обука за јавне функционере у области пријаве и провере имовине и решавања о сукобу интереса тако да садрже и сегмент заштите финансијских интереса ЕУ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9FE80A" w14:textId="77777777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Агенција за спречавање корупције</w:t>
            </w:r>
          </w:p>
          <w:p w14:paraId="5795D2C6" w14:textId="77777777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C3DB9C" w14:textId="77777777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Министарство финансија, АФКОС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CCB5CE" w14:textId="77777777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K4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677A47" w14:textId="77777777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K4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CAB27D" w14:textId="77777777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K4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E1DD4" w14:textId="77777777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Буџетска средства</w:t>
            </w:r>
          </w:p>
          <w:p w14:paraId="403B459A" w14:textId="77777777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(1601-0007)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E9FAE3" w14:textId="77777777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Спроведене обуке за јавне функционере</w:t>
            </w:r>
          </w:p>
        </w:tc>
      </w:tr>
      <w:tr w:rsidR="004E76D3" w:rsidRPr="004F5D67" w14:paraId="552BC583" w14:textId="77777777" w:rsidTr="00EB3F00">
        <w:trPr>
          <w:trHeight w:val="45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17B61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1.4.2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F6F30F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Спровођење обука о примени Методологије за процену ризика корупције у прописима за овлашћене предлагаче прописа тако да садрже и сегмент заштите финансијских интереса ЕУ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D7507B" w14:textId="77777777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Агенција за спречавање корупције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3743D9" w14:textId="77777777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Министарство финансија, АФКОС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32820C" w14:textId="77777777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K4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B3D242" w14:textId="77777777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K4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962E40" w14:textId="77777777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K4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794C41" w14:textId="77777777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Буџетска средства</w:t>
            </w:r>
          </w:p>
          <w:p w14:paraId="406F2EF5" w14:textId="77777777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(1601-0007)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694293" w14:textId="77777777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Спроведене обуке</w:t>
            </w:r>
          </w:p>
        </w:tc>
      </w:tr>
      <w:tr w:rsidR="00F9265D" w:rsidRPr="004F5D67" w14:paraId="67BE0E26" w14:textId="77777777" w:rsidTr="00EB3F00">
        <w:trPr>
          <w:trHeight w:val="2680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672CF9" w14:textId="51FE55B1" w:rsidR="00F9265D" w:rsidRPr="004F5D67" w:rsidRDefault="00F9265D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1.4.3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34F3F2" w14:textId="0410CF86" w:rsidR="00F9265D" w:rsidRPr="004F5D67" w:rsidRDefault="00F9265D" w:rsidP="00931162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Усвајање Уредбе о спровођењу програма европске територијалне сарадње са државама чланицама ЕУ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7F5A31" w14:textId="7B384EB7" w:rsidR="00F9265D" w:rsidRPr="004F5D67" w:rsidRDefault="00F9265D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Министарство за европске интеграције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B3C406" w14:textId="22FD444F" w:rsidR="00F9265D" w:rsidRPr="004F5D67" w:rsidRDefault="00F9265D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Републички секретаријат за законодавство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3D2D4" w14:textId="103ED490" w:rsidR="00F9265D" w:rsidRPr="004F5D67" w:rsidRDefault="00F9265D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K3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6BCEC7" w14:textId="7831992A" w:rsidR="00F9265D" w:rsidRPr="004F5D67" w:rsidRDefault="00F9265D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E8A3BD" w14:textId="3F55A3F8" w:rsidR="00F9265D" w:rsidRPr="004F5D67" w:rsidRDefault="00F9265D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921B50" w14:textId="5BD86E9A" w:rsidR="00F9265D" w:rsidRPr="004F5D67" w:rsidRDefault="00F9265D" w:rsidP="00AA3C30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Извор 1:</w:t>
            </w:r>
          </w:p>
          <w:p w14:paraId="4EDE5A0F" w14:textId="422E926C" w:rsidR="00F9265D" w:rsidRPr="004F5D67" w:rsidRDefault="00F9265D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i/>
                <w:noProof/>
                <w:spacing w:val="-2"/>
                <w:sz w:val="24"/>
                <w:szCs w:val="24"/>
                <w:lang w:val="sr-Cyrl-CS" w:eastAsia="sr-Latn-CS"/>
              </w:rPr>
              <w:t>Project Preparation Facility</w:t>
            </w: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F5D67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(PPF 10)</w:t>
            </w: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извор 2: буџетска средства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31C778" w14:textId="0D4DBA44" w:rsidR="00F9265D" w:rsidRPr="004F5D67" w:rsidRDefault="00F9265D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Усвојена Уредба о спровођењу програма европске територијалне сарадње са државама чланицама ЕУ</w:t>
            </w:r>
          </w:p>
        </w:tc>
      </w:tr>
      <w:tr w:rsidR="004E76D3" w:rsidRPr="004F5D67" w14:paraId="49726035" w14:textId="77777777" w:rsidTr="00EB3F00">
        <w:trPr>
          <w:trHeight w:val="45"/>
          <w:tblCellSpacing w:w="0" w:type="auto"/>
        </w:trPr>
        <w:tc>
          <w:tcPr>
            <w:tcW w:w="1429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E6630A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Мера 1.5 Подизање нивоа свести о значају заштите финансијских интереса ЕУ и финансијских интереса Републике Србије и пријављивања неправилности и сумњи на превару унутар и ван система</w:t>
            </w:r>
          </w:p>
        </w:tc>
      </w:tr>
      <w:tr w:rsidR="000216D2" w:rsidRPr="004F5D67" w14:paraId="301AFA38" w14:textId="77777777" w:rsidTr="00EB3F00">
        <w:trPr>
          <w:trHeight w:val="444"/>
          <w:tblCellSpacing w:w="0" w:type="auto"/>
        </w:trPr>
        <w:tc>
          <w:tcPr>
            <w:tcW w:w="36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308EDEB" w14:textId="77777777" w:rsidR="000216D2" w:rsidRPr="004F5D67" w:rsidRDefault="000216D2" w:rsidP="00CA43E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89C208B" w14:textId="77777777" w:rsidR="000216D2" w:rsidRPr="004F5D67" w:rsidRDefault="000216D2" w:rsidP="00CA43E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Надлежне институције</w:t>
            </w:r>
          </w:p>
        </w:tc>
        <w:tc>
          <w:tcPr>
            <w:tcW w:w="20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8995BF9" w14:textId="77777777" w:rsidR="000216D2" w:rsidRPr="004F5D67" w:rsidRDefault="000216D2" w:rsidP="00CA43E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8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6A3361" w14:textId="77777777" w:rsidR="000216D2" w:rsidRPr="004F5D67" w:rsidRDefault="000216D2" w:rsidP="00CA43E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Рок за спровођење активности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B41D47F" w14:textId="77777777" w:rsidR="000216D2" w:rsidRPr="004F5D67" w:rsidRDefault="000216D2" w:rsidP="00CA43E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Извори финансирања</w:t>
            </w:r>
          </w:p>
        </w:tc>
        <w:tc>
          <w:tcPr>
            <w:tcW w:w="19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781F82F" w14:textId="77777777" w:rsidR="000216D2" w:rsidRPr="004F5D67" w:rsidRDefault="000216D2" w:rsidP="00CA43E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Показатељи</w:t>
            </w:r>
          </w:p>
        </w:tc>
      </w:tr>
      <w:tr w:rsidR="000216D2" w:rsidRPr="004F5D67" w14:paraId="237EAC0F" w14:textId="77777777" w:rsidTr="00EB3F00">
        <w:trPr>
          <w:trHeight w:val="443"/>
          <w:tblCellSpacing w:w="0" w:type="auto"/>
        </w:trPr>
        <w:tc>
          <w:tcPr>
            <w:tcW w:w="366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6CFE89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6DB4DF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20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C0A674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BE8901" w14:textId="141C0E2E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2024</w:t>
            </w:r>
            <w:r w:rsidR="00B45D5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9AD589" w14:textId="7C4DD9CB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2025</w:t>
            </w:r>
            <w:r w:rsidR="00B45D5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ED160" w14:textId="775FBF8C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2026</w:t>
            </w:r>
            <w:r w:rsidR="00B45D50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B2F2DE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9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C01D2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</w:tr>
      <w:tr w:rsidR="004E76D3" w:rsidRPr="004F5D67" w14:paraId="7734311E" w14:textId="77777777" w:rsidTr="00EB3F00">
        <w:trPr>
          <w:trHeight w:val="1476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9B7BF6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1.5.1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EF7544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Упознавање представника локалних самоуправа, као корисника средстава ЕУ, са значајем правилног трошења истих и последицама кршења одредаба релевантних прописа и уговора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7296EE" w14:textId="77777777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Министарство финансија - АФКОС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151183" w14:textId="59F0BAB4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Министарство за европске интеграције и</w:t>
            </w:r>
            <w:r w:rsidR="00081099"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Министарство финансија -</w:t>
            </w: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Сектор за уговарање и финансирање програма из средстава Европске уније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4D9B65" w14:textId="77777777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К4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F2C23" w14:textId="6700EECD" w:rsidR="004E76D3" w:rsidRPr="004F5D67" w:rsidRDefault="00286502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D0844" w14:textId="77777777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К3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12F278" w14:textId="77777777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CB04C" w14:textId="77777777" w:rsidR="004E76D3" w:rsidRPr="004F5D67" w:rsidRDefault="004E76D3" w:rsidP="00AA3C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Одржана радионица</w:t>
            </w:r>
          </w:p>
        </w:tc>
      </w:tr>
      <w:tr w:rsidR="004E76D3" w:rsidRPr="004F5D67" w14:paraId="1447E9A9" w14:textId="77777777" w:rsidTr="00EB3F00">
        <w:trPr>
          <w:trHeight w:val="264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4D401D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1.5.2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167E3" w14:textId="31BE4CBD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Радионица за запослене у Министарству пољопривреде</w:t>
            </w:r>
            <w:r w:rsidR="00966263"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,</w:t>
            </w: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шумарства </w:t>
            </w: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и водопривреде који учествују у спровођењу ИПА пројеката на тему подизања нивоа свести о значају заштите финансијских интереса ЕУ и финансијских интереса Републике Србије и пријављивања неправилности и сумњи на превару унутар система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1B30A6" w14:textId="32FA9AE6" w:rsidR="004E76D3" w:rsidRPr="004F5D67" w:rsidRDefault="004E76D3" w:rsidP="00174CC7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Министарство пољопривреде</w:t>
            </w:r>
            <w:r w:rsidR="00966263"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,</w:t>
            </w: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шумарства и водопривреде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26518E" w14:textId="4BEF7B90" w:rsidR="004E76D3" w:rsidRPr="004F5D67" w:rsidRDefault="004E76D3" w:rsidP="00174CC7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Органи унутар Министарства пољопривреде</w:t>
            </w:r>
            <w:r w:rsidR="00966263"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,</w:t>
            </w: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</w:t>
            </w: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шумарства и водопривреде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139B18" w14:textId="77777777" w:rsidR="004E76D3" w:rsidRPr="004F5D67" w:rsidRDefault="004E76D3" w:rsidP="00174CC7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К3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31876B" w14:textId="77777777" w:rsidR="004E76D3" w:rsidRPr="004F5D67" w:rsidRDefault="004E76D3" w:rsidP="00174CC7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К2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24C0FC" w14:textId="12C327FA" w:rsidR="004E76D3" w:rsidRPr="004F5D67" w:rsidRDefault="00D76A77" w:rsidP="00174CC7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0C2BA7" w14:textId="74479F89" w:rsidR="004E76D3" w:rsidRPr="004F5D67" w:rsidRDefault="006D526B" w:rsidP="00174CC7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F37E7A" w14:textId="77777777" w:rsidR="004E76D3" w:rsidRPr="004F5D67" w:rsidRDefault="004E76D3" w:rsidP="00174CC7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Одржана радионица за подизање нивоа </w:t>
            </w: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свести о значају заштите финансијских интереса ЕУ и финансијских интереса Републике Србије и пријављивања неправилности и сумњи на превару унутар система</w:t>
            </w:r>
          </w:p>
        </w:tc>
      </w:tr>
      <w:tr w:rsidR="004E76D3" w:rsidRPr="004F5D67" w14:paraId="3611D716" w14:textId="77777777" w:rsidTr="00EB3F00">
        <w:trPr>
          <w:trHeight w:val="45"/>
          <w:tblCellSpacing w:w="0" w:type="auto"/>
        </w:trPr>
        <w:tc>
          <w:tcPr>
            <w:tcW w:w="1429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A46FB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lastRenderedPageBreak/>
              <w:t>Мера 1.6 Повећање видљивости о значају заштите финансијских интереса ЕУ и финансијских интереса Републике Србије код других заинтересованих страна, јавности и потенцијалних субјеката који пријављују неправилности унутар и ван система</w:t>
            </w:r>
          </w:p>
        </w:tc>
      </w:tr>
      <w:tr w:rsidR="000216D2" w:rsidRPr="004F5D67" w14:paraId="2E1FE6CE" w14:textId="77777777" w:rsidTr="00EB3F00">
        <w:trPr>
          <w:trHeight w:val="444"/>
          <w:tblCellSpacing w:w="0" w:type="auto"/>
        </w:trPr>
        <w:tc>
          <w:tcPr>
            <w:tcW w:w="36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E47DCEB" w14:textId="77777777" w:rsidR="000216D2" w:rsidRPr="004F5D67" w:rsidRDefault="000216D2" w:rsidP="001324F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5F31F02" w14:textId="77777777" w:rsidR="000216D2" w:rsidRPr="004F5D67" w:rsidRDefault="000216D2" w:rsidP="001324F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Надлежне институције</w:t>
            </w:r>
          </w:p>
        </w:tc>
        <w:tc>
          <w:tcPr>
            <w:tcW w:w="20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AF937F6" w14:textId="77777777" w:rsidR="000216D2" w:rsidRPr="004F5D67" w:rsidRDefault="000216D2" w:rsidP="001324F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8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E4C6F7" w14:textId="77777777" w:rsidR="000216D2" w:rsidRPr="004F5D67" w:rsidRDefault="000216D2" w:rsidP="001324F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Рок за спровођење активности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4B1A91A" w14:textId="77777777" w:rsidR="000216D2" w:rsidRPr="004F5D67" w:rsidRDefault="000216D2" w:rsidP="001324F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Извори финансирања</w:t>
            </w:r>
          </w:p>
        </w:tc>
        <w:tc>
          <w:tcPr>
            <w:tcW w:w="19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EB12D34" w14:textId="77777777" w:rsidR="000216D2" w:rsidRPr="004F5D67" w:rsidRDefault="000216D2" w:rsidP="001324F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Показатељи</w:t>
            </w:r>
          </w:p>
        </w:tc>
      </w:tr>
      <w:tr w:rsidR="000216D2" w:rsidRPr="004F5D67" w14:paraId="218EC9DD" w14:textId="77777777" w:rsidTr="00EB3F00">
        <w:trPr>
          <w:trHeight w:val="443"/>
          <w:tblCellSpacing w:w="0" w:type="auto"/>
        </w:trPr>
        <w:tc>
          <w:tcPr>
            <w:tcW w:w="366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A04128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F06A35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20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274274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2D35C0" w14:textId="3869FEC6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2024</w:t>
            </w:r>
            <w:r w:rsidR="001324F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4103E" w14:textId="799A686D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2025</w:t>
            </w:r>
            <w:r w:rsidR="001324F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A0005B" w14:textId="0D64579E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2026</w:t>
            </w:r>
            <w:r w:rsidR="001324F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3A50C4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9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94167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</w:tr>
      <w:tr w:rsidR="004E76D3" w:rsidRPr="004F5D67" w14:paraId="09BD32B5" w14:textId="77777777" w:rsidTr="00EB3F00">
        <w:trPr>
          <w:trHeight w:val="1353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E2D4A9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1.6.1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54C23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Израда промотивног материјала за потребе кампање и постављање истог на видљивом месту у просторијама локалних самоуправа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468E31" w14:textId="77777777" w:rsidR="004E76D3" w:rsidRPr="004F5D67" w:rsidRDefault="004E76D3" w:rsidP="00063F06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Министарство финансија - АФКОС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9BF79" w14:textId="77777777" w:rsidR="004E76D3" w:rsidRPr="004F5D67" w:rsidRDefault="004E76D3" w:rsidP="00063F06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C37559" w14:textId="77777777" w:rsidR="004E76D3" w:rsidRPr="004F5D67" w:rsidRDefault="004E76D3" w:rsidP="00063F06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К3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79C2DB" w14:textId="246E07D3" w:rsidR="004E76D3" w:rsidRPr="004F5D67" w:rsidRDefault="0014113C" w:rsidP="00063F06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351823" w14:textId="566C4961" w:rsidR="004E76D3" w:rsidRPr="004F5D67" w:rsidRDefault="0014113C" w:rsidP="00063F06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EBC29F" w14:textId="77777777" w:rsidR="004E76D3" w:rsidRPr="004F5D67" w:rsidRDefault="004E76D3" w:rsidP="00063F06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60151" w14:textId="77777777" w:rsidR="004E76D3" w:rsidRPr="004F5D67" w:rsidRDefault="004E76D3" w:rsidP="00063F06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Постављен промотивни материјал</w:t>
            </w:r>
          </w:p>
        </w:tc>
      </w:tr>
      <w:tr w:rsidR="004E76D3" w:rsidRPr="004F5D67" w14:paraId="451685C3" w14:textId="77777777" w:rsidTr="00EB3F00">
        <w:trPr>
          <w:trHeight w:val="2131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4EF8A9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1.6.2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63A00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Израда интернет странице АФКОС-а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0BB3DE" w14:textId="77777777" w:rsidR="004E76D3" w:rsidRPr="004F5D67" w:rsidRDefault="004E76D3" w:rsidP="00063F06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Министарство финансија - АФКОС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002962" w14:textId="77777777" w:rsidR="004E76D3" w:rsidRPr="004F5D67" w:rsidRDefault="004E76D3" w:rsidP="00063F06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Министарство финансија - Одсек за односе министарства са јавношћу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408E5C" w14:textId="77777777" w:rsidR="004E76D3" w:rsidRPr="004F5D67" w:rsidRDefault="004E76D3" w:rsidP="00063F06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К3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23FA1" w14:textId="7375C33E" w:rsidR="004E76D3" w:rsidRPr="004F5D67" w:rsidRDefault="0014113C" w:rsidP="00063F06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FE606" w14:textId="7302CE7D" w:rsidR="004E76D3" w:rsidRPr="004F5D67" w:rsidRDefault="0014113C" w:rsidP="00063F06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D82230" w14:textId="77777777" w:rsidR="004E76D3" w:rsidRPr="004F5D67" w:rsidRDefault="004E76D3" w:rsidP="00063F06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A45326" w14:textId="77777777" w:rsidR="004E76D3" w:rsidRPr="004F5D67" w:rsidRDefault="004E76D3" w:rsidP="00063F06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Израђена интернет страница АФКОС-а</w:t>
            </w:r>
          </w:p>
        </w:tc>
      </w:tr>
      <w:tr w:rsidR="004E76D3" w:rsidRPr="004F5D67" w14:paraId="3C76C769" w14:textId="77777777" w:rsidTr="00EB3F00">
        <w:trPr>
          <w:trHeight w:val="45"/>
          <w:tblCellSpacing w:w="0" w:type="auto"/>
        </w:trPr>
        <w:tc>
          <w:tcPr>
            <w:tcW w:w="1429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9E4981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val="sr-Cyrl-CS"/>
              </w:rPr>
              <w:t>Посебни циљ 2. Унапређење процеса раног откривања превара, пријављивања и поступања по пријављеним неправилностима и сумњама на превару</w:t>
            </w:r>
          </w:p>
        </w:tc>
      </w:tr>
      <w:tr w:rsidR="004E76D3" w:rsidRPr="004F5D67" w14:paraId="5F99A401" w14:textId="77777777" w:rsidTr="00EB3F00">
        <w:trPr>
          <w:trHeight w:val="45"/>
          <w:tblCellSpacing w:w="0" w:type="auto"/>
        </w:trPr>
        <w:tc>
          <w:tcPr>
            <w:tcW w:w="1230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7E8EA6" w14:textId="51FFC986" w:rsidR="004E76D3" w:rsidRPr="004F5D67" w:rsidRDefault="008B3BE6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Мера 2.1</w:t>
            </w:r>
            <w:r w:rsidR="004E76D3"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 xml:space="preserve"> Развијање сарадње и размене информација у области раног откривања превара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3342E3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</w:tr>
      <w:tr w:rsidR="000216D2" w:rsidRPr="004F5D67" w14:paraId="15D8DAE3" w14:textId="77777777" w:rsidTr="00EB3F00">
        <w:trPr>
          <w:trHeight w:val="444"/>
          <w:tblCellSpacing w:w="0" w:type="auto"/>
        </w:trPr>
        <w:tc>
          <w:tcPr>
            <w:tcW w:w="36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686406F" w14:textId="77777777" w:rsidR="000216D2" w:rsidRPr="004F5D67" w:rsidRDefault="000216D2" w:rsidP="00D9209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762B797" w14:textId="77777777" w:rsidR="000216D2" w:rsidRPr="004F5D67" w:rsidRDefault="000216D2" w:rsidP="00D9209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Надлежне институције</w:t>
            </w:r>
          </w:p>
        </w:tc>
        <w:tc>
          <w:tcPr>
            <w:tcW w:w="20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12A10D3" w14:textId="77777777" w:rsidR="000216D2" w:rsidRPr="004F5D67" w:rsidRDefault="000216D2" w:rsidP="00D9209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8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D41085" w14:textId="77777777" w:rsidR="000216D2" w:rsidRPr="004F5D67" w:rsidRDefault="000216D2" w:rsidP="00D9209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Рок за спровођење активности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38A9C0D" w14:textId="77777777" w:rsidR="000216D2" w:rsidRPr="004F5D67" w:rsidRDefault="000216D2" w:rsidP="00D9209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Извори финансирања</w:t>
            </w:r>
          </w:p>
        </w:tc>
        <w:tc>
          <w:tcPr>
            <w:tcW w:w="19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7918CF2" w14:textId="77777777" w:rsidR="000216D2" w:rsidRPr="004F5D67" w:rsidRDefault="000216D2" w:rsidP="00D9209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Показатељи</w:t>
            </w:r>
          </w:p>
        </w:tc>
      </w:tr>
      <w:tr w:rsidR="000216D2" w:rsidRPr="004F5D67" w14:paraId="72A8AF77" w14:textId="77777777" w:rsidTr="00EB3F00">
        <w:trPr>
          <w:trHeight w:val="443"/>
          <w:tblCellSpacing w:w="0" w:type="auto"/>
        </w:trPr>
        <w:tc>
          <w:tcPr>
            <w:tcW w:w="366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40B775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CAD0D4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20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BA403D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3F3B3A" w14:textId="6834223A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2024</w:t>
            </w:r>
            <w:r w:rsidR="00D9209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FFC76" w14:textId="290437D6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2025</w:t>
            </w:r>
            <w:r w:rsidR="00D9209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14ECEC" w14:textId="604B7733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2026</w:t>
            </w:r>
            <w:r w:rsidR="00D9209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1DA19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9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A8CC0B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</w:tr>
      <w:tr w:rsidR="004E76D3" w:rsidRPr="004F5D67" w14:paraId="4B8D217E" w14:textId="77777777" w:rsidTr="00EB3F00">
        <w:trPr>
          <w:trHeight w:val="837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60509B" w14:textId="56213E6E" w:rsidR="004E76D3" w:rsidRPr="004F5D67" w:rsidRDefault="008B3BE6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2.1</w:t>
            </w:r>
            <w:r w:rsidR="004E76D3"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.1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012533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Одржавање обука инспекторима Буџетске инспекције у циљу унапређења сарадње и размене информација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FCD5AB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Министарство финансија - АФКОС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9DC72E" w14:textId="77777777" w:rsidR="004E76D3" w:rsidRPr="004F5D67" w:rsidRDefault="004E76D3" w:rsidP="00063F06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Министарство финансија - Сектор за буџетску инспекцију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EF032F" w14:textId="65F85E70" w:rsidR="004E76D3" w:rsidRPr="004F5D67" w:rsidRDefault="0014113C" w:rsidP="00063F06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59E2E4" w14:textId="77777777" w:rsidR="004E76D3" w:rsidRPr="004F5D67" w:rsidRDefault="004E76D3" w:rsidP="00063F06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К1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61FCE1" w14:textId="40673EE4" w:rsidR="004E76D3" w:rsidRPr="004F5D67" w:rsidRDefault="0014113C" w:rsidP="00063F06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2EF21F" w14:textId="77777777" w:rsidR="004E76D3" w:rsidRPr="004F5D67" w:rsidRDefault="004E76D3" w:rsidP="00063F06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0B5373" w14:textId="77777777" w:rsidR="004E76D3" w:rsidRPr="004F5D67" w:rsidRDefault="004E76D3" w:rsidP="00063F06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Одржане обуке</w:t>
            </w:r>
          </w:p>
        </w:tc>
      </w:tr>
      <w:tr w:rsidR="004E76D3" w:rsidRPr="004F5D67" w14:paraId="7A6EBF72" w14:textId="77777777" w:rsidTr="00EB3F00">
        <w:trPr>
          <w:trHeight w:val="45"/>
          <w:tblCellSpacing w:w="0" w:type="auto"/>
        </w:trPr>
        <w:tc>
          <w:tcPr>
            <w:tcW w:w="1230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2872C5" w14:textId="19968A5B" w:rsidR="004E76D3" w:rsidRPr="004F5D67" w:rsidRDefault="008B3BE6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Мера 2.2</w:t>
            </w:r>
            <w:r w:rsidR="004E76D3"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 xml:space="preserve"> Подизање капацитета АФКОС</w:t>
            </w:r>
            <w:r w:rsidR="004902E8"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-</w:t>
            </w:r>
            <w:r w:rsidR="004E76D3"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а ради унапређења процеса раног откривања превара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C7E37A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</w:tr>
      <w:tr w:rsidR="000216D2" w:rsidRPr="004F5D67" w14:paraId="119B0201" w14:textId="77777777" w:rsidTr="00EB3F00">
        <w:trPr>
          <w:trHeight w:val="444"/>
          <w:tblCellSpacing w:w="0" w:type="auto"/>
        </w:trPr>
        <w:tc>
          <w:tcPr>
            <w:tcW w:w="36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EE27145" w14:textId="77777777" w:rsidR="000216D2" w:rsidRPr="004F5D67" w:rsidRDefault="000216D2" w:rsidP="00B36E59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02038E2" w14:textId="77777777" w:rsidR="000216D2" w:rsidRPr="004F5D67" w:rsidRDefault="000216D2" w:rsidP="00B36E59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Надлежне институције</w:t>
            </w:r>
          </w:p>
        </w:tc>
        <w:tc>
          <w:tcPr>
            <w:tcW w:w="20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F33279E" w14:textId="77777777" w:rsidR="000216D2" w:rsidRPr="004F5D67" w:rsidRDefault="000216D2" w:rsidP="00B36E59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8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3B95A" w14:textId="77777777" w:rsidR="000216D2" w:rsidRPr="004F5D67" w:rsidRDefault="000216D2" w:rsidP="00B36E59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Рок за спровођење активности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06AB38B" w14:textId="77777777" w:rsidR="000216D2" w:rsidRPr="004F5D67" w:rsidRDefault="000216D2" w:rsidP="00B36E59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Извори финансирања</w:t>
            </w:r>
          </w:p>
        </w:tc>
        <w:tc>
          <w:tcPr>
            <w:tcW w:w="19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876D375" w14:textId="77777777" w:rsidR="000216D2" w:rsidRPr="004F5D67" w:rsidRDefault="000216D2" w:rsidP="00B36E59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Показатељи</w:t>
            </w:r>
          </w:p>
        </w:tc>
      </w:tr>
      <w:tr w:rsidR="000216D2" w:rsidRPr="004F5D67" w14:paraId="7EEB4270" w14:textId="77777777" w:rsidTr="00EB3F00">
        <w:trPr>
          <w:trHeight w:val="443"/>
          <w:tblCellSpacing w:w="0" w:type="auto"/>
        </w:trPr>
        <w:tc>
          <w:tcPr>
            <w:tcW w:w="366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2851AF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27673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20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16FC61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D16F1" w14:textId="2D40B2E6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2024</w:t>
            </w:r>
            <w:r w:rsidR="00AA17B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C5DF35" w14:textId="4C17EFA5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2025</w:t>
            </w:r>
            <w:r w:rsidR="00AA17B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10F549" w14:textId="3E5CEBAE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2026</w:t>
            </w:r>
            <w:r w:rsidR="00AA17B2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EB3D5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9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65C2B3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</w:tr>
      <w:tr w:rsidR="004E76D3" w:rsidRPr="004F5D67" w14:paraId="038B30AE" w14:textId="77777777" w:rsidTr="00EB3F00">
        <w:trPr>
          <w:trHeight w:val="45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60B4CE" w14:textId="0F4D1137" w:rsidR="004E76D3" w:rsidRPr="004F5D67" w:rsidRDefault="008B3BE6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2.2</w:t>
            </w:r>
            <w:r w:rsidR="004E76D3"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.1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050EE3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Јачање капацитета АФКОС-а квантитативно и квалитативно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190251" w14:textId="77777777" w:rsidR="004E76D3" w:rsidRPr="004F5D67" w:rsidRDefault="004E76D3" w:rsidP="007F38A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Министарство финансија - АФКОС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7AADF9" w14:textId="77777777" w:rsidR="004E76D3" w:rsidRPr="004F5D67" w:rsidRDefault="004E76D3" w:rsidP="007F38A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Министарство финансија - Секретаријат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710D69" w14:textId="77777777" w:rsidR="004E76D3" w:rsidRPr="004F5D67" w:rsidRDefault="004E76D3" w:rsidP="007F38A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К4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1C5AF9" w14:textId="77777777" w:rsidR="004E76D3" w:rsidRPr="004F5D67" w:rsidRDefault="004E76D3" w:rsidP="007F38A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К4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DAD69B" w14:textId="77777777" w:rsidR="004E76D3" w:rsidRPr="004F5D67" w:rsidRDefault="004E76D3" w:rsidP="007F38A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К4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67AB1C" w14:textId="77777777" w:rsidR="004E76D3" w:rsidRPr="004F5D67" w:rsidRDefault="004E76D3" w:rsidP="007F38A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1C30DB" w14:textId="366B39BA" w:rsidR="004E76D3" w:rsidRPr="004F5D67" w:rsidRDefault="004E76D3" w:rsidP="007F38A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Повећан број запослених и спроведено усавршавање </w:t>
            </w: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постојећих и новозапослених кадрова</w:t>
            </w:r>
          </w:p>
        </w:tc>
      </w:tr>
      <w:tr w:rsidR="004E76D3" w:rsidRPr="004F5D67" w14:paraId="087B149D" w14:textId="77777777" w:rsidTr="00EB3F00">
        <w:trPr>
          <w:trHeight w:val="45"/>
          <w:tblCellSpacing w:w="0" w:type="auto"/>
        </w:trPr>
        <w:tc>
          <w:tcPr>
            <w:tcW w:w="1230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0BFEED" w14:textId="2051B9F5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lastRenderedPageBreak/>
              <w:t>Мера 2.</w:t>
            </w:r>
            <w:r w:rsidR="008B3BE6"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3</w:t>
            </w: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 xml:space="preserve"> </w:t>
            </w: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Подизање капацитета </w:t>
            </w: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 xml:space="preserve">људских ресурса унутар система у оквиру процеса раног откривања превара за уочавање </w:t>
            </w: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и детектовање поузданих и валидних сигнала неправилности и процену </w:t>
            </w:r>
            <w:r w:rsidR="008B3BE6"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значаја пријављених информација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3FAA75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</w:tr>
      <w:tr w:rsidR="000216D2" w:rsidRPr="004F5D67" w14:paraId="40F0A121" w14:textId="77777777" w:rsidTr="00EB3F00">
        <w:trPr>
          <w:trHeight w:val="444"/>
          <w:tblCellSpacing w:w="0" w:type="auto"/>
        </w:trPr>
        <w:tc>
          <w:tcPr>
            <w:tcW w:w="36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83E30EE" w14:textId="77777777" w:rsidR="000216D2" w:rsidRPr="004F5D67" w:rsidRDefault="000216D2" w:rsidP="00A26FF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4E7E6D1" w14:textId="77777777" w:rsidR="000216D2" w:rsidRPr="004F5D67" w:rsidRDefault="000216D2" w:rsidP="00A26FF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Надлежне институције</w:t>
            </w:r>
          </w:p>
        </w:tc>
        <w:tc>
          <w:tcPr>
            <w:tcW w:w="20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F8E96ED" w14:textId="77777777" w:rsidR="000216D2" w:rsidRPr="004F5D67" w:rsidRDefault="000216D2" w:rsidP="00A26FF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8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0C203" w14:textId="77777777" w:rsidR="000216D2" w:rsidRPr="004F5D67" w:rsidRDefault="000216D2" w:rsidP="00A26FF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Рок за спровођење активности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B5FC49C" w14:textId="77777777" w:rsidR="000216D2" w:rsidRPr="004F5D67" w:rsidRDefault="000216D2" w:rsidP="00A26FF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Извори финансирања</w:t>
            </w:r>
          </w:p>
        </w:tc>
        <w:tc>
          <w:tcPr>
            <w:tcW w:w="19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4064E24" w14:textId="77777777" w:rsidR="000216D2" w:rsidRPr="004F5D67" w:rsidRDefault="000216D2" w:rsidP="00A26FF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Показатељи</w:t>
            </w:r>
          </w:p>
        </w:tc>
      </w:tr>
      <w:tr w:rsidR="000216D2" w:rsidRPr="004F5D67" w14:paraId="292B861E" w14:textId="77777777" w:rsidTr="00EB3F00">
        <w:trPr>
          <w:trHeight w:val="443"/>
          <w:tblCellSpacing w:w="0" w:type="auto"/>
        </w:trPr>
        <w:tc>
          <w:tcPr>
            <w:tcW w:w="366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56490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7FCD3D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20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F190B3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490051" w14:textId="3ECA658B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2024</w:t>
            </w:r>
            <w:r w:rsidR="006A593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9DDC5E" w14:textId="7A879E69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2025</w:t>
            </w:r>
            <w:r w:rsidR="006A593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1C0426" w14:textId="44187121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2026</w:t>
            </w:r>
            <w:r w:rsidR="006A593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80558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9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51A4C8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</w:tr>
      <w:tr w:rsidR="004E76D3" w:rsidRPr="004F5D67" w14:paraId="65F4083B" w14:textId="77777777" w:rsidTr="00EB3F00">
        <w:trPr>
          <w:trHeight w:val="2934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C4FCDA" w14:textId="623B6F4D" w:rsidR="004E76D3" w:rsidRPr="004F5D67" w:rsidRDefault="008B3BE6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2.3</w:t>
            </w:r>
            <w:r w:rsidR="004E76D3"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.1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24E366" w14:textId="134EBAD0" w:rsidR="004E76D3" w:rsidRPr="004F5D67" w:rsidRDefault="004E76D3" w:rsidP="0014113C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Израда и објављивање брошуре (на сајту Канцеларије</w:t>
            </w:r>
            <w:r w:rsidR="00081099"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за ревизију система управљања средствима Е</w:t>
            </w:r>
            <w:r w:rsidR="0014113C"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вропске уније</w:t>
            </w:r>
            <w:r w:rsidR="00081099"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), обрада најчешћих слу</w:t>
            </w: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чајева (анонимна) неправилности и превара утврђених у поступцима ревизије, узрочно последична веза код недостатка превенције и н</w:t>
            </w:r>
            <w:r w:rsidR="00081099"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астанка неправилности и преваре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34C6B4" w14:textId="77777777" w:rsidR="004E76D3" w:rsidRPr="004F5D67" w:rsidRDefault="004E76D3" w:rsidP="001C21D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Канцеларија за ревизију система управљања средствима ЕУ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B7AA9B" w14:textId="77777777" w:rsidR="004E76D3" w:rsidRPr="004F5D67" w:rsidRDefault="004E76D3" w:rsidP="001C21D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18AD2A" w14:textId="345ACB02" w:rsidR="004E76D3" w:rsidRPr="004F5D67" w:rsidRDefault="0014113C" w:rsidP="001C21D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B7E839" w14:textId="77777777" w:rsidR="004E76D3" w:rsidRPr="004F5D67" w:rsidRDefault="004E76D3" w:rsidP="001C21D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К3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547C84" w14:textId="4A5BB1FA" w:rsidR="004E76D3" w:rsidRPr="004F5D67" w:rsidRDefault="0014113C" w:rsidP="001C21D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39BB6F" w14:textId="77777777" w:rsidR="004E76D3" w:rsidRPr="004F5D67" w:rsidRDefault="004E76D3" w:rsidP="001C21D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D83EF5" w14:textId="77777777" w:rsidR="004E76D3" w:rsidRPr="004F5D67" w:rsidRDefault="004E76D3" w:rsidP="001C21D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Израђена и објављена брошура</w:t>
            </w:r>
          </w:p>
        </w:tc>
      </w:tr>
      <w:tr w:rsidR="004E76D3" w:rsidRPr="004F5D67" w14:paraId="6F625AD9" w14:textId="77777777" w:rsidTr="00EB3F00">
        <w:trPr>
          <w:trHeight w:val="45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ECA75C" w14:textId="7C966E8B" w:rsidR="004E76D3" w:rsidRPr="004F5D67" w:rsidRDefault="008B3BE6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2.3</w:t>
            </w:r>
            <w:r w:rsidR="004E76D3"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.2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DD4BC9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Обуке и радионице у циљу сертификације учесника за област познавања процеса управљања </w:t>
            </w: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неправилностима и раног откривања превара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B15647" w14:textId="583C2530" w:rsidR="004E76D3" w:rsidRPr="004F5D67" w:rsidRDefault="00445871" w:rsidP="001C21DA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Министарство финансија -</w:t>
            </w:r>
          </w:p>
          <w:p w14:paraId="0C47D017" w14:textId="77777777" w:rsidR="004E76D3" w:rsidRPr="004F5D67" w:rsidRDefault="004E76D3" w:rsidP="001C21D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Сектор за уговарање и финансирање програма из </w:t>
            </w: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средстава Европске уније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06C438" w14:textId="051FF556" w:rsidR="004E76D3" w:rsidRPr="004F5D67" w:rsidRDefault="00081099" w:rsidP="001C21DA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Министарство финансија -</w:t>
            </w:r>
          </w:p>
          <w:p w14:paraId="30A26539" w14:textId="77777777" w:rsidR="004E76D3" w:rsidRPr="004F5D67" w:rsidRDefault="004E76D3" w:rsidP="001C21DA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Сектор за управљање средствима Европске уније,</w:t>
            </w:r>
          </w:p>
          <w:p w14:paraId="6111FD1E" w14:textId="77777777" w:rsidR="004E76D3" w:rsidRPr="004F5D67" w:rsidRDefault="004E76D3" w:rsidP="001C21D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АФКОС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2857B2" w14:textId="77777777" w:rsidR="004E76D3" w:rsidRPr="004F5D67" w:rsidRDefault="004E76D3" w:rsidP="001C21D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К4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B8FB70" w14:textId="26184A44" w:rsidR="004E76D3" w:rsidRPr="004F5D67" w:rsidRDefault="0014113C" w:rsidP="001C21D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92E53B" w14:textId="0675794A" w:rsidR="004E76D3" w:rsidRPr="004F5D67" w:rsidRDefault="0014113C" w:rsidP="001C21D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70F7B4" w14:textId="77777777" w:rsidR="004E76D3" w:rsidRPr="004F5D67" w:rsidRDefault="004E76D3" w:rsidP="001C21D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Извор 1: буџетска средства и</w:t>
            </w:r>
          </w:p>
          <w:p w14:paraId="01DB8432" w14:textId="77777777" w:rsidR="004E76D3" w:rsidRPr="004F5D67" w:rsidRDefault="004E76D3" w:rsidP="001C21D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извор 2: донаторска средства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6B106F" w14:textId="77777777" w:rsidR="004E76D3" w:rsidRPr="004F5D67" w:rsidRDefault="004E76D3" w:rsidP="001C21DA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Одржане обуке и радионице</w:t>
            </w:r>
          </w:p>
        </w:tc>
      </w:tr>
      <w:tr w:rsidR="004E76D3" w:rsidRPr="004F5D67" w14:paraId="5EAEE9D0" w14:textId="77777777" w:rsidTr="00EB3F00">
        <w:trPr>
          <w:trHeight w:val="45"/>
          <w:tblCellSpacing w:w="0" w:type="auto"/>
        </w:trPr>
        <w:tc>
          <w:tcPr>
            <w:tcW w:w="1429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02DEE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b/>
                <w:noProof/>
                <w:color w:val="000000"/>
                <w:sz w:val="24"/>
                <w:szCs w:val="24"/>
                <w:lang w:val="sr-Cyrl-CS"/>
              </w:rPr>
              <w:lastRenderedPageBreak/>
              <w:t>Посебни циљ 3. Унапређење процеса спровођења истражних радњи у вези са злоупотребом финансијских средстава ЕУ, праћења судских поступака и праћењa повраћаја финансијских средстава у буџет Републике Србије</w:t>
            </w:r>
          </w:p>
        </w:tc>
      </w:tr>
      <w:tr w:rsidR="004E76D3" w:rsidRPr="004F5D67" w14:paraId="75BB07F7" w14:textId="77777777" w:rsidTr="00EB3F00">
        <w:trPr>
          <w:trHeight w:val="45"/>
          <w:tblCellSpacing w:w="0" w:type="auto"/>
        </w:trPr>
        <w:tc>
          <w:tcPr>
            <w:tcW w:w="12306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4CAF0B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Мера 3.1 Унапређење сарадње и размене информација у спровођењу истражних радњи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43B12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</w:p>
        </w:tc>
      </w:tr>
      <w:tr w:rsidR="000216D2" w:rsidRPr="004F5D67" w14:paraId="539602C5" w14:textId="77777777" w:rsidTr="00EB3F00">
        <w:trPr>
          <w:trHeight w:val="444"/>
          <w:tblCellSpacing w:w="0" w:type="auto"/>
        </w:trPr>
        <w:tc>
          <w:tcPr>
            <w:tcW w:w="36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1CF06D1" w14:textId="77777777" w:rsidR="000216D2" w:rsidRPr="004F5D67" w:rsidRDefault="000216D2" w:rsidP="00C3025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E454E4E" w14:textId="77777777" w:rsidR="000216D2" w:rsidRPr="004F5D67" w:rsidRDefault="000216D2" w:rsidP="00C3025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Надлежне институције</w:t>
            </w:r>
          </w:p>
        </w:tc>
        <w:tc>
          <w:tcPr>
            <w:tcW w:w="20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3D9B9A9" w14:textId="77777777" w:rsidR="000216D2" w:rsidRPr="004F5D67" w:rsidRDefault="000216D2" w:rsidP="00C3025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8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B4727E" w14:textId="77777777" w:rsidR="000216D2" w:rsidRPr="004F5D67" w:rsidRDefault="000216D2" w:rsidP="00C3025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Рок за спровођење активности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F992D68" w14:textId="77777777" w:rsidR="000216D2" w:rsidRPr="004F5D67" w:rsidRDefault="000216D2" w:rsidP="00C3025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Извори финансирања</w:t>
            </w:r>
          </w:p>
        </w:tc>
        <w:tc>
          <w:tcPr>
            <w:tcW w:w="19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26FBC42" w14:textId="77777777" w:rsidR="000216D2" w:rsidRPr="004F5D67" w:rsidRDefault="000216D2" w:rsidP="00C3025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Показатељи</w:t>
            </w:r>
          </w:p>
        </w:tc>
      </w:tr>
      <w:tr w:rsidR="000216D2" w:rsidRPr="004F5D67" w14:paraId="66BC05FB" w14:textId="77777777" w:rsidTr="00EB3F00">
        <w:trPr>
          <w:trHeight w:val="443"/>
          <w:tblCellSpacing w:w="0" w:type="auto"/>
        </w:trPr>
        <w:tc>
          <w:tcPr>
            <w:tcW w:w="366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F5AD40" w14:textId="77777777" w:rsidR="000216D2" w:rsidRPr="004F5D67" w:rsidRDefault="000216D2" w:rsidP="00C3025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04419F" w14:textId="77777777" w:rsidR="000216D2" w:rsidRPr="004F5D67" w:rsidRDefault="000216D2" w:rsidP="00C3025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20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5654A5" w14:textId="77777777" w:rsidR="000216D2" w:rsidRPr="004F5D67" w:rsidRDefault="000216D2" w:rsidP="00C3025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F9F64A" w14:textId="31CFBBAA" w:rsidR="000216D2" w:rsidRPr="004F5D67" w:rsidRDefault="000216D2" w:rsidP="00C3025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2024</w:t>
            </w:r>
            <w:r w:rsidR="00975F2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A3F23" w14:textId="3DBA4269" w:rsidR="000216D2" w:rsidRPr="004F5D67" w:rsidRDefault="000216D2" w:rsidP="00C3025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2025</w:t>
            </w:r>
            <w:r w:rsidR="00975F2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4FBC7" w14:textId="4782B674" w:rsidR="000216D2" w:rsidRPr="004F5D67" w:rsidRDefault="000216D2" w:rsidP="00C3025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2026</w:t>
            </w:r>
            <w:r w:rsidR="00975F2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3BE7DE" w14:textId="77777777" w:rsidR="000216D2" w:rsidRPr="004F5D67" w:rsidRDefault="000216D2" w:rsidP="00C3025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9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3B230A" w14:textId="77777777" w:rsidR="000216D2" w:rsidRPr="004F5D67" w:rsidRDefault="000216D2" w:rsidP="00C3025B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</w:tr>
      <w:tr w:rsidR="004E76D3" w:rsidRPr="004F5D67" w14:paraId="5A2C3A9B" w14:textId="77777777" w:rsidTr="00EB3F00">
        <w:trPr>
          <w:trHeight w:val="661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E55BC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3.1.1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6BE830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Одржавање регионалне конференције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B73994" w14:textId="77777777" w:rsidR="004E76D3" w:rsidRPr="004F5D67" w:rsidRDefault="004E76D3" w:rsidP="009A6E9F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Министарство финансија - АФКОС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28A8D3" w14:textId="77777777" w:rsidR="004E76D3" w:rsidRPr="004F5D67" w:rsidRDefault="004E76D3" w:rsidP="009A6E9F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Врховно јавно тужилаштво, МУП, АФКОС Мрежа и ОЛАФ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E17A1F" w14:textId="502DE7A6" w:rsidR="004E76D3" w:rsidRPr="004F5D67" w:rsidRDefault="0014113C" w:rsidP="009A6E9F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6DE71" w14:textId="77777777" w:rsidR="004E76D3" w:rsidRPr="004F5D67" w:rsidRDefault="004E76D3" w:rsidP="009A6E9F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К2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04D18" w14:textId="6C975F07" w:rsidR="004E76D3" w:rsidRPr="004F5D67" w:rsidRDefault="0014113C" w:rsidP="009A6E9F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7A8CD3" w14:textId="77777777" w:rsidR="004E76D3" w:rsidRPr="004F5D67" w:rsidRDefault="004E76D3" w:rsidP="009A6E9F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Донаторска средства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796533" w14:textId="77777777" w:rsidR="004E76D3" w:rsidRPr="004F5D67" w:rsidRDefault="004E76D3" w:rsidP="009A6E9F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Одржана регионална конференција</w:t>
            </w:r>
          </w:p>
        </w:tc>
      </w:tr>
      <w:tr w:rsidR="004E76D3" w:rsidRPr="004F5D67" w14:paraId="6F7B4C0C" w14:textId="77777777" w:rsidTr="00EB3F00">
        <w:trPr>
          <w:trHeight w:val="45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D1276B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3.1.2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E22F48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Одржавање састанка са представницима ОЛАФ-а у циљу јачања сарадње и размене информација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3C96EC" w14:textId="77777777" w:rsidR="004E76D3" w:rsidRPr="004F5D67" w:rsidRDefault="004E76D3" w:rsidP="009A6E9F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Министарство финансија - АФКОС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76DDA9" w14:textId="77777777" w:rsidR="004E76D3" w:rsidRPr="004F5D67" w:rsidRDefault="004E76D3" w:rsidP="009A6E9F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МУП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227509" w14:textId="77777777" w:rsidR="004E76D3" w:rsidRPr="004F5D67" w:rsidRDefault="004E76D3" w:rsidP="009A6E9F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К3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F0AF8B" w14:textId="552C212A" w:rsidR="004E76D3" w:rsidRPr="004F5D67" w:rsidRDefault="0014113C" w:rsidP="009A6E9F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B0FBB" w14:textId="1A00E91B" w:rsidR="004E76D3" w:rsidRPr="004F5D67" w:rsidRDefault="0014113C" w:rsidP="009A6E9F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E76787" w14:textId="77777777" w:rsidR="004E76D3" w:rsidRPr="004F5D67" w:rsidRDefault="004E76D3" w:rsidP="009A6E9F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7B83C6" w14:textId="77777777" w:rsidR="004E76D3" w:rsidRPr="004F5D67" w:rsidRDefault="004E76D3" w:rsidP="009A6E9F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Одржан састанак</w:t>
            </w:r>
          </w:p>
        </w:tc>
      </w:tr>
      <w:tr w:rsidR="004E76D3" w:rsidRPr="004F5D67" w14:paraId="72011774" w14:textId="77777777" w:rsidTr="00EB3F00">
        <w:trPr>
          <w:trHeight w:val="45"/>
          <w:tblCellSpacing w:w="0" w:type="auto"/>
        </w:trPr>
        <w:tc>
          <w:tcPr>
            <w:tcW w:w="1429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9298E9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Мера 3.2 Подизање капацитета људских ресурса ради унапређења спровођења истражних радњи</w:t>
            </w:r>
          </w:p>
        </w:tc>
      </w:tr>
      <w:tr w:rsidR="000216D2" w:rsidRPr="004F5D67" w14:paraId="56D77171" w14:textId="77777777" w:rsidTr="00EB3F00">
        <w:trPr>
          <w:trHeight w:val="444"/>
          <w:tblCellSpacing w:w="0" w:type="auto"/>
        </w:trPr>
        <w:tc>
          <w:tcPr>
            <w:tcW w:w="36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28E1ED1" w14:textId="77777777" w:rsidR="000216D2" w:rsidRPr="004F5D67" w:rsidRDefault="000216D2" w:rsidP="00975F2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1411CC7" w14:textId="77777777" w:rsidR="000216D2" w:rsidRPr="004F5D67" w:rsidRDefault="000216D2" w:rsidP="00975F2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Надлежне институције</w:t>
            </w:r>
          </w:p>
        </w:tc>
        <w:tc>
          <w:tcPr>
            <w:tcW w:w="20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9F9EB03" w14:textId="77777777" w:rsidR="000216D2" w:rsidRPr="004F5D67" w:rsidRDefault="000216D2" w:rsidP="00975F2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8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B9C170" w14:textId="77777777" w:rsidR="000216D2" w:rsidRPr="004F5D67" w:rsidRDefault="000216D2" w:rsidP="00975F2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Рок за спровођење активности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83E9604" w14:textId="77777777" w:rsidR="000216D2" w:rsidRPr="004F5D67" w:rsidRDefault="000216D2" w:rsidP="00975F2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Извори финансирања</w:t>
            </w:r>
          </w:p>
        </w:tc>
        <w:tc>
          <w:tcPr>
            <w:tcW w:w="19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40DF75C" w14:textId="77777777" w:rsidR="000216D2" w:rsidRPr="004F5D67" w:rsidRDefault="000216D2" w:rsidP="00975F24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Показатељи</w:t>
            </w:r>
          </w:p>
        </w:tc>
      </w:tr>
      <w:tr w:rsidR="000216D2" w:rsidRPr="004F5D67" w14:paraId="0D0849C6" w14:textId="77777777" w:rsidTr="00EB3F00">
        <w:trPr>
          <w:trHeight w:val="443"/>
          <w:tblCellSpacing w:w="0" w:type="auto"/>
        </w:trPr>
        <w:tc>
          <w:tcPr>
            <w:tcW w:w="366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EECA5B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608B5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20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18E724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80C51" w14:textId="15AD2E8E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2024</w:t>
            </w:r>
            <w:r w:rsidR="00975F2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AD8121" w14:textId="1B379658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2025</w:t>
            </w:r>
            <w:r w:rsidR="00975F2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3FA993" w14:textId="5C3AB38B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2026</w:t>
            </w:r>
            <w:r w:rsidR="00975F24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595D65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9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60C23C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</w:tr>
      <w:tr w:rsidR="004E76D3" w:rsidRPr="004F5D67" w14:paraId="0442FE0D" w14:textId="77777777" w:rsidTr="00EB3F00">
        <w:trPr>
          <w:trHeight w:val="45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02D978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3.2.1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D8E56" w14:textId="77777777" w:rsidR="004E76D3" w:rsidRPr="004F5D67" w:rsidRDefault="004E76D3" w:rsidP="00E03811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Одржавање обука тужиоцима, правобраниоцима и припадницима МУП-а у вези са заштитом </w:t>
            </w: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финансијских интереса ЕУ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A467F" w14:textId="77777777" w:rsidR="004E76D3" w:rsidRPr="004F5D67" w:rsidRDefault="004E76D3" w:rsidP="008F2C75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Министарство финансија - АФКОС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DF3407" w14:textId="73A1B891" w:rsidR="004E76D3" w:rsidRPr="004F5D67" w:rsidRDefault="004E76D3" w:rsidP="008F2C75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Министарство за европске интеграције и</w:t>
            </w:r>
            <w:r w:rsidR="00081099"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Министарство финансија -</w:t>
            </w: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 xml:space="preserve"> Сектор за </w:t>
            </w: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уговарање и финансирање програма из средстава Европске уније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DBCBBB" w14:textId="77777777" w:rsidR="004E76D3" w:rsidRPr="004F5D67" w:rsidRDefault="004E76D3" w:rsidP="008F2C75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lastRenderedPageBreak/>
              <w:t>К4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23A0F3" w14:textId="77777777" w:rsidR="004E76D3" w:rsidRPr="004F5D67" w:rsidRDefault="004E76D3" w:rsidP="008F2C75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К3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E23FDA" w14:textId="77777777" w:rsidR="004E76D3" w:rsidRPr="004F5D67" w:rsidRDefault="004E76D3" w:rsidP="008F2C75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К3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B8632A" w14:textId="77777777" w:rsidR="004E76D3" w:rsidRPr="004F5D67" w:rsidRDefault="004E76D3" w:rsidP="008F2C75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C11B59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Одржане обуке</w:t>
            </w:r>
          </w:p>
        </w:tc>
      </w:tr>
      <w:tr w:rsidR="004E76D3" w:rsidRPr="004F5D67" w14:paraId="223E9AC8" w14:textId="77777777" w:rsidTr="00EB3F00">
        <w:trPr>
          <w:trHeight w:val="45"/>
          <w:tblCellSpacing w:w="0" w:type="auto"/>
        </w:trPr>
        <w:tc>
          <w:tcPr>
            <w:tcW w:w="1429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74AD4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lastRenderedPageBreak/>
              <w:t>Мера 3.3 Измена и/или усклађивање правног оквира у циљу унапређења спровођења истражних радњи</w:t>
            </w:r>
          </w:p>
        </w:tc>
      </w:tr>
      <w:tr w:rsidR="000216D2" w:rsidRPr="004F5D67" w14:paraId="72C44334" w14:textId="77777777" w:rsidTr="00EB3F00">
        <w:trPr>
          <w:trHeight w:val="444"/>
          <w:tblCellSpacing w:w="0" w:type="auto"/>
        </w:trPr>
        <w:tc>
          <w:tcPr>
            <w:tcW w:w="36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39985FE" w14:textId="77777777" w:rsidR="000216D2" w:rsidRPr="004F5D67" w:rsidRDefault="000216D2" w:rsidP="00F5257D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3B63E09" w14:textId="77777777" w:rsidR="000216D2" w:rsidRPr="004F5D67" w:rsidRDefault="000216D2" w:rsidP="00F5257D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Надлежне институције</w:t>
            </w:r>
          </w:p>
        </w:tc>
        <w:tc>
          <w:tcPr>
            <w:tcW w:w="20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176B42A" w14:textId="77777777" w:rsidR="000216D2" w:rsidRPr="004F5D67" w:rsidRDefault="000216D2" w:rsidP="00F5257D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8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EA8162" w14:textId="77777777" w:rsidR="000216D2" w:rsidRPr="004F5D67" w:rsidRDefault="000216D2" w:rsidP="00F5257D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Рок за спровођење активности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C724314" w14:textId="77777777" w:rsidR="000216D2" w:rsidRPr="004F5D67" w:rsidRDefault="000216D2" w:rsidP="00F5257D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Извори финансирања</w:t>
            </w:r>
          </w:p>
        </w:tc>
        <w:tc>
          <w:tcPr>
            <w:tcW w:w="19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6840BC4" w14:textId="77777777" w:rsidR="000216D2" w:rsidRPr="004F5D67" w:rsidRDefault="000216D2" w:rsidP="00F5257D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Показатељи</w:t>
            </w:r>
          </w:p>
        </w:tc>
      </w:tr>
      <w:tr w:rsidR="000216D2" w:rsidRPr="004F5D67" w14:paraId="00C99FD6" w14:textId="77777777" w:rsidTr="00EB3F00">
        <w:trPr>
          <w:trHeight w:val="443"/>
          <w:tblCellSpacing w:w="0" w:type="auto"/>
        </w:trPr>
        <w:tc>
          <w:tcPr>
            <w:tcW w:w="366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54E4C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4979FA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20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D9206C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D9658" w14:textId="754F1DD5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2024</w:t>
            </w:r>
            <w:r w:rsidR="00F5257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3D7E4A" w14:textId="3C4456AE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2025</w:t>
            </w:r>
            <w:r w:rsidR="00F5257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22D24C" w14:textId="493AB444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2026</w:t>
            </w:r>
            <w:r w:rsidR="00F5257D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EA794A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9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3BD0E4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</w:tr>
      <w:tr w:rsidR="004E76D3" w:rsidRPr="004F5D67" w14:paraId="373B9CFF" w14:textId="77777777" w:rsidTr="00EB3F00">
        <w:trPr>
          <w:trHeight w:val="45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58286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3.3.1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6D27D9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Израда Табеле усклађености кривичног законодавства са Директивом 1371/17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E749E" w14:textId="77777777" w:rsidR="004E76D3" w:rsidRPr="004F5D67" w:rsidRDefault="004E76D3" w:rsidP="00B75DF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Министарство правде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ECA180" w14:textId="77777777" w:rsidR="004E76D3" w:rsidRPr="004F5D67" w:rsidRDefault="004E76D3" w:rsidP="00B75DF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FC65A5" w14:textId="77777777" w:rsidR="004E76D3" w:rsidRPr="004F5D67" w:rsidRDefault="004E76D3" w:rsidP="00B75DF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К4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D442FC" w14:textId="1D959C73" w:rsidR="004E76D3" w:rsidRPr="004F5D67" w:rsidRDefault="0014113C" w:rsidP="00B75DF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1A816E" w14:textId="1600884A" w:rsidR="004E76D3" w:rsidRPr="004F5D67" w:rsidRDefault="0014113C" w:rsidP="00B75DF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E44887" w14:textId="77777777" w:rsidR="004E76D3" w:rsidRPr="004F5D67" w:rsidRDefault="004E76D3" w:rsidP="00B75DF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F4EB8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Израђена табела усклађености</w:t>
            </w:r>
          </w:p>
        </w:tc>
      </w:tr>
      <w:tr w:rsidR="004E76D3" w:rsidRPr="004F5D67" w14:paraId="5CAA356E" w14:textId="77777777" w:rsidTr="00EB3F00">
        <w:trPr>
          <w:trHeight w:val="45"/>
          <w:tblCellSpacing w:w="0" w:type="auto"/>
        </w:trPr>
        <w:tc>
          <w:tcPr>
            <w:tcW w:w="1429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21A456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Мера 3.4 Измена и/или усклађивање организационе структуре ради унапређења спровођења истражних радњи</w:t>
            </w:r>
          </w:p>
        </w:tc>
      </w:tr>
      <w:tr w:rsidR="000216D2" w:rsidRPr="004F5D67" w14:paraId="06F73F3D" w14:textId="77777777" w:rsidTr="00EB3F00">
        <w:trPr>
          <w:trHeight w:val="444"/>
          <w:tblCellSpacing w:w="0" w:type="auto"/>
        </w:trPr>
        <w:tc>
          <w:tcPr>
            <w:tcW w:w="36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99715B5" w14:textId="77777777" w:rsidR="000216D2" w:rsidRPr="004F5D67" w:rsidRDefault="000216D2" w:rsidP="00F8499E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Активности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44289E31" w14:textId="77777777" w:rsidR="000216D2" w:rsidRPr="004F5D67" w:rsidRDefault="000216D2" w:rsidP="00F8499E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Надлежне институције</w:t>
            </w:r>
          </w:p>
        </w:tc>
        <w:tc>
          <w:tcPr>
            <w:tcW w:w="20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654984AE" w14:textId="77777777" w:rsidR="000216D2" w:rsidRPr="004F5D67" w:rsidRDefault="000216D2" w:rsidP="00F8499E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8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7400F8" w14:textId="77777777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Рок за спровођење активности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D560A4E" w14:textId="77777777" w:rsidR="000216D2" w:rsidRPr="004F5D67" w:rsidRDefault="000216D2" w:rsidP="00F8499E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Извори финансирања</w:t>
            </w:r>
          </w:p>
        </w:tc>
        <w:tc>
          <w:tcPr>
            <w:tcW w:w="19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8D60E81" w14:textId="77777777" w:rsidR="000216D2" w:rsidRPr="004F5D67" w:rsidRDefault="000216D2" w:rsidP="00F8499E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Показатељи</w:t>
            </w:r>
          </w:p>
        </w:tc>
      </w:tr>
      <w:tr w:rsidR="000216D2" w:rsidRPr="004F5D67" w14:paraId="3780FEB8" w14:textId="77777777" w:rsidTr="00EB3F00">
        <w:trPr>
          <w:trHeight w:val="443"/>
          <w:tblCellSpacing w:w="0" w:type="auto"/>
        </w:trPr>
        <w:tc>
          <w:tcPr>
            <w:tcW w:w="366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EA302F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475450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20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7A67B7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E9AB7A" w14:textId="073FBF43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2024</w:t>
            </w:r>
            <w:r w:rsidR="00807AB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64328C" w14:textId="282919D9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2025</w:t>
            </w:r>
            <w:r w:rsidR="00807AB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40CCA" w14:textId="6A98ED9C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2026</w:t>
            </w:r>
            <w:r w:rsidR="00807AB6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9B5263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9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B471DD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</w:tr>
      <w:tr w:rsidR="004E76D3" w:rsidRPr="004F5D67" w14:paraId="19D7A4B4" w14:textId="77777777" w:rsidTr="00EB3F00">
        <w:trPr>
          <w:trHeight w:val="45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B8A951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3.4.1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446569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Формирање посебне организационе јединице МУП-а у чији делокруг спадају злоупотребе везане за располагање средствима ЕУ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356F1" w14:textId="77777777" w:rsidR="004E76D3" w:rsidRPr="004F5D67" w:rsidRDefault="004E76D3" w:rsidP="00C351B7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МУП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5B47AD" w14:textId="77777777" w:rsidR="004E76D3" w:rsidRPr="004F5D67" w:rsidRDefault="004E76D3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D96F71" w14:textId="60BAEE69" w:rsidR="004E76D3" w:rsidRPr="004F5D67" w:rsidRDefault="0014113C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9539B6" w14:textId="77777777" w:rsidR="004E76D3" w:rsidRPr="004F5D67" w:rsidRDefault="004E76D3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К1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D3D807" w14:textId="25A401A4" w:rsidR="004E76D3" w:rsidRPr="004F5D67" w:rsidRDefault="0014113C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13675F" w14:textId="77777777" w:rsidR="004E76D3" w:rsidRPr="004F5D67" w:rsidRDefault="004E76D3" w:rsidP="00C351B7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7197C1" w14:textId="06E3D61C" w:rsidR="00825836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Формирана посебна организациона јединица МУП-а</w:t>
            </w:r>
          </w:p>
        </w:tc>
      </w:tr>
      <w:tr w:rsidR="004E76D3" w:rsidRPr="004F5D67" w14:paraId="6C18428A" w14:textId="77777777" w:rsidTr="00EB3F00">
        <w:trPr>
          <w:trHeight w:val="705"/>
          <w:tblCellSpacing w:w="0" w:type="auto"/>
        </w:trPr>
        <w:tc>
          <w:tcPr>
            <w:tcW w:w="1429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7E436" w14:textId="5F62EFA9" w:rsidR="00825836" w:rsidRDefault="00825836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  <w:p w14:paraId="289EB87C" w14:textId="32D380FB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Мера 3.5 Побољшање материјално-техничких капацитета институција надлежних за спровођење истражних радњи</w:t>
            </w:r>
          </w:p>
        </w:tc>
      </w:tr>
      <w:tr w:rsidR="000216D2" w:rsidRPr="004F5D67" w14:paraId="5104EB30" w14:textId="77777777" w:rsidTr="00EB3F00">
        <w:trPr>
          <w:trHeight w:val="444"/>
          <w:tblCellSpacing w:w="0" w:type="auto"/>
        </w:trPr>
        <w:tc>
          <w:tcPr>
            <w:tcW w:w="366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7A2CE71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lastRenderedPageBreak/>
              <w:t>Активности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BD6CA59" w14:textId="77777777" w:rsidR="000216D2" w:rsidRPr="004F5D67" w:rsidRDefault="000216D2" w:rsidP="009E49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Надлежне институције</w:t>
            </w:r>
          </w:p>
        </w:tc>
        <w:tc>
          <w:tcPr>
            <w:tcW w:w="20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A1D9791" w14:textId="77777777" w:rsidR="000216D2" w:rsidRPr="004F5D67" w:rsidRDefault="000216D2" w:rsidP="009E49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280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4C6A59" w14:textId="77777777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Рок за спровођење активности</w:t>
            </w:r>
          </w:p>
        </w:tc>
        <w:tc>
          <w:tcPr>
            <w:tcW w:w="198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3A98958D" w14:textId="77777777" w:rsidR="000216D2" w:rsidRPr="004F5D67" w:rsidRDefault="000216D2" w:rsidP="009E49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Извори финансирања</w:t>
            </w:r>
          </w:p>
        </w:tc>
        <w:tc>
          <w:tcPr>
            <w:tcW w:w="198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AAE0510" w14:textId="77777777" w:rsidR="000216D2" w:rsidRPr="004F5D67" w:rsidRDefault="000216D2" w:rsidP="009E4930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Показатељи</w:t>
            </w:r>
          </w:p>
        </w:tc>
      </w:tr>
      <w:tr w:rsidR="000216D2" w:rsidRPr="004F5D67" w14:paraId="696DC768" w14:textId="77777777" w:rsidTr="00EB3F00">
        <w:trPr>
          <w:trHeight w:val="443"/>
          <w:tblCellSpacing w:w="0" w:type="auto"/>
        </w:trPr>
        <w:tc>
          <w:tcPr>
            <w:tcW w:w="3662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2C19A9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E1617A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201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5738A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0E5676" w14:textId="37808015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2024</w:t>
            </w:r>
            <w:r w:rsidR="006A2CA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17EB46" w14:textId="65523D74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2025</w:t>
            </w:r>
            <w:r w:rsidR="006A2CA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A9A050" w14:textId="42EB2F0B" w:rsidR="000216D2" w:rsidRPr="004F5D67" w:rsidRDefault="000216D2" w:rsidP="00E03811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2026</w:t>
            </w:r>
            <w:r w:rsidR="006A2CA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98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780CA2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  <w:tc>
          <w:tcPr>
            <w:tcW w:w="198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89682A" w14:textId="77777777" w:rsidR="000216D2" w:rsidRPr="004F5D67" w:rsidRDefault="000216D2" w:rsidP="00E03811">
            <w:pPr>
              <w:spacing w:before="60" w:after="60"/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sr-Cyrl-CS"/>
              </w:rPr>
            </w:pPr>
          </w:p>
        </w:tc>
      </w:tr>
      <w:tr w:rsidR="004E76D3" w:rsidRPr="004F5D67" w14:paraId="7F63E8BF" w14:textId="77777777" w:rsidTr="00EB3F00">
        <w:trPr>
          <w:trHeight w:val="45"/>
          <w:tblCellSpacing w:w="0" w:type="auto"/>
        </w:trPr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87CACE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3.5.1</w:t>
            </w:r>
          </w:p>
        </w:tc>
        <w:tc>
          <w:tcPr>
            <w:tcW w:w="29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7C1B7F" w14:textId="77777777" w:rsidR="004E76D3" w:rsidRPr="004F5D67" w:rsidRDefault="004E76D3" w:rsidP="00E03811">
            <w:pPr>
              <w:spacing w:before="60" w:after="60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Набављање опреме и коришћење исте у сврху унапређења истрага, које би се водиле по конкретном предмету (информатичка, канцеларијска и средства везе)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37CF18" w14:textId="77777777" w:rsidR="004E76D3" w:rsidRPr="004F5D67" w:rsidRDefault="004E76D3" w:rsidP="006A2CA9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МУП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10C493" w14:textId="77777777" w:rsidR="004E76D3" w:rsidRPr="004F5D67" w:rsidRDefault="004E76D3" w:rsidP="006A2CA9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523B14" w14:textId="3F0B4DE2" w:rsidR="004E76D3" w:rsidRPr="004F5D67" w:rsidRDefault="0014113C" w:rsidP="006A2CA9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B15BE2" w14:textId="77777777" w:rsidR="004E76D3" w:rsidRPr="004F5D67" w:rsidRDefault="004E76D3" w:rsidP="006A2CA9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К1</w:t>
            </w:r>
          </w:p>
        </w:tc>
        <w:tc>
          <w:tcPr>
            <w:tcW w:w="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1EE36B" w14:textId="06F07366" w:rsidR="004E76D3" w:rsidRPr="004F5D67" w:rsidRDefault="0014113C" w:rsidP="006A2CA9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/</w:t>
            </w:r>
          </w:p>
        </w:tc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072C28" w14:textId="77777777" w:rsidR="004E76D3" w:rsidRPr="004F5D67" w:rsidRDefault="004E76D3" w:rsidP="006A2CA9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Буџетска средства</w:t>
            </w:r>
          </w:p>
        </w:tc>
        <w:tc>
          <w:tcPr>
            <w:tcW w:w="19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35BB6C" w14:textId="77777777" w:rsidR="004E76D3" w:rsidRPr="004F5D67" w:rsidRDefault="004E76D3" w:rsidP="006A2CA9">
            <w:pPr>
              <w:spacing w:before="60" w:after="6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4F5D67"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Набављена опрема</w:t>
            </w:r>
          </w:p>
        </w:tc>
      </w:tr>
    </w:tbl>
    <w:p w14:paraId="4FBF907C" w14:textId="684AB2E1" w:rsidR="0059118C" w:rsidRPr="004F5D67" w:rsidRDefault="0059118C" w:rsidP="00522562">
      <w:pPr>
        <w:tabs>
          <w:tab w:val="left" w:pos="1338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59118C" w:rsidRPr="004F5D67" w:rsidSect="006502B7">
      <w:pgSz w:w="16840" w:h="11900" w:orient="landscape"/>
      <w:pgMar w:top="135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69FEE" w14:textId="77777777" w:rsidR="00B0139D" w:rsidRDefault="00B0139D" w:rsidP="00541109">
      <w:r>
        <w:separator/>
      </w:r>
    </w:p>
  </w:endnote>
  <w:endnote w:type="continuationSeparator" w:id="0">
    <w:p w14:paraId="3F34055E" w14:textId="77777777" w:rsidR="00B0139D" w:rsidRDefault="00B0139D" w:rsidP="00541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B93EA" w14:textId="77777777" w:rsidR="00733298" w:rsidRDefault="00733298" w:rsidP="00F93A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8E7E2E" w14:textId="77777777" w:rsidR="00733298" w:rsidRDefault="00733298" w:rsidP="00F93A6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C83413" w14:textId="53E92357" w:rsidR="00733298" w:rsidRDefault="00733298" w:rsidP="00F93A6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6B81">
      <w:rPr>
        <w:rStyle w:val="PageNumber"/>
        <w:noProof/>
      </w:rPr>
      <w:t>21</w:t>
    </w:r>
    <w:r>
      <w:rPr>
        <w:rStyle w:val="PageNumber"/>
      </w:rPr>
      <w:fldChar w:fldCharType="end"/>
    </w:r>
  </w:p>
  <w:p w14:paraId="7FD1842A" w14:textId="77777777" w:rsidR="00733298" w:rsidRPr="00E546DF" w:rsidRDefault="00733298" w:rsidP="00F93A66">
    <w:pPr>
      <w:pStyle w:val="Footer"/>
      <w:ind w:right="360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E45B9" w14:textId="77777777" w:rsidR="00B0139D" w:rsidRDefault="00B0139D" w:rsidP="00541109">
      <w:r>
        <w:separator/>
      </w:r>
    </w:p>
  </w:footnote>
  <w:footnote w:type="continuationSeparator" w:id="0">
    <w:p w14:paraId="7C138F33" w14:textId="77777777" w:rsidR="00B0139D" w:rsidRDefault="00B0139D" w:rsidP="005411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3D48"/>
    <w:multiLevelType w:val="hybridMultilevel"/>
    <w:tmpl w:val="63B69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C435DE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67DA"/>
    <w:multiLevelType w:val="hybridMultilevel"/>
    <w:tmpl w:val="BF14F566"/>
    <w:lvl w:ilvl="0" w:tplc="4A480BE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ADF4D99"/>
    <w:multiLevelType w:val="hybridMultilevel"/>
    <w:tmpl w:val="4FD05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67915"/>
    <w:multiLevelType w:val="hybridMultilevel"/>
    <w:tmpl w:val="1AF20468"/>
    <w:lvl w:ilvl="0" w:tplc="4A480BE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C31BF3"/>
    <w:multiLevelType w:val="hybridMultilevel"/>
    <w:tmpl w:val="D1009EAA"/>
    <w:lvl w:ilvl="0" w:tplc="D3281BE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4251B"/>
    <w:multiLevelType w:val="hybridMultilevel"/>
    <w:tmpl w:val="70ACF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B59F4"/>
    <w:multiLevelType w:val="hybridMultilevel"/>
    <w:tmpl w:val="7EBC5B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31A4D"/>
    <w:multiLevelType w:val="hybridMultilevel"/>
    <w:tmpl w:val="6FCEBCD4"/>
    <w:lvl w:ilvl="0" w:tplc="2DC435D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DB1D23"/>
    <w:multiLevelType w:val="hybridMultilevel"/>
    <w:tmpl w:val="F1001358"/>
    <w:lvl w:ilvl="0" w:tplc="2DC435D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A1A73"/>
    <w:multiLevelType w:val="hybridMultilevel"/>
    <w:tmpl w:val="B8F2D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2E2008"/>
    <w:multiLevelType w:val="hybridMultilevel"/>
    <w:tmpl w:val="D856FDE4"/>
    <w:lvl w:ilvl="0" w:tplc="0409000F">
      <w:start w:val="1"/>
      <w:numFmt w:val="decimal"/>
      <w:lvlText w:val="%1."/>
      <w:lvlJc w:val="left"/>
      <w:pPr>
        <w:ind w:left="2970" w:hanging="360"/>
      </w:pPr>
    </w:lvl>
    <w:lvl w:ilvl="1" w:tplc="04090019" w:tentative="1">
      <w:start w:val="1"/>
      <w:numFmt w:val="lowerLetter"/>
      <w:lvlText w:val="%2."/>
      <w:lvlJc w:val="left"/>
      <w:pPr>
        <w:ind w:left="2391" w:hanging="360"/>
      </w:pPr>
    </w:lvl>
    <w:lvl w:ilvl="2" w:tplc="0409001B" w:tentative="1">
      <w:start w:val="1"/>
      <w:numFmt w:val="lowerRoman"/>
      <w:lvlText w:val="%3."/>
      <w:lvlJc w:val="right"/>
      <w:pPr>
        <w:ind w:left="3111" w:hanging="180"/>
      </w:pPr>
    </w:lvl>
    <w:lvl w:ilvl="3" w:tplc="0409000F" w:tentative="1">
      <w:start w:val="1"/>
      <w:numFmt w:val="decimal"/>
      <w:lvlText w:val="%4."/>
      <w:lvlJc w:val="left"/>
      <w:pPr>
        <w:ind w:left="3831" w:hanging="360"/>
      </w:pPr>
    </w:lvl>
    <w:lvl w:ilvl="4" w:tplc="04090019" w:tentative="1">
      <w:start w:val="1"/>
      <w:numFmt w:val="lowerLetter"/>
      <w:lvlText w:val="%5."/>
      <w:lvlJc w:val="left"/>
      <w:pPr>
        <w:ind w:left="4551" w:hanging="360"/>
      </w:pPr>
    </w:lvl>
    <w:lvl w:ilvl="5" w:tplc="0409001B" w:tentative="1">
      <w:start w:val="1"/>
      <w:numFmt w:val="lowerRoman"/>
      <w:lvlText w:val="%6."/>
      <w:lvlJc w:val="right"/>
      <w:pPr>
        <w:ind w:left="5271" w:hanging="180"/>
      </w:pPr>
    </w:lvl>
    <w:lvl w:ilvl="6" w:tplc="0409000F" w:tentative="1">
      <w:start w:val="1"/>
      <w:numFmt w:val="decimal"/>
      <w:lvlText w:val="%7."/>
      <w:lvlJc w:val="left"/>
      <w:pPr>
        <w:ind w:left="5991" w:hanging="360"/>
      </w:pPr>
    </w:lvl>
    <w:lvl w:ilvl="7" w:tplc="04090019" w:tentative="1">
      <w:start w:val="1"/>
      <w:numFmt w:val="lowerLetter"/>
      <w:lvlText w:val="%8."/>
      <w:lvlJc w:val="left"/>
      <w:pPr>
        <w:ind w:left="6711" w:hanging="360"/>
      </w:pPr>
    </w:lvl>
    <w:lvl w:ilvl="8" w:tplc="0409001B" w:tentative="1">
      <w:start w:val="1"/>
      <w:numFmt w:val="lowerRoman"/>
      <w:lvlText w:val="%9."/>
      <w:lvlJc w:val="right"/>
      <w:pPr>
        <w:ind w:left="7431" w:hanging="180"/>
      </w:pPr>
    </w:lvl>
  </w:abstractNum>
  <w:abstractNum w:abstractNumId="11" w15:restartNumberingAfterBreak="0">
    <w:nsid w:val="34F56B96"/>
    <w:multiLevelType w:val="hybridMultilevel"/>
    <w:tmpl w:val="4968A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C088B"/>
    <w:multiLevelType w:val="hybridMultilevel"/>
    <w:tmpl w:val="4968A9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F7E5F"/>
    <w:multiLevelType w:val="hybridMultilevel"/>
    <w:tmpl w:val="D2627E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07C3A"/>
    <w:multiLevelType w:val="hybridMultilevel"/>
    <w:tmpl w:val="6FBA8B82"/>
    <w:lvl w:ilvl="0" w:tplc="C660CFE8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27A145A"/>
    <w:multiLevelType w:val="hybridMultilevel"/>
    <w:tmpl w:val="F28A3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714127"/>
    <w:multiLevelType w:val="hybridMultilevel"/>
    <w:tmpl w:val="5C661AD4"/>
    <w:lvl w:ilvl="0" w:tplc="2DC435D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55D70"/>
    <w:multiLevelType w:val="hybridMultilevel"/>
    <w:tmpl w:val="A2203A2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EA01C5"/>
    <w:multiLevelType w:val="hybridMultilevel"/>
    <w:tmpl w:val="03F40A6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86441B"/>
    <w:multiLevelType w:val="hybridMultilevel"/>
    <w:tmpl w:val="0C14C5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F4227A"/>
    <w:multiLevelType w:val="hybridMultilevel"/>
    <w:tmpl w:val="AF909C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431E55"/>
    <w:multiLevelType w:val="hybridMultilevel"/>
    <w:tmpl w:val="AC605A82"/>
    <w:lvl w:ilvl="0" w:tplc="2DC435D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EA7BB4"/>
    <w:multiLevelType w:val="hybridMultilevel"/>
    <w:tmpl w:val="0E02CC72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5"/>
  </w:num>
  <w:num w:numId="8">
    <w:abstractNumId w:val="5"/>
  </w:num>
  <w:num w:numId="9">
    <w:abstractNumId w:val="19"/>
  </w:num>
  <w:num w:numId="10">
    <w:abstractNumId w:val="21"/>
  </w:num>
  <w:num w:numId="11">
    <w:abstractNumId w:val="16"/>
  </w:num>
  <w:num w:numId="12">
    <w:abstractNumId w:val="4"/>
  </w:num>
  <w:num w:numId="13">
    <w:abstractNumId w:val="8"/>
  </w:num>
  <w:num w:numId="14">
    <w:abstractNumId w:val="1"/>
  </w:num>
  <w:num w:numId="15">
    <w:abstractNumId w:val="7"/>
  </w:num>
  <w:num w:numId="16">
    <w:abstractNumId w:val="18"/>
  </w:num>
  <w:num w:numId="17">
    <w:abstractNumId w:val="13"/>
  </w:num>
  <w:num w:numId="18">
    <w:abstractNumId w:val="6"/>
  </w:num>
  <w:num w:numId="19">
    <w:abstractNumId w:val="2"/>
  </w:num>
  <w:num w:numId="20">
    <w:abstractNumId w:val="17"/>
  </w:num>
  <w:num w:numId="21">
    <w:abstractNumId w:val="22"/>
  </w:num>
  <w:num w:numId="22">
    <w:abstractNumId w:val="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090"/>
    <w:rsid w:val="00001631"/>
    <w:rsid w:val="00001F90"/>
    <w:rsid w:val="00002CF5"/>
    <w:rsid w:val="000037D6"/>
    <w:rsid w:val="00004BE8"/>
    <w:rsid w:val="0000547D"/>
    <w:rsid w:val="00006920"/>
    <w:rsid w:val="00006DED"/>
    <w:rsid w:val="00007FE1"/>
    <w:rsid w:val="00012E2C"/>
    <w:rsid w:val="000141CC"/>
    <w:rsid w:val="00015925"/>
    <w:rsid w:val="00016416"/>
    <w:rsid w:val="0001689C"/>
    <w:rsid w:val="000216D2"/>
    <w:rsid w:val="00023F27"/>
    <w:rsid w:val="00025026"/>
    <w:rsid w:val="00032BF7"/>
    <w:rsid w:val="000350C0"/>
    <w:rsid w:val="00040321"/>
    <w:rsid w:val="00041E14"/>
    <w:rsid w:val="0004379F"/>
    <w:rsid w:val="00045D3E"/>
    <w:rsid w:val="00046F0A"/>
    <w:rsid w:val="000501FC"/>
    <w:rsid w:val="0005025D"/>
    <w:rsid w:val="00052D6E"/>
    <w:rsid w:val="00052DCA"/>
    <w:rsid w:val="00054CD4"/>
    <w:rsid w:val="00055EB8"/>
    <w:rsid w:val="000568F2"/>
    <w:rsid w:val="000622CF"/>
    <w:rsid w:val="00063F06"/>
    <w:rsid w:val="00065E12"/>
    <w:rsid w:val="00067598"/>
    <w:rsid w:val="0007078D"/>
    <w:rsid w:val="0007368D"/>
    <w:rsid w:val="000739D3"/>
    <w:rsid w:val="000746DB"/>
    <w:rsid w:val="00074C01"/>
    <w:rsid w:val="0008065B"/>
    <w:rsid w:val="000808D0"/>
    <w:rsid w:val="00081099"/>
    <w:rsid w:val="00081602"/>
    <w:rsid w:val="000857C5"/>
    <w:rsid w:val="00086AE3"/>
    <w:rsid w:val="00086F35"/>
    <w:rsid w:val="00092CC0"/>
    <w:rsid w:val="000930B9"/>
    <w:rsid w:val="00093C67"/>
    <w:rsid w:val="00094B55"/>
    <w:rsid w:val="0009567D"/>
    <w:rsid w:val="00097D22"/>
    <w:rsid w:val="000A1183"/>
    <w:rsid w:val="000A16BE"/>
    <w:rsid w:val="000A1B71"/>
    <w:rsid w:val="000A63F8"/>
    <w:rsid w:val="000B2240"/>
    <w:rsid w:val="000B3FD0"/>
    <w:rsid w:val="000B69A2"/>
    <w:rsid w:val="000C1CF3"/>
    <w:rsid w:val="000C1F17"/>
    <w:rsid w:val="000C5D15"/>
    <w:rsid w:val="000C7146"/>
    <w:rsid w:val="000E4133"/>
    <w:rsid w:val="000E45C5"/>
    <w:rsid w:val="000E6154"/>
    <w:rsid w:val="000E6186"/>
    <w:rsid w:val="000E668E"/>
    <w:rsid w:val="000E6BEB"/>
    <w:rsid w:val="000E7873"/>
    <w:rsid w:val="000F77E0"/>
    <w:rsid w:val="0010474B"/>
    <w:rsid w:val="001170C3"/>
    <w:rsid w:val="00117C3E"/>
    <w:rsid w:val="00120836"/>
    <w:rsid w:val="001219BA"/>
    <w:rsid w:val="001236F7"/>
    <w:rsid w:val="0012612A"/>
    <w:rsid w:val="00127E9C"/>
    <w:rsid w:val="00127F1A"/>
    <w:rsid w:val="00130C66"/>
    <w:rsid w:val="00130D2B"/>
    <w:rsid w:val="001310AB"/>
    <w:rsid w:val="00131F80"/>
    <w:rsid w:val="001324F4"/>
    <w:rsid w:val="00135555"/>
    <w:rsid w:val="00136079"/>
    <w:rsid w:val="0014113C"/>
    <w:rsid w:val="00145AB7"/>
    <w:rsid w:val="001472E6"/>
    <w:rsid w:val="00156882"/>
    <w:rsid w:val="00161BF3"/>
    <w:rsid w:val="00161CCE"/>
    <w:rsid w:val="001630BC"/>
    <w:rsid w:val="001648F3"/>
    <w:rsid w:val="00164BC7"/>
    <w:rsid w:val="0016747D"/>
    <w:rsid w:val="0017005B"/>
    <w:rsid w:val="00171090"/>
    <w:rsid w:val="00171E96"/>
    <w:rsid w:val="001731D5"/>
    <w:rsid w:val="00173A24"/>
    <w:rsid w:val="00174CC7"/>
    <w:rsid w:val="00174DD1"/>
    <w:rsid w:val="001756C5"/>
    <w:rsid w:val="001807CA"/>
    <w:rsid w:val="00181C2C"/>
    <w:rsid w:val="00184441"/>
    <w:rsid w:val="001851E1"/>
    <w:rsid w:val="001858AB"/>
    <w:rsid w:val="00187213"/>
    <w:rsid w:val="001874D0"/>
    <w:rsid w:val="00193029"/>
    <w:rsid w:val="00193C73"/>
    <w:rsid w:val="001979D2"/>
    <w:rsid w:val="00197A70"/>
    <w:rsid w:val="001A4F89"/>
    <w:rsid w:val="001A72A0"/>
    <w:rsid w:val="001B1602"/>
    <w:rsid w:val="001B1718"/>
    <w:rsid w:val="001B2774"/>
    <w:rsid w:val="001B400A"/>
    <w:rsid w:val="001B6C23"/>
    <w:rsid w:val="001B6EA9"/>
    <w:rsid w:val="001C01E8"/>
    <w:rsid w:val="001C21DA"/>
    <w:rsid w:val="001C2DDD"/>
    <w:rsid w:val="001C4C66"/>
    <w:rsid w:val="001C6787"/>
    <w:rsid w:val="001D0A53"/>
    <w:rsid w:val="001D0C5A"/>
    <w:rsid w:val="001D25B1"/>
    <w:rsid w:val="001D2760"/>
    <w:rsid w:val="001D5E46"/>
    <w:rsid w:val="001E19BD"/>
    <w:rsid w:val="001E19EF"/>
    <w:rsid w:val="001E37A8"/>
    <w:rsid w:val="001E4A58"/>
    <w:rsid w:val="001E556E"/>
    <w:rsid w:val="001E698D"/>
    <w:rsid w:val="001F17D3"/>
    <w:rsid w:val="001F6451"/>
    <w:rsid w:val="0020045A"/>
    <w:rsid w:val="00200512"/>
    <w:rsid w:val="00201163"/>
    <w:rsid w:val="00201202"/>
    <w:rsid w:val="00203922"/>
    <w:rsid w:val="00205204"/>
    <w:rsid w:val="00212367"/>
    <w:rsid w:val="00213F85"/>
    <w:rsid w:val="002145F9"/>
    <w:rsid w:val="00220289"/>
    <w:rsid w:val="00221CFD"/>
    <w:rsid w:val="00223917"/>
    <w:rsid w:val="002239D4"/>
    <w:rsid w:val="00223C29"/>
    <w:rsid w:val="00224200"/>
    <w:rsid w:val="00226306"/>
    <w:rsid w:val="00226738"/>
    <w:rsid w:val="0022778E"/>
    <w:rsid w:val="00227B18"/>
    <w:rsid w:val="00227EA8"/>
    <w:rsid w:val="00230453"/>
    <w:rsid w:val="002306A3"/>
    <w:rsid w:val="00230727"/>
    <w:rsid w:val="0023275D"/>
    <w:rsid w:val="00232967"/>
    <w:rsid w:val="002340A8"/>
    <w:rsid w:val="00235784"/>
    <w:rsid w:val="002442DC"/>
    <w:rsid w:val="00245090"/>
    <w:rsid w:val="00246526"/>
    <w:rsid w:val="00247764"/>
    <w:rsid w:val="002511BB"/>
    <w:rsid w:val="002553A5"/>
    <w:rsid w:val="00255A0E"/>
    <w:rsid w:val="00257EB6"/>
    <w:rsid w:val="002608DD"/>
    <w:rsid w:val="0027048D"/>
    <w:rsid w:val="00270CFE"/>
    <w:rsid w:val="0027140D"/>
    <w:rsid w:val="00273BE2"/>
    <w:rsid w:val="00274434"/>
    <w:rsid w:val="002749FB"/>
    <w:rsid w:val="0028332E"/>
    <w:rsid w:val="00286502"/>
    <w:rsid w:val="00287555"/>
    <w:rsid w:val="002961D3"/>
    <w:rsid w:val="0029662B"/>
    <w:rsid w:val="00297FBC"/>
    <w:rsid w:val="002A29AC"/>
    <w:rsid w:val="002A380B"/>
    <w:rsid w:val="002B2E7B"/>
    <w:rsid w:val="002B32FF"/>
    <w:rsid w:val="002B40FB"/>
    <w:rsid w:val="002B42E6"/>
    <w:rsid w:val="002C171B"/>
    <w:rsid w:val="002C1F59"/>
    <w:rsid w:val="002C2EB2"/>
    <w:rsid w:val="002C4CAC"/>
    <w:rsid w:val="002C6774"/>
    <w:rsid w:val="002D3F3E"/>
    <w:rsid w:val="002D5A4B"/>
    <w:rsid w:val="002E2704"/>
    <w:rsid w:val="002E38AD"/>
    <w:rsid w:val="002E51D5"/>
    <w:rsid w:val="002E795C"/>
    <w:rsid w:val="002E7AB1"/>
    <w:rsid w:val="002E7CD7"/>
    <w:rsid w:val="002F0800"/>
    <w:rsid w:val="002F41A8"/>
    <w:rsid w:val="002F461A"/>
    <w:rsid w:val="002F4E86"/>
    <w:rsid w:val="002F5A28"/>
    <w:rsid w:val="00303286"/>
    <w:rsid w:val="00303E43"/>
    <w:rsid w:val="00305596"/>
    <w:rsid w:val="00311145"/>
    <w:rsid w:val="003125B8"/>
    <w:rsid w:val="003131DB"/>
    <w:rsid w:val="00314229"/>
    <w:rsid w:val="00314EF8"/>
    <w:rsid w:val="00316146"/>
    <w:rsid w:val="00316FF4"/>
    <w:rsid w:val="00320883"/>
    <w:rsid w:val="00321391"/>
    <w:rsid w:val="00326D79"/>
    <w:rsid w:val="00327F0A"/>
    <w:rsid w:val="00330128"/>
    <w:rsid w:val="0033072C"/>
    <w:rsid w:val="00331EC3"/>
    <w:rsid w:val="00332486"/>
    <w:rsid w:val="00333C89"/>
    <w:rsid w:val="00334129"/>
    <w:rsid w:val="00335538"/>
    <w:rsid w:val="003418CF"/>
    <w:rsid w:val="00341B0B"/>
    <w:rsid w:val="00342D38"/>
    <w:rsid w:val="00343157"/>
    <w:rsid w:val="00343D5A"/>
    <w:rsid w:val="003448E0"/>
    <w:rsid w:val="00345143"/>
    <w:rsid w:val="00346828"/>
    <w:rsid w:val="003471A4"/>
    <w:rsid w:val="0035309C"/>
    <w:rsid w:val="00353A91"/>
    <w:rsid w:val="00354B8F"/>
    <w:rsid w:val="00354D7C"/>
    <w:rsid w:val="003553EF"/>
    <w:rsid w:val="003571DF"/>
    <w:rsid w:val="003615FB"/>
    <w:rsid w:val="00362A2D"/>
    <w:rsid w:val="00365860"/>
    <w:rsid w:val="003673AE"/>
    <w:rsid w:val="00370887"/>
    <w:rsid w:val="00375CD3"/>
    <w:rsid w:val="0037799E"/>
    <w:rsid w:val="0038022E"/>
    <w:rsid w:val="0038041A"/>
    <w:rsid w:val="0038163B"/>
    <w:rsid w:val="00382A4A"/>
    <w:rsid w:val="00384E1E"/>
    <w:rsid w:val="003853AC"/>
    <w:rsid w:val="00385D95"/>
    <w:rsid w:val="00386031"/>
    <w:rsid w:val="003878BC"/>
    <w:rsid w:val="003910BC"/>
    <w:rsid w:val="00392A8A"/>
    <w:rsid w:val="00392BF6"/>
    <w:rsid w:val="00392CE4"/>
    <w:rsid w:val="00393BB1"/>
    <w:rsid w:val="0039705B"/>
    <w:rsid w:val="003A0CF8"/>
    <w:rsid w:val="003A1433"/>
    <w:rsid w:val="003A4470"/>
    <w:rsid w:val="003A6669"/>
    <w:rsid w:val="003A7282"/>
    <w:rsid w:val="003B3B3B"/>
    <w:rsid w:val="003B3BB6"/>
    <w:rsid w:val="003C23CA"/>
    <w:rsid w:val="003C2E92"/>
    <w:rsid w:val="003C35F3"/>
    <w:rsid w:val="003C46E6"/>
    <w:rsid w:val="003C4D71"/>
    <w:rsid w:val="003C57D9"/>
    <w:rsid w:val="003D01C1"/>
    <w:rsid w:val="003D1B55"/>
    <w:rsid w:val="003D40E4"/>
    <w:rsid w:val="003D417C"/>
    <w:rsid w:val="003D5F94"/>
    <w:rsid w:val="003D6174"/>
    <w:rsid w:val="003E18DF"/>
    <w:rsid w:val="003F32CE"/>
    <w:rsid w:val="003F420B"/>
    <w:rsid w:val="003F53C4"/>
    <w:rsid w:val="003F6241"/>
    <w:rsid w:val="00400D44"/>
    <w:rsid w:val="0040173D"/>
    <w:rsid w:val="00402236"/>
    <w:rsid w:val="004024CF"/>
    <w:rsid w:val="00404C60"/>
    <w:rsid w:val="00406C23"/>
    <w:rsid w:val="00407B89"/>
    <w:rsid w:val="00411263"/>
    <w:rsid w:val="00411876"/>
    <w:rsid w:val="00413516"/>
    <w:rsid w:val="004153EC"/>
    <w:rsid w:val="00423116"/>
    <w:rsid w:val="00425012"/>
    <w:rsid w:val="004260ED"/>
    <w:rsid w:val="00426B74"/>
    <w:rsid w:val="00426C8E"/>
    <w:rsid w:val="00430E8E"/>
    <w:rsid w:val="0043319E"/>
    <w:rsid w:val="004362D3"/>
    <w:rsid w:val="00437BC2"/>
    <w:rsid w:val="00443296"/>
    <w:rsid w:val="00445871"/>
    <w:rsid w:val="0044733F"/>
    <w:rsid w:val="004529CB"/>
    <w:rsid w:val="00452E31"/>
    <w:rsid w:val="00454E90"/>
    <w:rsid w:val="00461129"/>
    <w:rsid w:val="004626D3"/>
    <w:rsid w:val="004662DE"/>
    <w:rsid w:val="00466D0D"/>
    <w:rsid w:val="0047015D"/>
    <w:rsid w:val="00471F75"/>
    <w:rsid w:val="00472DAE"/>
    <w:rsid w:val="00474189"/>
    <w:rsid w:val="004746FC"/>
    <w:rsid w:val="00480154"/>
    <w:rsid w:val="00480F56"/>
    <w:rsid w:val="00484F5C"/>
    <w:rsid w:val="00485466"/>
    <w:rsid w:val="00487B8A"/>
    <w:rsid w:val="004902E8"/>
    <w:rsid w:val="0049049E"/>
    <w:rsid w:val="00490864"/>
    <w:rsid w:val="004925F6"/>
    <w:rsid w:val="0049347A"/>
    <w:rsid w:val="004935AB"/>
    <w:rsid w:val="00495710"/>
    <w:rsid w:val="00497092"/>
    <w:rsid w:val="0049738C"/>
    <w:rsid w:val="00497B10"/>
    <w:rsid w:val="004A5EF6"/>
    <w:rsid w:val="004A6A26"/>
    <w:rsid w:val="004B074E"/>
    <w:rsid w:val="004B07EA"/>
    <w:rsid w:val="004B41AB"/>
    <w:rsid w:val="004B6ADC"/>
    <w:rsid w:val="004B74E8"/>
    <w:rsid w:val="004B791D"/>
    <w:rsid w:val="004C260E"/>
    <w:rsid w:val="004C5C7B"/>
    <w:rsid w:val="004C5DE0"/>
    <w:rsid w:val="004D0E1B"/>
    <w:rsid w:val="004D1DB9"/>
    <w:rsid w:val="004D4891"/>
    <w:rsid w:val="004E3871"/>
    <w:rsid w:val="004E69C3"/>
    <w:rsid w:val="004E76D3"/>
    <w:rsid w:val="004F0555"/>
    <w:rsid w:val="004F1021"/>
    <w:rsid w:val="004F1901"/>
    <w:rsid w:val="004F2D33"/>
    <w:rsid w:val="004F5D67"/>
    <w:rsid w:val="004F607F"/>
    <w:rsid w:val="004F73A2"/>
    <w:rsid w:val="00500643"/>
    <w:rsid w:val="00500708"/>
    <w:rsid w:val="00500BE0"/>
    <w:rsid w:val="00501233"/>
    <w:rsid w:val="005014D8"/>
    <w:rsid w:val="00502FDC"/>
    <w:rsid w:val="0050483D"/>
    <w:rsid w:val="00504EA0"/>
    <w:rsid w:val="00504F15"/>
    <w:rsid w:val="0051169E"/>
    <w:rsid w:val="0051279C"/>
    <w:rsid w:val="005132CF"/>
    <w:rsid w:val="005218EE"/>
    <w:rsid w:val="00521A08"/>
    <w:rsid w:val="00522562"/>
    <w:rsid w:val="00524AF9"/>
    <w:rsid w:val="005253F3"/>
    <w:rsid w:val="00526E7C"/>
    <w:rsid w:val="00527056"/>
    <w:rsid w:val="005279DB"/>
    <w:rsid w:val="00527D71"/>
    <w:rsid w:val="0053202C"/>
    <w:rsid w:val="00541109"/>
    <w:rsid w:val="0054188B"/>
    <w:rsid w:val="00542956"/>
    <w:rsid w:val="005447AA"/>
    <w:rsid w:val="00545904"/>
    <w:rsid w:val="00546B3F"/>
    <w:rsid w:val="0054768A"/>
    <w:rsid w:val="00550854"/>
    <w:rsid w:val="005532AD"/>
    <w:rsid w:val="0055453D"/>
    <w:rsid w:val="00556C39"/>
    <w:rsid w:val="00557F53"/>
    <w:rsid w:val="0056613C"/>
    <w:rsid w:val="00566740"/>
    <w:rsid w:val="005702F5"/>
    <w:rsid w:val="00577880"/>
    <w:rsid w:val="00583BBE"/>
    <w:rsid w:val="005860CA"/>
    <w:rsid w:val="0059118C"/>
    <w:rsid w:val="00593065"/>
    <w:rsid w:val="00596E16"/>
    <w:rsid w:val="005A063B"/>
    <w:rsid w:val="005A256F"/>
    <w:rsid w:val="005A2E17"/>
    <w:rsid w:val="005A3010"/>
    <w:rsid w:val="005A3D74"/>
    <w:rsid w:val="005A48FA"/>
    <w:rsid w:val="005A62B0"/>
    <w:rsid w:val="005A683C"/>
    <w:rsid w:val="005A702B"/>
    <w:rsid w:val="005A76EF"/>
    <w:rsid w:val="005B0E7E"/>
    <w:rsid w:val="005B1B81"/>
    <w:rsid w:val="005B3064"/>
    <w:rsid w:val="005B310D"/>
    <w:rsid w:val="005B6C24"/>
    <w:rsid w:val="005B70EB"/>
    <w:rsid w:val="005B7B8D"/>
    <w:rsid w:val="005C33F4"/>
    <w:rsid w:val="005C4B66"/>
    <w:rsid w:val="005C52AC"/>
    <w:rsid w:val="005C53D6"/>
    <w:rsid w:val="005C7C78"/>
    <w:rsid w:val="005D063D"/>
    <w:rsid w:val="005D3AA2"/>
    <w:rsid w:val="005D55FA"/>
    <w:rsid w:val="005E03D1"/>
    <w:rsid w:val="005E3314"/>
    <w:rsid w:val="005E7629"/>
    <w:rsid w:val="005E7ECF"/>
    <w:rsid w:val="005F207C"/>
    <w:rsid w:val="005F3AB9"/>
    <w:rsid w:val="005F42CB"/>
    <w:rsid w:val="005F6F4D"/>
    <w:rsid w:val="00601431"/>
    <w:rsid w:val="00606B73"/>
    <w:rsid w:val="00607113"/>
    <w:rsid w:val="0061038F"/>
    <w:rsid w:val="00610C86"/>
    <w:rsid w:val="00611BB2"/>
    <w:rsid w:val="00611C80"/>
    <w:rsid w:val="00613C8B"/>
    <w:rsid w:val="00615167"/>
    <w:rsid w:val="006158D3"/>
    <w:rsid w:val="0062080D"/>
    <w:rsid w:val="006220F6"/>
    <w:rsid w:val="006242B9"/>
    <w:rsid w:val="00625199"/>
    <w:rsid w:val="00630795"/>
    <w:rsid w:val="00632E80"/>
    <w:rsid w:val="00637F81"/>
    <w:rsid w:val="0064305D"/>
    <w:rsid w:val="00643B06"/>
    <w:rsid w:val="006441B4"/>
    <w:rsid w:val="00644FF9"/>
    <w:rsid w:val="006502B7"/>
    <w:rsid w:val="006517FC"/>
    <w:rsid w:val="006524AD"/>
    <w:rsid w:val="0065311F"/>
    <w:rsid w:val="00653E94"/>
    <w:rsid w:val="00653FD3"/>
    <w:rsid w:val="00655BC8"/>
    <w:rsid w:val="00656037"/>
    <w:rsid w:val="006576A0"/>
    <w:rsid w:val="00662221"/>
    <w:rsid w:val="00663847"/>
    <w:rsid w:val="00664581"/>
    <w:rsid w:val="00664A71"/>
    <w:rsid w:val="006653CC"/>
    <w:rsid w:val="00666F7E"/>
    <w:rsid w:val="0066727A"/>
    <w:rsid w:val="00671AA5"/>
    <w:rsid w:val="00672C83"/>
    <w:rsid w:val="0067456F"/>
    <w:rsid w:val="00675C46"/>
    <w:rsid w:val="00680BED"/>
    <w:rsid w:val="00681C78"/>
    <w:rsid w:val="00681EFB"/>
    <w:rsid w:val="00682253"/>
    <w:rsid w:val="00682FDB"/>
    <w:rsid w:val="006838F7"/>
    <w:rsid w:val="006867FA"/>
    <w:rsid w:val="00692593"/>
    <w:rsid w:val="006932BB"/>
    <w:rsid w:val="00694575"/>
    <w:rsid w:val="006948C6"/>
    <w:rsid w:val="006A2CA9"/>
    <w:rsid w:val="006A5936"/>
    <w:rsid w:val="006B2259"/>
    <w:rsid w:val="006B3616"/>
    <w:rsid w:val="006B7C90"/>
    <w:rsid w:val="006C1C4A"/>
    <w:rsid w:val="006C44B9"/>
    <w:rsid w:val="006C4DE5"/>
    <w:rsid w:val="006D2A9D"/>
    <w:rsid w:val="006D3D5C"/>
    <w:rsid w:val="006D49D5"/>
    <w:rsid w:val="006D526B"/>
    <w:rsid w:val="006D6059"/>
    <w:rsid w:val="006E3181"/>
    <w:rsid w:val="006E3BD3"/>
    <w:rsid w:val="006E3C33"/>
    <w:rsid w:val="006F08F4"/>
    <w:rsid w:val="006F0E55"/>
    <w:rsid w:val="006F19EE"/>
    <w:rsid w:val="006F7B11"/>
    <w:rsid w:val="0070047D"/>
    <w:rsid w:val="0070674C"/>
    <w:rsid w:val="00707571"/>
    <w:rsid w:val="00707EC6"/>
    <w:rsid w:val="007120EB"/>
    <w:rsid w:val="0071445B"/>
    <w:rsid w:val="007144D4"/>
    <w:rsid w:val="007174BC"/>
    <w:rsid w:val="007179CB"/>
    <w:rsid w:val="0072222E"/>
    <w:rsid w:val="00722A21"/>
    <w:rsid w:val="0072655A"/>
    <w:rsid w:val="00726867"/>
    <w:rsid w:val="007273B7"/>
    <w:rsid w:val="0072763E"/>
    <w:rsid w:val="00727835"/>
    <w:rsid w:val="00730929"/>
    <w:rsid w:val="007319A3"/>
    <w:rsid w:val="0073257E"/>
    <w:rsid w:val="00733298"/>
    <w:rsid w:val="0073365F"/>
    <w:rsid w:val="00735262"/>
    <w:rsid w:val="007446F4"/>
    <w:rsid w:val="00751509"/>
    <w:rsid w:val="00752060"/>
    <w:rsid w:val="00753908"/>
    <w:rsid w:val="0075462E"/>
    <w:rsid w:val="007564F0"/>
    <w:rsid w:val="00762E41"/>
    <w:rsid w:val="007656DE"/>
    <w:rsid w:val="007668D8"/>
    <w:rsid w:val="0076748F"/>
    <w:rsid w:val="007714A4"/>
    <w:rsid w:val="00772F76"/>
    <w:rsid w:val="00773527"/>
    <w:rsid w:val="00774659"/>
    <w:rsid w:val="007748FB"/>
    <w:rsid w:val="00774F62"/>
    <w:rsid w:val="00775FCE"/>
    <w:rsid w:val="007763E3"/>
    <w:rsid w:val="00783E78"/>
    <w:rsid w:val="00784237"/>
    <w:rsid w:val="00786875"/>
    <w:rsid w:val="007919FB"/>
    <w:rsid w:val="00796EEA"/>
    <w:rsid w:val="007A2AFF"/>
    <w:rsid w:val="007A2D75"/>
    <w:rsid w:val="007A3BA4"/>
    <w:rsid w:val="007A5B22"/>
    <w:rsid w:val="007A63CF"/>
    <w:rsid w:val="007A7849"/>
    <w:rsid w:val="007B0089"/>
    <w:rsid w:val="007C16EF"/>
    <w:rsid w:val="007C3C41"/>
    <w:rsid w:val="007C7018"/>
    <w:rsid w:val="007C7B32"/>
    <w:rsid w:val="007D0E04"/>
    <w:rsid w:val="007D3617"/>
    <w:rsid w:val="007D37BB"/>
    <w:rsid w:val="007D57A4"/>
    <w:rsid w:val="007D5DD6"/>
    <w:rsid w:val="007D76D6"/>
    <w:rsid w:val="007E10DD"/>
    <w:rsid w:val="007E38C8"/>
    <w:rsid w:val="007E3966"/>
    <w:rsid w:val="007E3AC5"/>
    <w:rsid w:val="007F3404"/>
    <w:rsid w:val="007F38AA"/>
    <w:rsid w:val="007F44D0"/>
    <w:rsid w:val="007F48C1"/>
    <w:rsid w:val="007F5A18"/>
    <w:rsid w:val="007F61E4"/>
    <w:rsid w:val="007F6DC0"/>
    <w:rsid w:val="008044E4"/>
    <w:rsid w:val="008054AA"/>
    <w:rsid w:val="008074C0"/>
    <w:rsid w:val="00807AB6"/>
    <w:rsid w:val="0081133A"/>
    <w:rsid w:val="00815736"/>
    <w:rsid w:val="0082035A"/>
    <w:rsid w:val="00820AF2"/>
    <w:rsid w:val="008210DE"/>
    <w:rsid w:val="00822285"/>
    <w:rsid w:val="0082374F"/>
    <w:rsid w:val="00824B43"/>
    <w:rsid w:val="0082529D"/>
    <w:rsid w:val="00825836"/>
    <w:rsid w:val="00831808"/>
    <w:rsid w:val="00832B96"/>
    <w:rsid w:val="00836C4F"/>
    <w:rsid w:val="00837B14"/>
    <w:rsid w:val="0084251A"/>
    <w:rsid w:val="00842E6B"/>
    <w:rsid w:val="008437E3"/>
    <w:rsid w:val="008452B1"/>
    <w:rsid w:val="00851B86"/>
    <w:rsid w:val="00853D3A"/>
    <w:rsid w:val="00854858"/>
    <w:rsid w:val="0085495E"/>
    <w:rsid w:val="00855F4D"/>
    <w:rsid w:val="008575F2"/>
    <w:rsid w:val="00857919"/>
    <w:rsid w:val="0086323F"/>
    <w:rsid w:val="00863B0E"/>
    <w:rsid w:val="008659CA"/>
    <w:rsid w:val="008666DF"/>
    <w:rsid w:val="008712DA"/>
    <w:rsid w:val="00873CF1"/>
    <w:rsid w:val="00874835"/>
    <w:rsid w:val="00881299"/>
    <w:rsid w:val="00882748"/>
    <w:rsid w:val="008828CD"/>
    <w:rsid w:val="00882B43"/>
    <w:rsid w:val="00890038"/>
    <w:rsid w:val="00890406"/>
    <w:rsid w:val="0089132B"/>
    <w:rsid w:val="008A0E6D"/>
    <w:rsid w:val="008A40C6"/>
    <w:rsid w:val="008B26C6"/>
    <w:rsid w:val="008B2B9A"/>
    <w:rsid w:val="008B3BE6"/>
    <w:rsid w:val="008B451E"/>
    <w:rsid w:val="008B4C9B"/>
    <w:rsid w:val="008B4E78"/>
    <w:rsid w:val="008C2070"/>
    <w:rsid w:val="008C2896"/>
    <w:rsid w:val="008C6B0E"/>
    <w:rsid w:val="008C7E1B"/>
    <w:rsid w:val="008D044A"/>
    <w:rsid w:val="008D1644"/>
    <w:rsid w:val="008D5819"/>
    <w:rsid w:val="008E40D3"/>
    <w:rsid w:val="008E6569"/>
    <w:rsid w:val="008E76D9"/>
    <w:rsid w:val="008F2151"/>
    <w:rsid w:val="008F2C75"/>
    <w:rsid w:val="008F5D9B"/>
    <w:rsid w:val="008F644C"/>
    <w:rsid w:val="008F71CB"/>
    <w:rsid w:val="008F730F"/>
    <w:rsid w:val="00900380"/>
    <w:rsid w:val="00902709"/>
    <w:rsid w:val="009075F9"/>
    <w:rsid w:val="00910097"/>
    <w:rsid w:val="00910C2B"/>
    <w:rsid w:val="00911760"/>
    <w:rsid w:val="0091249A"/>
    <w:rsid w:val="00912D4A"/>
    <w:rsid w:val="00914D22"/>
    <w:rsid w:val="009158FC"/>
    <w:rsid w:val="0091789B"/>
    <w:rsid w:val="00920BD4"/>
    <w:rsid w:val="00921943"/>
    <w:rsid w:val="0092277F"/>
    <w:rsid w:val="009243D9"/>
    <w:rsid w:val="00931162"/>
    <w:rsid w:val="00931EE2"/>
    <w:rsid w:val="009345D3"/>
    <w:rsid w:val="0093487C"/>
    <w:rsid w:val="00936CEA"/>
    <w:rsid w:val="009372F0"/>
    <w:rsid w:val="0094528C"/>
    <w:rsid w:val="00950E4E"/>
    <w:rsid w:val="00950F7A"/>
    <w:rsid w:val="00952C98"/>
    <w:rsid w:val="00957B25"/>
    <w:rsid w:val="00963481"/>
    <w:rsid w:val="00966263"/>
    <w:rsid w:val="009667EB"/>
    <w:rsid w:val="009668C1"/>
    <w:rsid w:val="00967F3C"/>
    <w:rsid w:val="00971D43"/>
    <w:rsid w:val="0097207D"/>
    <w:rsid w:val="009724A4"/>
    <w:rsid w:val="0097339C"/>
    <w:rsid w:val="00975C45"/>
    <w:rsid w:val="00975DAE"/>
    <w:rsid w:val="00975F24"/>
    <w:rsid w:val="00976149"/>
    <w:rsid w:val="00976417"/>
    <w:rsid w:val="00981564"/>
    <w:rsid w:val="00982617"/>
    <w:rsid w:val="00984521"/>
    <w:rsid w:val="00984599"/>
    <w:rsid w:val="0098758E"/>
    <w:rsid w:val="00991CF4"/>
    <w:rsid w:val="00992522"/>
    <w:rsid w:val="00995110"/>
    <w:rsid w:val="00997B0A"/>
    <w:rsid w:val="009A2B4D"/>
    <w:rsid w:val="009A4EB0"/>
    <w:rsid w:val="009A6E9F"/>
    <w:rsid w:val="009B030C"/>
    <w:rsid w:val="009B1E6D"/>
    <w:rsid w:val="009B2617"/>
    <w:rsid w:val="009B524A"/>
    <w:rsid w:val="009C06C3"/>
    <w:rsid w:val="009C14DE"/>
    <w:rsid w:val="009C1E0D"/>
    <w:rsid w:val="009D6F06"/>
    <w:rsid w:val="009D7EC1"/>
    <w:rsid w:val="009E34BA"/>
    <w:rsid w:val="009E4930"/>
    <w:rsid w:val="009E5E49"/>
    <w:rsid w:val="009F0513"/>
    <w:rsid w:val="009F2730"/>
    <w:rsid w:val="009F3CF5"/>
    <w:rsid w:val="009F4075"/>
    <w:rsid w:val="009F5E04"/>
    <w:rsid w:val="00A00017"/>
    <w:rsid w:val="00A020E5"/>
    <w:rsid w:val="00A0289F"/>
    <w:rsid w:val="00A06B03"/>
    <w:rsid w:val="00A079A8"/>
    <w:rsid w:val="00A1242C"/>
    <w:rsid w:val="00A151EF"/>
    <w:rsid w:val="00A15FDE"/>
    <w:rsid w:val="00A17177"/>
    <w:rsid w:val="00A26FF1"/>
    <w:rsid w:val="00A301BE"/>
    <w:rsid w:val="00A31357"/>
    <w:rsid w:val="00A34E77"/>
    <w:rsid w:val="00A36F97"/>
    <w:rsid w:val="00A40087"/>
    <w:rsid w:val="00A438BC"/>
    <w:rsid w:val="00A4433B"/>
    <w:rsid w:val="00A446C8"/>
    <w:rsid w:val="00A44962"/>
    <w:rsid w:val="00A458A5"/>
    <w:rsid w:val="00A5132D"/>
    <w:rsid w:val="00A51F67"/>
    <w:rsid w:val="00A55460"/>
    <w:rsid w:val="00A613A2"/>
    <w:rsid w:val="00A61F59"/>
    <w:rsid w:val="00A62763"/>
    <w:rsid w:val="00A6655A"/>
    <w:rsid w:val="00A71D20"/>
    <w:rsid w:val="00A765F3"/>
    <w:rsid w:val="00A7674F"/>
    <w:rsid w:val="00A77831"/>
    <w:rsid w:val="00A82B55"/>
    <w:rsid w:val="00A91009"/>
    <w:rsid w:val="00A96152"/>
    <w:rsid w:val="00A97B51"/>
    <w:rsid w:val="00AA132A"/>
    <w:rsid w:val="00AA1405"/>
    <w:rsid w:val="00AA17B2"/>
    <w:rsid w:val="00AA2B27"/>
    <w:rsid w:val="00AA3C30"/>
    <w:rsid w:val="00AA4298"/>
    <w:rsid w:val="00AA5502"/>
    <w:rsid w:val="00AA793C"/>
    <w:rsid w:val="00AB79C4"/>
    <w:rsid w:val="00AC1BBA"/>
    <w:rsid w:val="00AC2957"/>
    <w:rsid w:val="00AC5FB0"/>
    <w:rsid w:val="00AC6AB4"/>
    <w:rsid w:val="00AD232F"/>
    <w:rsid w:val="00AD6D82"/>
    <w:rsid w:val="00AE0EC3"/>
    <w:rsid w:val="00AE167E"/>
    <w:rsid w:val="00AE361A"/>
    <w:rsid w:val="00AF0C99"/>
    <w:rsid w:val="00AF2F27"/>
    <w:rsid w:val="00AF393A"/>
    <w:rsid w:val="00AF3B7B"/>
    <w:rsid w:val="00AF410D"/>
    <w:rsid w:val="00AF5B35"/>
    <w:rsid w:val="00AF6B81"/>
    <w:rsid w:val="00AF76E2"/>
    <w:rsid w:val="00B00062"/>
    <w:rsid w:val="00B0139D"/>
    <w:rsid w:val="00B03CB5"/>
    <w:rsid w:val="00B05254"/>
    <w:rsid w:val="00B058C1"/>
    <w:rsid w:val="00B07360"/>
    <w:rsid w:val="00B1159F"/>
    <w:rsid w:val="00B120C3"/>
    <w:rsid w:val="00B1488B"/>
    <w:rsid w:val="00B14EEF"/>
    <w:rsid w:val="00B22CE4"/>
    <w:rsid w:val="00B238D2"/>
    <w:rsid w:val="00B26190"/>
    <w:rsid w:val="00B27A7C"/>
    <w:rsid w:val="00B32CDA"/>
    <w:rsid w:val="00B34091"/>
    <w:rsid w:val="00B34AF5"/>
    <w:rsid w:val="00B36E59"/>
    <w:rsid w:val="00B37966"/>
    <w:rsid w:val="00B4213F"/>
    <w:rsid w:val="00B428A1"/>
    <w:rsid w:val="00B447F4"/>
    <w:rsid w:val="00B457AB"/>
    <w:rsid w:val="00B45D50"/>
    <w:rsid w:val="00B46052"/>
    <w:rsid w:val="00B47090"/>
    <w:rsid w:val="00B47CF1"/>
    <w:rsid w:val="00B533AE"/>
    <w:rsid w:val="00B562BD"/>
    <w:rsid w:val="00B56404"/>
    <w:rsid w:val="00B56CA7"/>
    <w:rsid w:val="00B60A2D"/>
    <w:rsid w:val="00B6111E"/>
    <w:rsid w:val="00B61EDB"/>
    <w:rsid w:val="00B64304"/>
    <w:rsid w:val="00B67E68"/>
    <w:rsid w:val="00B742D2"/>
    <w:rsid w:val="00B75A46"/>
    <w:rsid w:val="00B75DF1"/>
    <w:rsid w:val="00B77BAF"/>
    <w:rsid w:val="00B8095C"/>
    <w:rsid w:val="00B81C51"/>
    <w:rsid w:val="00B83B17"/>
    <w:rsid w:val="00B85A9B"/>
    <w:rsid w:val="00B923AC"/>
    <w:rsid w:val="00B94EF2"/>
    <w:rsid w:val="00B97993"/>
    <w:rsid w:val="00BA027C"/>
    <w:rsid w:val="00BA28A6"/>
    <w:rsid w:val="00BB0CB0"/>
    <w:rsid w:val="00BB0E7D"/>
    <w:rsid w:val="00BB4C97"/>
    <w:rsid w:val="00BB5F1D"/>
    <w:rsid w:val="00BC422C"/>
    <w:rsid w:val="00BC4307"/>
    <w:rsid w:val="00BC5846"/>
    <w:rsid w:val="00BC6AFF"/>
    <w:rsid w:val="00BD2556"/>
    <w:rsid w:val="00BD3DF1"/>
    <w:rsid w:val="00BD582A"/>
    <w:rsid w:val="00BE2710"/>
    <w:rsid w:val="00BE5CAE"/>
    <w:rsid w:val="00BF4810"/>
    <w:rsid w:val="00BF79DA"/>
    <w:rsid w:val="00C003D6"/>
    <w:rsid w:val="00C03B24"/>
    <w:rsid w:val="00C15002"/>
    <w:rsid w:val="00C15666"/>
    <w:rsid w:val="00C157F4"/>
    <w:rsid w:val="00C15F52"/>
    <w:rsid w:val="00C21281"/>
    <w:rsid w:val="00C215EF"/>
    <w:rsid w:val="00C2254C"/>
    <w:rsid w:val="00C25CAA"/>
    <w:rsid w:val="00C3025B"/>
    <w:rsid w:val="00C31856"/>
    <w:rsid w:val="00C3464F"/>
    <w:rsid w:val="00C34E64"/>
    <w:rsid w:val="00C351B7"/>
    <w:rsid w:val="00C356C8"/>
    <w:rsid w:val="00C3629C"/>
    <w:rsid w:val="00C36FAB"/>
    <w:rsid w:val="00C4210F"/>
    <w:rsid w:val="00C47C11"/>
    <w:rsid w:val="00C50844"/>
    <w:rsid w:val="00C50B13"/>
    <w:rsid w:val="00C537C1"/>
    <w:rsid w:val="00C5455E"/>
    <w:rsid w:val="00C55EC7"/>
    <w:rsid w:val="00C606CE"/>
    <w:rsid w:val="00C61BE1"/>
    <w:rsid w:val="00C62E69"/>
    <w:rsid w:val="00C63D74"/>
    <w:rsid w:val="00C6626C"/>
    <w:rsid w:val="00C6790F"/>
    <w:rsid w:val="00C74E9A"/>
    <w:rsid w:val="00C75D85"/>
    <w:rsid w:val="00C76742"/>
    <w:rsid w:val="00C77A97"/>
    <w:rsid w:val="00C80D7A"/>
    <w:rsid w:val="00C80FAC"/>
    <w:rsid w:val="00C81F83"/>
    <w:rsid w:val="00C82728"/>
    <w:rsid w:val="00C84749"/>
    <w:rsid w:val="00C8779D"/>
    <w:rsid w:val="00C94FBB"/>
    <w:rsid w:val="00C96B2E"/>
    <w:rsid w:val="00CA0FAE"/>
    <w:rsid w:val="00CA43E1"/>
    <w:rsid w:val="00CA4803"/>
    <w:rsid w:val="00CA5BF2"/>
    <w:rsid w:val="00CA6DDE"/>
    <w:rsid w:val="00CB012C"/>
    <w:rsid w:val="00CB35FE"/>
    <w:rsid w:val="00CB603A"/>
    <w:rsid w:val="00CB62A0"/>
    <w:rsid w:val="00CC20C4"/>
    <w:rsid w:val="00CC23D4"/>
    <w:rsid w:val="00CC48F6"/>
    <w:rsid w:val="00CC7A3F"/>
    <w:rsid w:val="00CD092F"/>
    <w:rsid w:val="00CD24CC"/>
    <w:rsid w:val="00CD5E32"/>
    <w:rsid w:val="00CD7318"/>
    <w:rsid w:val="00CD75E7"/>
    <w:rsid w:val="00CE2FB7"/>
    <w:rsid w:val="00CF6CCD"/>
    <w:rsid w:val="00D01391"/>
    <w:rsid w:val="00D01ED3"/>
    <w:rsid w:val="00D075E8"/>
    <w:rsid w:val="00D079AD"/>
    <w:rsid w:val="00D10E71"/>
    <w:rsid w:val="00D11181"/>
    <w:rsid w:val="00D113B4"/>
    <w:rsid w:val="00D13090"/>
    <w:rsid w:val="00D13640"/>
    <w:rsid w:val="00D13E69"/>
    <w:rsid w:val="00D1646F"/>
    <w:rsid w:val="00D17D4E"/>
    <w:rsid w:val="00D202FE"/>
    <w:rsid w:val="00D20505"/>
    <w:rsid w:val="00D324C7"/>
    <w:rsid w:val="00D33B31"/>
    <w:rsid w:val="00D4116F"/>
    <w:rsid w:val="00D41850"/>
    <w:rsid w:val="00D4315C"/>
    <w:rsid w:val="00D44AD2"/>
    <w:rsid w:val="00D44F94"/>
    <w:rsid w:val="00D45C1F"/>
    <w:rsid w:val="00D45DA6"/>
    <w:rsid w:val="00D47D81"/>
    <w:rsid w:val="00D50CB4"/>
    <w:rsid w:val="00D50E17"/>
    <w:rsid w:val="00D55626"/>
    <w:rsid w:val="00D659BB"/>
    <w:rsid w:val="00D663DF"/>
    <w:rsid w:val="00D67091"/>
    <w:rsid w:val="00D7246A"/>
    <w:rsid w:val="00D728C5"/>
    <w:rsid w:val="00D7297E"/>
    <w:rsid w:val="00D76A77"/>
    <w:rsid w:val="00D77996"/>
    <w:rsid w:val="00D803DA"/>
    <w:rsid w:val="00D81147"/>
    <w:rsid w:val="00D8189D"/>
    <w:rsid w:val="00D81D0A"/>
    <w:rsid w:val="00D827CC"/>
    <w:rsid w:val="00D8433A"/>
    <w:rsid w:val="00D86E8D"/>
    <w:rsid w:val="00D87B94"/>
    <w:rsid w:val="00D91B09"/>
    <w:rsid w:val="00D92094"/>
    <w:rsid w:val="00D92130"/>
    <w:rsid w:val="00D927D6"/>
    <w:rsid w:val="00D94C2C"/>
    <w:rsid w:val="00D94D6A"/>
    <w:rsid w:val="00D95050"/>
    <w:rsid w:val="00D95C4A"/>
    <w:rsid w:val="00D974D9"/>
    <w:rsid w:val="00D97D25"/>
    <w:rsid w:val="00DA2B8F"/>
    <w:rsid w:val="00DA3474"/>
    <w:rsid w:val="00DA4F76"/>
    <w:rsid w:val="00DA6EAB"/>
    <w:rsid w:val="00DB0CDB"/>
    <w:rsid w:val="00DB2EAC"/>
    <w:rsid w:val="00DB42EA"/>
    <w:rsid w:val="00DC0E6A"/>
    <w:rsid w:val="00DC117A"/>
    <w:rsid w:val="00DC1D26"/>
    <w:rsid w:val="00DC1FFF"/>
    <w:rsid w:val="00DD2322"/>
    <w:rsid w:val="00DD745F"/>
    <w:rsid w:val="00DE0A7F"/>
    <w:rsid w:val="00DE41F5"/>
    <w:rsid w:val="00DE6B6C"/>
    <w:rsid w:val="00DF0596"/>
    <w:rsid w:val="00DF38DA"/>
    <w:rsid w:val="00DF49BB"/>
    <w:rsid w:val="00DF4F97"/>
    <w:rsid w:val="00E004A9"/>
    <w:rsid w:val="00E008A1"/>
    <w:rsid w:val="00E013DE"/>
    <w:rsid w:val="00E0157D"/>
    <w:rsid w:val="00E03811"/>
    <w:rsid w:val="00E03D4A"/>
    <w:rsid w:val="00E10F41"/>
    <w:rsid w:val="00E11B6F"/>
    <w:rsid w:val="00E13D64"/>
    <w:rsid w:val="00E14B42"/>
    <w:rsid w:val="00E15678"/>
    <w:rsid w:val="00E1658E"/>
    <w:rsid w:val="00E16E7B"/>
    <w:rsid w:val="00E22928"/>
    <w:rsid w:val="00E231E6"/>
    <w:rsid w:val="00E24240"/>
    <w:rsid w:val="00E2553A"/>
    <w:rsid w:val="00E27507"/>
    <w:rsid w:val="00E2791F"/>
    <w:rsid w:val="00E30207"/>
    <w:rsid w:val="00E35B95"/>
    <w:rsid w:val="00E369B5"/>
    <w:rsid w:val="00E36A3B"/>
    <w:rsid w:val="00E40589"/>
    <w:rsid w:val="00E4302E"/>
    <w:rsid w:val="00E433E4"/>
    <w:rsid w:val="00E43B18"/>
    <w:rsid w:val="00E4460A"/>
    <w:rsid w:val="00E449CF"/>
    <w:rsid w:val="00E44B7A"/>
    <w:rsid w:val="00E45A6C"/>
    <w:rsid w:val="00E473CF"/>
    <w:rsid w:val="00E50A04"/>
    <w:rsid w:val="00E54201"/>
    <w:rsid w:val="00E546DF"/>
    <w:rsid w:val="00E55478"/>
    <w:rsid w:val="00E5612B"/>
    <w:rsid w:val="00E57A81"/>
    <w:rsid w:val="00E63014"/>
    <w:rsid w:val="00E6434B"/>
    <w:rsid w:val="00E6527B"/>
    <w:rsid w:val="00E66B3B"/>
    <w:rsid w:val="00E73509"/>
    <w:rsid w:val="00E75B6F"/>
    <w:rsid w:val="00E75E26"/>
    <w:rsid w:val="00E7795D"/>
    <w:rsid w:val="00E77F20"/>
    <w:rsid w:val="00E8135A"/>
    <w:rsid w:val="00E81C2A"/>
    <w:rsid w:val="00E84459"/>
    <w:rsid w:val="00E90CFE"/>
    <w:rsid w:val="00E91ECF"/>
    <w:rsid w:val="00E929CA"/>
    <w:rsid w:val="00E92DAC"/>
    <w:rsid w:val="00E978F6"/>
    <w:rsid w:val="00EA2D16"/>
    <w:rsid w:val="00EA2F0A"/>
    <w:rsid w:val="00EA59B5"/>
    <w:rsid w:val="00EB376C"/>
    <w:rsid w:val="00EB3F00"/>
    <w:rsid w:val="00EB7C79"/>
    <w:rsid w:val="00EB7D4A"/>
    <w:rsid w:val="00EC0328"/>
    <w:rsid w:val="00EC2695"/>
    <w:rsid w:val="00EC699D"/>
    <w:rsid w:val="00EC71FF"/>
    <w:rsid w:val="00EC7CD5"/>
    <w:rsid w:val="00ED6CE1"/>
    <w:rsid w:val="00ED6F0C"/>
    <w:rsid w:val="00EE159E"/>
    <w:rsid w:val="00EE3B9A"/>
    <w:rsid w:val="00EE4A32"/>
    <w:rsid w:val="00EE7F31"/>
    <w:rsid w:val="00EF2DAA"/>
    <w:rsid w:val="00EF470E"/>
    <w:rsid w:val="00EF474E"/>
    <w:rsid w:val="00F0223B"/>
    <w:rsid w:val="00F04B02"/>
    <w:rsid w:val="00F05D89"/>
    <w:rsid w:val="00F06EA1"/>
    <w:rsid w:val="00F112C3"/>
    <w:rsid w:val="00F13079"/>
    <w:rsid w:val="00F14BD4"/>
    <w:rsid w:val="00F17BBD"/>
    <w:rsid w:val="00F229C6"/>
    <w:rsid w:val="00F23E53"/>
    <w:rsid w:val="00F24697"/>
    <w:rsid w:val="00F252A3"/>
    <w:rsid w:val="00F253C9"/>
    <w:rsid w:val="00F30372"/>
    <w:rsid w:val="00F31544"/>
    <w:rsid w:val="00F3633A"/>
    <w:rsid w:val="00F37410"/>
    <w:rsid w:val="00F37D3E"/>
    <w:rsid w:val="00F42D9B"/>
    <w:rsid w:val="00F43FAC"/>
    <w:rsid w:val="00F464FF"/>
    <w:rsid w:val="00F46F66"/>
    <w:rsid w:val="00F47844"/>
    <w:rsid w:val="00F503F4"/>
    <w:rsid w:val="00F51D98"/>
    <w:rsid w:val="00F5257D"/>
    <w:rsid w:val="00F5585F"/>
    <w:rsid w:val="00F56D9D"/>
    <w:rsid w:val="00F64C39"/>
    <w:rsid w:val="00F6590A"/>
    <w:rsid w:val="00F70B6E"/>
    <w:rsid w:val="00F73F2E"/>
    <w:rsid w:val="00F74334"/>
    <w:rsid w:val="00F767AE"/>
    <w:rsid w:val="00F76F2A"/>
    <w:rsid w:val="00F77AE5"/>
    <w:rsid w:val="00F83A97"/>
    <w:rsid w:val="00F843AD"/>
    <w:rsid w:val="00F8499E"/>
    <w:rsid w:val="00F86695"/>
    <w:rsid w:val="00F9265D"/>
    <w:rsid w:val="00F92EA9"/>
    <w:rsid w:val="00F93A66"/>
    <w:rsid w:val="00F93E0A"/>
    <w:rsid w:val="00FA32D4"/>
    <w:rsid w:val="00FA4456"/>
    <w:rsid w:val="00FB0475"/>
    <w:rsid w:val="00FB16EE"/>
    <w:rsid w:val="00FB2E80"/>
    <w:rsid w:val="00FB3357"/>
    <w:rsid w:val="00FB3BC1"/>
    <w:rsid w:val="00FB4226"/>
    <w:rsid w:val="00FB44BB"/>
    <w:rsid w:val="00FC0ED4"/>
    <w:rsid w:val="00FC213F"/>
    <w:rsid w:val="00FC65F8"/>
    <w:rsid w:val="00FD2A41"/>
    <w:rsid w:val="00FD3672"/>
    <w:rsid w:val="00FD4586"/>
    <w:rsid w:val="00FD5980"/>
    <w:rsid w:val="00FD59C8"/>
    <w:rsid w:val="00FD63BA"/>
    <w:rsid w:val="00FE012E"/>
    <w:rsid w:val="00FE0DCF"/>
    <w:rsid w:val="00FE390B"/>
    <w:rsid w:val="00FE5F43"/>
    <w:rsid w:val="00FE60D2"/>
    <w:rsid w:val="00FF15C5"/>
    <w:rsid w:val="00FF40F7"/>
    <w:rsid w:val="00FF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8ABA77"/>
  <w14:defaultImageDpi w14:val="300"/>
  <w15:docId w15:val="{3346D3EF-5E37-4062-A6AC-A472DFE9B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01BE"/>
    <w:pPr>
      <w:keepNext/>
      <w:keepLines/>
      <w:spacing w:before="480"/>
      <w:ind w:firstLine="720"/>
      <w:outlineLvl w:val="0"/>
    </w:pPr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3B3BB6"/>
    <w:pPr>
      <w:keepNext/>
      <w:keepLines/>
      <w:spacing w:before="200"/>
      <w:ind w:firstLine="720"/>
      <w:outlineLvl w:val="1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606CE"/>
    <w:pPr>
      <w:keepNext/>
      <w:keepLines/>
      <w:spacing w:before="200"/>
      <w:ind w:firstLine="709"/>
      <w:outlineLvl w:val="2"/>
    </w:pPr>
    <w:rPr>
      <w:rFonts w:ascii="Times New Roman" w:eastAsiaTheme="majorEastAsia" w:hAnsi="Times New Roman" w:cstheme="majorBidi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109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090"/>
    <w:rPr>
      <w:rFonts w:ascii="Lucida Grande" w:hAnsi="Lucida Grande"/>
      <w:sz w:val="18"/>
      <w:szCs w:val="18"/>
      <w:lang w:val="hr-HR"/>
    </w:rPr>
  </w:style>
  <w:style w:type="paragraph" w:styleId="Header">
    <w:name w:val="header"/>
    <w:basedOn w:val="Normal"/>
    <w:link w:val="HeaderChar"/>
    <w:uiPriority w:val="99"/>
    <w:unhideWhenUsed/>
    <w:rsid w:val="005411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1109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5411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1109"/>
    <w:rPr>
      <w:lang w:val="hr-HR"/>
    </w:rPr>
  </w:style>
  <w:style w:type="paragraph" w:styleId="Title">
    <w:name w:val="Title"/>
    <w:basedOn w:val="Normal"/>
    <w:next w:val="Normal"/>
    <w:link w:val="TitleChar"/>
    <w:uiPriority w:val="10"/>
    <w:qFormat/>
    <w:rsid w:val="00471F7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customStyle="1" w:styleId="TitleChar">
    <w:name w:val="Title Char"/>
    <w:basedOn w:val="DefaultParagraphFont"/>
    <w:link w:val="Title"/>
    <w:uiPriority w:val="10"/>
    <w:rsid w:val="00471F75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character" w:customStyle="1" w:styleId="one-filetitle">
    <w:name w:val="one-file__title"/>
    <w:basedOn w:val="DefaultParagraphFont"/>
    <w:rsid w:val="00FA32D4"/>
  </w:style>
  <w:style w:type="character" w:styleId="PageNumber">
    <w:name w:val="page number"/>
    <w:basedOn w:val="DefaultParagraphFont"/>
    <w:uiPriority w:val="99"/>
    <w:semiHidden/>
    <w:unhideWhenUsed/>
    <w:rsid w:val="00F93A66"/>
  </w:style>
  <w:style w:type="paragraph" w:styleId="ListParagraph">
    <w:name w:val="List Paragraph"/>
    <w:basedOn w:val="Normal"/>
    <w:uiPriority w:val="34"/>
    <w:qFormat/>
    <w:rsid w:val="0050064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7D37BB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D37BB"/>
    <w:rPr>
      <w:sz w:val="24"/>
      <w:szCs w:val="24"/>
      <w:lang w:val="hr-HR"/>
    </w:rPr>
  </w:style>
  <w:style w:type="character" w:styleId="FootnoteReference">
    <w:name w:val="footnote reference"/>
    <w:basedOn w:val="DefaultParagraphFont"/>
    <w:uiPriority w:val="99"/>
    <w:unhideWhenUsed/>
    <w:rsid w:val="007D37B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2608DD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paragraph" w:customStyle="1" w:styleId="Default">
    <w:name w:val="Default"/>
    <w:rsid w:val="00235784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AF2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301BE"/>
    <w:rPr>
      <w:rFonts w:ascii="Times New Roman" w:eastAsiaTheme="majorEastAsia" w:hAnsi="Times New Roman" w:cs="Times New Roman"/>
      <w:b/>
      <w:bCs/>
      <w:sz w:val="28"/>
      <w:szCs w:val="28"/>
      <w:lang w:val="hr-HR"/>
    </w:rPr>
  </w:style>
  <w:style w:type="character" w:customStyle="1" w:styleId="Heading2Char">
    <w:name w:val="Heading 2 Char"/>
    <w:basedOn w:val="DefaultParagraphFont"/>
    <w:link w:val="Heading2"/>
    <w:uiPriority w:val="9"/>
    <w:rsid w:val="003B3BB6"/>
    <w:rPr>
      <w:rFonts w:ascii="Times New Roman" w:eastAsiaTheme="majorEastAsia" w:hAnsi="Times New Roman" w:cstheme="majorBidi"/>
      <w:b/>
      <w:bCs/>
      <w:sz w:val="28"/>
      <w:szCs w:val="28"/>
      <w:lang w:val="hr-HR"/>
    </w:rPr>
  </w:style>
  <w:style w:type="paragraph" w:styleId="TOCHeading">
    <w:name w:val="TOC Heading"/>
    <w:basedOn w:val="Heading1"/>
    <w:next w:val="Normal"/>
    <w:uiPriority w:val="39"/>
    <w:unhideWhenUsed/>
    <w:qFormat/>
    <w:rsid w:val="00DB0CDB"/>
    <w:pPr>
      <w:spacing w:line="276" w:lineRule="auto"/>
      <w:outlineLvl w:val="9"/>
    </w:pPr>
    <w:rPr>
      <w:color w:val="365F91" w:themeColor="accent1" w:themeShade="BF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B0CDB"/>
    <w:pPr>
      <w:spacing w:before="120"/>
    </w:pPr>
    <w:rPr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DB0CDB"/>
    <w:pPr>
      <w:ind w:left="220"/>
    </w:pPr>
    <w:rPr>
      <w:b/>
    </w:rPr>
  </w:style>
  <w:style w:type="paragraph" w:styleId="TOC3">
    <w:name w:val="toc 3"/>
    <w:basedOn w:val="Normal"/>
    <w:next w:val="Normal"/>
    <w:autoRedefine/>
    <w:uiPriority w:val="39"/>
    <w:unhideWhenUsed/>
    <w:rsid w:val="00DB0CDB"/>
    <w:pPr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B0CDB"/>
    <w:pPr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DB0CDB"/>
    <w:pPr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DB0CDB"/>
    <w:pPr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DB0CDB"/>
    <w:pPr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DB0CDB"/>
    <w:pPr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DB0CDB"/>
    <w:pPr>
      <w:ind w:left="1760"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50B13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42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4251A"/>
    <w:rPr>
      <w:rFonts w:ascii="Courier" w:hAnsi="Courier" w:cs="Courier"/>
      <w:sz w:val="20"/>
      <w:szCs w:val="20"/>
      <w:lang w:val="en-US"/>
    </w:rPr>
  </w:style>
  <w:style w:type="character" w:customStyle="1" w:styleId="y2iqfc">
    <w:name w:val="y2iqfc"/>
    <w:basedOn w:val="DefaultParagraphFont"/>
    <w:rsid w:val="0084251A"/>
  </w:style>
  <w:style w:type="character" w:styleId="CommentReference">
    <w:name w:val="annotation reference"/>
    <w:basedOn w:val="DefaultParagraphFont"/>
    <w:uiPriority w:val="99"/>
    <w:semiHidden/>
    <w:unhideWhenUsed/>
    <w:rsid w:val="00E16E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6E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6E7B"/>
    <w:rPr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6E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6E7B"/>
    <w:rPr>
      <w:b/>
      <w:bCs/>
      <w:sz w:val="20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rsid w:val="00C606CE"/>
    <w:rPr>
      <w:rFonts w:ascii="Times New Roman" w:eastAsiaTheme="majorEastAsia" w:hAnsi="Times New Roman" w:cstheme="majorBidi"/>
      <w:b/>
      <w:bCs/>
      <w:sz w:val="24"/>
      <w:lang w:val="hr-HR"/>
    </w:rPr>
  </w:style>
  <w:style w:type="paragraph" w:customStyle="1" w:styleId="PASUS">
    <w:name w:val="PASUS"/>
    <w:basedOn w:val="Normal"/>
    <w:link w:val="PASUSChar"/>
    <w:qFormat/>
    <w:rsid w:val="00D4116F"/>
    <w:pPr>
      <w:spacing w:before="120" w:after="120"/>
      <w:ind w:firstLine="720"/>
      <w:jc w:val="both"/>
    </w:pPr>
    <w:rPr>
      <w:rFonts w:ascii="Times New Roman" w:eastAsiaTheme="minorHAnsi" w:hAnsi="Times New Roman" w:cs="Times New Roman"/>
      <w:noProof/>
      <w:sz w:val="24"/>
      <w:szCs w:val="24"/>
      <w:lang w:val="sr-Cyrl-RS"/>
    </w:rPr>
  </w:style>
  <w:style w:type="character" w:customStyle="1" w:styleId="PASUSChar">
    <w:name w:val="PASUS Char"/>
    <w:basedOn w:val="DefaultParagraphFont"/>
    <w:link w:val="PASUS"/>
    <w:rsid w:val="00D4116F"/>
    <w:rPr>
      <w:rFonts w:ascii="Times New Roman" w:eastAsiaTheme="minorHAnsi" w:hAnsi="Times New Roman" w:cs="Times New Roman"/>
      <w:noProof/>
      <w:sz w:val="24"/>
      <w:szCs w:val="24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0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2.bin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3.bin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4.bin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5.bin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/>
            </a:pPr>
            <a:r>
              <a:rPr lang="sr-Cyrl-CS" sz="1200" b="1" i="0" baseline="0">
                <a:effectLst/>
              </a:rPr>
              <a:t>Укупна оцена учинка Стратешког плана 2021</a:t>
            </a:r>
            <a:r>
              <a:rPr lang="sr-Latn-RS" sz="1200" b="1" i="0" baseline="0">
                <a:effectLst/>
              </a:rPr>
              <a:t>-</a:t>
            </a:r>
            <a:r>
              <a:rPr lang="sr-Cyrl-CS" sz="1200" b="1" i="0" baseline="0">
                <a:effectLst/>
              </a:rPr>
              <a:t>2023 и Стратегије 2017</a:t>
            </a:r>
            <a:r>
              <a:rPr lang="sr-Latn-RS" sz="1200" b="1" i="0" baseline="0">
                <a:effectLst/>
              </a:rPr>
              <a:t>-</a:t>
            </a:r>
            <a:r>
              <a:rPr lang="sr-Cyrl-CS" sz="1200" b="1" i="0" baseline="0">
                <a:effectLst/>
              </a:rPr>
              <a:t>2020 </a:t>
            </a:r>
            <a:endParaRPr lang="en-US" sz="1200">
              <a:effectLst/>
            </a:endParaRPr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Стратегија 2017-2020</c:v>
          </c:tx>
          <c:invertIfNegative val="0"/>
          <c:cat>
            <c:strRef>
              <c:f>'Упитник за АФКОС Стратешки план'!$I$78:$I$82</c:f>
              <c:strCache>
                <c:ptCount val="5"/>
                <c:pt idx="0">
                  <c:v>Укупно</c:v>
                </c:pt>
                <c:pt idx="1">
                  <c:v>Одрживост</c:v>
                </c:pt>
                <c:pt idx="2">
                  <c:v>Ефикасност</c:v>
                </c:pt>
                <c:pt idx="3">
                  <c:v>Ефективност</c:v>
                </c:pt>
                <c:pt idx="4">
                  <c:v>Релевантност</c:v>
                </c:pt>
              </c:strCache>
            </c:strRef>
          </c:cat>
          <c:val>
            <c:numRef>
              <c:f>'Упитник за АФКОС Стратешки план'!$J$78:$J$82</c:f>
              <c:numCache>
                <c:formatCode>0.00</c:formatCode>
                <c:ptCount val="5"/>
                <c:pt idx="0" formatCode="#,##0.00">
                  <c:v>4.2267187499999999</c:v>
                </c:pt>
                <c:pt idx="1">
                  <c:v>4.46</c:v>
                </c:pt>
                <c:pt idx="2">
                  <c:v>4.4074999999999998</c:v>
                </c:pt>
                <c:pt idx="3" formatCode="General">
                  <c:v>3.6</c:v>
                </c:pt>
                <c:pt idx="4" formatCode="#,##0.00">
                  <c:v>4.4393750000000001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3B7-42B3-910C-FD8CC2BE36F0}"/>
            </c:ext>
          </c:extLst>
        </c:ser>
        <c:ser>
          <c:idx val="1"/>
          <c:order val="1"/>
          <c:tx>
            <c:v>Стратешки план 2021-2023</c:v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'Упитник за АФКОС Стратешки план'!$I$78:$I$82</c:f>
              <c:strCache>
                <c:ptCount val="5"/>
                <c:pt idx="0">
                  <c:v>Укупно</c:v>
                </c:pt>
                <c:pt idx="1">
                  <c:v>Одрживост</c:v>
                </c:pt>
                <c:pt idx="2">
                  <c:v>Ефикасност</c:v>
                </c:pt>
                <c:pt idx="3">
                  <c:v>Ефективност</c:v>
                </c:pt>
                <c:pt idx="4">
                  <c:v>Релевантност</c:v>
                </c:pt>
              </c:strCache>
            </c:strRef>
          </c:cat>
          <c:val>
            <c:numRef>
              <c:f>'Упитник за АФКОС Стратешки план'!$K$78:$K$82</c:f>
              <c:numCache>
                <c:formatCode>0.00</c:formatCode>
                <c:ptCount val="5"/>
                <c:pt idx="0" formatCode="#,##0.00">
                  <c:v>4.4138833614827933</c:v>
                </c:pt>
                <c:pt idx="1">
                  <c:v>4.5925925925925926</c:v>
                </c:pt>
                <c:pt idx="2">
                  <c:v>4.3923809523809521</c:v>
                </c:pt>
                <c:pt idx="3">
                  <c:v>4.010084612357339</c:v>
                </c:pt>
                <c:pt idx="4" formatCode="#,##0.00">
                  <c:v>4.6604752886002885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3B7-42B3-910C-FD8CC2BE36F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81066744"/>
        <c:axId val="2081069720"/>
      </c:barChart>
      <c:catAx>
        <c:axId val="2081066744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2081069720"/>
        <c:crosses val="autoZero"/>
        <c:auto val="1"/>
        <c:lblAlgn val="ctr"/>
        <c:lblOffset val="100"/>
        <c:noMultiLvlLbl val="0"/>
      </c:catAx>
      <c:valAx>
        <c:axId val="2081069720"/>
        <c:scaling>
          <c:orientation val="minMax"/>
        </c:scaling>
        <c:delete val="0"/>
        <c:axPos val="b"/>
        <c:majorGridlines/>
        <c:numFmt formatCode="#,##0.00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en-US"/>
          </a:p>
        </c:txPr>
        <c:crossAx val="2081066744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/>
            </a:pPr>
            <a:r>
              <a:rPr lang="sr-Cyrl-CS" sz="1200"/>
              <a:t>Ефективност</a:t>
            </a:r>
            <a:endParaRPr lang="en-US" sz="1200"/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Стратегија 2017-2020</c:v>
          </c:tx>
          <c:invertIfNegative val="0"/>
          <c:cat>
            <c:strRef>
              <c:f>'Упитник за АФКОС Стратешки план'!$B$20:$B$24</c:f>
              <c:strCache>
                <c:ptCount val="5"/>
                <c:pt idx="0">
                  <c:v>21. Стратешки план 2021 ̶ 2023 допринео је повећању капацитета институција Републике Србије како би се  заштитили финансијски интереси ЕУ и  Републике Србије.</c:v>
                </c:pt>
                <c:pt idx="1">
                  <c:v>20. Постигнути ефекти су у директној корелацији са циљевима Стратешког плана 2021 ̶ 2023.</c:v>
                </c:pt>
                <c:pt idx="2">
                  <c:v>19. Стратешки план 2021 ̶ 2023 утицао је на резултате, исходе и ефекте.</c:v>
                </c:pt>
                <c:pt idx="3">
                  <c:v>18. Стратешки план 2021 ̶ 2023 спроведен је у складу са дефинисаним циљевима и индикаторима за праћење њиховог испуњења.</c:v>
                </c:pt>
                <c:pt idx="4">
                  <c:v>17. Мере и активности утврђене Стратешким планом 2021 ̶ 2023 су релевантне и адекватне за остваривање циљева/резултата.</c:v>
                </c:pt>
              </c:strCache>
            </c:strRef>
          </c:cat>
          <c:val>
            <c:numRef>
              <c:f>'Упитник за АФКОС Стратешки план'!$C$20:$C$24</c:f>
              <c:numCache>
                <c:formatCode>0.00</c:formatCode>
                <c:ptCount val="5"/>
                <c:pt idx="0">
                  <c:v>3.83</c:v>
                </c:pt>
                <c:pt idx="1">
                  <c:v>4.4000000000000004</c:v>
                </c:pt>
                <c:pt idx="2">
                  <c:v>4.2</c:v>
                </c:pt>
                <c:pt idx="3">
                  <c:v>4.5999999999999996</c:v>
                </c:pt>
                <c:pt idx="4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8D3-4FC4-8247-EF96BF3319BE}"/>
            </c:ext>
          </c:extLst>
        </c:ser>
        <c:ser>
          <c:idx val="1"/>
          <c:order val="1"/>
          <c:tx>
            <c:v>Стратешки план 2021-2023</c:v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'Упитник за АФКОС Стратешки план'!$B$20:$B$24</c:f>
              <c:strCache>
                <c:ptCount val="5"/>
                <c:pt idx="0">
                  <c:v>21. Стратешки план 2021 ̶ 2023 допринео је повећању капацитета институција Републике Србије како би се  заштитили финансијски интереси ЕУ и  Републике Србије.</c:v>
                </c:pt>
                <c:pt idx="1">
                  <c:v>20. Постигнути ефекти су у директној корелацији са циљевима Стратешког плана 2021 ̶ 2023.</c:v>
                </c:pt>
                <c:pt idx="2">
                  <c:v>19. Стратешки план 2021 ̶ 2023 утицао је на резултате, исходе и ефекте.</c:v>
                </c:pt>
                <c:pt idx="3">
                  <c:v>18. Стратешки план 2021 ̶ 2023 спроведен је у складу са дефинисаним циљевима и индикаторима за праћење њиховог испуњења.</c:v>
                </c:pt>
                <c:pt idx="4">
                  <c:v>17. Мере и активности утврђене Стратешким планом 2021 ̶ 2023 су релевантне и адекватне за остваривање циљева/резултата.</c:v>
                </c:pt>
              </c:strCache>
            </c:strRef>
          </c:cat>
          <c:val>
            <c:numRef>
              <c:f>'Упитник за АФКОС Стратешки план'!$D$20:$D$24</c:f>
              <c:numCache>
                <c:formatCode>0.00</c:formatCode>
                <c:ptCount val="5"/>
                <c:pt idx="0">
                  <c:v>4.3</c:v>
                </c:pt>
                <c:pt idx="1">
                  <c:v>4.5</c:v>
                </c:pt>
                <c:pt idx="2">
                  <c:v>4.1111111111111107</c:v>
                </c:pt>
                <c:pt idx="3">
                  <c:v>4.4000000000000004</c:v>
                </c:pt>
                <c:pt idx="4">
                  <c:v>4.3636363636363633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8D3-4FC4-8247-EF96BF3319B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23"/>
        <c:axId val="2079825752"/>
        <c:axId val="2079828728"/>
      </c:barChart>
      <c:catAx>
        <c:axId val="2079825752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2079828728"/>
        <c:crosses val="autoZero"/>
        <c:auto val="1"/>
        <c:lblAlgn val="ctr"/>
        <c:lblOffset val="100"/>
        <c:noMultiLvlLbl val="0"/>
      </c:catAx>
      <c:valAx>
        <c:axId val="2079828728"/>
        <c:scaling>
          <c:orientation val="minMax"/>
        </c:scaling>
        <c:delete val="0"/>
        <c:axPos val="b"/>
        <c:majorGridlines/>
        <c:numFmt formatCode="0.00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en-US"/>
          </a:p>
        </c:txPr>
        <c:crossAx val="2079825752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300"/>
            </a:pPr>
            <a:r>
              <a:rPr lang="sr-Cyrl-CS" sz="1200"/>
              <a:t>Ефективност</a:t>
            </a:r>
            <a:r>
              <a:rPr lang="sr-Cyrl-CS" sz="1300"/>
              <a:t> циљева Стратешког плана 2021</a:t>
            </a:r>
            <a:r>
              <a:rPr lang="hr-HR" sz="1300" b="1" i="0" u="none" strike="noStrike" baseline="0">
                <a:effectLst/>
              </a:rPr>
              <a:t>−</a:t>
            </a:r>
            <a:r>
              <a:rPr lang="sr-Cyrl-CS" sz="1300"/>
              <a:t>2023  </a:t>
            </a:r>
            <a:endParaRPr lang="en-US" sz="1300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50174110779255998"/>
          <c:y val="0.125187854945398"/>
          <c:w val="0.36367847769028899"/>
          <c:h val="0.83607144784738896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cat>
            <c:strRef>
              <c:f>'Упитник за АФКОС Стратешки план'!$B$25:$B$30</c:f>
              <c:strCache>
                <c:ptCount val="6"/>
                <c:pt idx="0">
                  <c:v>27. Оцена испуњености посебног циља 5 - подизање нивоа свести јавности о потреби и важности контроле коришћења ЕУ средстава и сузбијања неправилности и превара.</c:v>
                </c:pt>
                <c:pt idx="1">
                  <c:v>26. Оцена испуњености посебног циља 4 - унапређење механизма за повраћај средстава.</c:v>
                </c:pt>
                <c:pt idx="2">
                  <c:v>25. Оцена испуњености посебног циља 3 - унапређење спровођења истражних радњи.</c:v>
                </c:pt>
                <c:pt idx="3">
                  <c:v>24. Оцена испуњености посебног циља 2 - унапређење процеса раног откривања превара.</c:v>
                </c:pt>
                <c:pt idx="4">
                  <c:v>23. Оцена испуњености  посебног циља 1 - јачање превентивног деловања на заштити финансијских интереса ЕУ.</c:v>
                </c:pt>
                <c:pt idx="5">
                  <c:v>22. Испуњеност Општег циља Стратешког плана 2021 ̶ 2023  -  унапређење заштите финансијских интереса ЕУ у Републици Србији применом начела „нулте толеранције” које подразумева неселективну примену закона од стране релевантних институција.</c:v>
                </c:pt>
              </c:strCache>
            </c:strRef>
          </c:cat>
          <c:val>
            <c:numRef>
              <c:f>'Упитник за АФКОС Стратешки план'!$C$25:$C$30</c:f>
              <c:numCache>
                <c:formatCode>General</c:formatCode>
                <c:ptCount val="6"/>
              </c:numCache>
            </c:numRef>
          </c:val>
          <c:extLst>
            <c:ext xmlns:c16="http://schemas.microsoft.com/office/drawing/2014/chart" uri="{C3380CC4-5D6E-409C-BE32-E72D297353CC}">
              <c16:uniqueId val="{00000000-DA48-4141-83FD-BBFEAAD052EB}"/>
            </c:ext>
          </c:extLst>
        </c:ser>
        <c:ser>
          <c:idx val="1"/>
          <c:order val="1"/>
          <c:tx>
            <c:v>Стратешки план 2021-2023</c:v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'Упитник за АФКОС Стратешки план'!$B$25:$B$30</c:f>
              <c:strCache>
                <c:ptCount val="6"/>
                <c:pt idx="0">
                  <c:v>27. Оцена испуњености посебног циља 5 - подизање нивоа свести јавности о потреби и важности контроле коришћења ЕУ средстава и сузбијања неправилности и превара.</c:v>
                </c:pt>
                <c:pt idx="1">
                  <c:v>26. Оцена испуњености посебног циља 4 - унапређење механизма за повраћај средстава.</c:v>
                </c:pt>
                <c:pt idx="2">
                  <c:v>25. Оцена испуњености посебног циља 3 - унапређење спровођења истражних радњи.</c:v>
                </c:pt>
                <c:pt idx="3">
                  <c:v>24. Оцена испуњености посебног циља 2 - унапређење процеса раног откривања превара.</c:v>
                </c:pt>
                <c:pt idx="4">
                  <c:v>23. Оцена испуњености  посебног циља 1 - јачање превентивног деловања на заштити финансијских интереса ЕУ.</c:v>
                </c:pt>
                <c:pt idx="5">
                  <c:v>22. Испуњеност Општег циља Стратешког плана 2021 ̶ 2023  -  унапређење заштите финансијских интереса ЕУ у Републици Србији применом начела „нулте толеранције” које подразумева неселективну примену закона од стране релевантних институција.</c:v>
                </c:pt>
              </c:strCache>
            </c:strRef>
          </c:cat>
          <c:val>
            <c:numRef>
              <c:f>'Упитник за АФКОС Стратешки план'!$D$25:$D$30</c:f>
              <c:numCache>
                <c:formatCode>0.00</c:formatCode>
                <c:ptCount val="6"/>
                <c:pt idx="0">
                  <c:v>3.375</c:v>
                </c:pt>
                <c:pt idx="1">
                  <c:v>3.5714285714285716</c:v>
                </c:pt>
                <c:pt idx="2">
                  <c:v>3.2857142857142856</c:v>
                </c:pt>
                <c:pt idx="3">
                  <c:v>3.8</c:v>
                </c:pt>
                <c:pt idx="4">
                  <c:v>4.2222222222222223</c:v>
                </c:pt>
                <c:pt idx="5">
                  <c:v>4.1818181818181817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A48-4141-83FD-BBFEAAD052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7"/>
        <c:axId val="2080946600"/>
        <c:axId val="2080949368"/>
      </c:barChart>
      <c:catAx>
        <c:axId val="208094660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2080949368"/>
        <c:crosses val="autoZero"/>
        <c:auto val="1"/>
        <c:lblAlgn val="ctr"/>
        <c:lblOffset val="100"/>
        <c:noMultiLvlLbl val="0"/>
      </c:catAx>
      <c:valAx>
        <c:axId val="208094936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en-US"/>
          </a:p>
        </c:txPr>
        <c:crossAx val="2080946600"/>
        <c:crosses val="autoZero"/>
        <c:crossBetween val="between"/>
      </c:valAx>
    </c:plotArea>
    <c:legend>
      <c:legendPos val="t"/>
      <c:legendEntry>
        <c:idx val="1"/>
        <c:delete val="1"/>
      </c:legendEntry>
      <c:overlay val="0"/>
    </c:legend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/>
            </a:pPr>
            <a:r>
              <a:rPr lang="sr-Cyrl-CS" sz="1200"/>
              <a:t>Ефикасност</a:t>
            </a:r>
            <a:endParaRPr lang="en-US" sz="1200"/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Стратегија 2017-2020</c:v>
          </c:tx>
          <c:invertIfNegative val="0"/>
          <c:cat>
            <c:strRef>
              <c:f>'Упитник за АФКОС Стратешки план'!$B$32:$B$36</c:f>
              <c:strCache>
                <c:ptCount val="5"/>
                <c:pt idx="0">
                  <c:v>32. Резултати Стратешког плана 2021 ̶ 2023 остварени су у превиђеним роковима.</c:v>
                </c:pt>
                <c:pt idx="1">
                  <c:v>31. Изабране активности релевантне су и најадекватније за постизање резултата.</c:v>
                </c:pt>
                <c:pt idx="2">
                  <c:v>30. Ресурси за спровођење активности из Стратешког плана 2021 ̶ 2023 били су адекватно утрошени.</c:v>
                </c:pt>
                <c:pt idx="3">
                  <c:v>29. Ресурси за спровођење активности из Стратешког плана 2021 ̶ 2023 били су добро алоцирани.</c:v>
                </c:pt>
                <c:pt idx="4">
                  <c:v>28. Обезбеђена је финансиjска одрживост Стратешког плана 2021 ̶ 2023.</c:v>
                </c:pt>
              </c:strCache>
            </c:strRef>
          </c:cat>
          <c:val>
            <c:numRef>
              <c:f>'Упитник за АФКОС Стратешки план'!$C$32:$C$36</c:f>
              <c:numCache>
                <c:formatCode>0.00</c:formatCode>
                <c:ptCount val="5"/>
                <c:pt idx="0">
                  <c:v>4.25</c:v>
                </c:pt>
                <c:pt idx="1">
                  <c:v>4.25</c:v>
                </c:pt>
                <c:pt idx="2">
                  <c:v>4.4000000000000004</c:v>
                </c:pt>
                <c:pt idx="3">
                  <c:v>4.5999999999999996</c:v>
                </c:pt>
                <c:pt idx="4">
                  <c:v>4.38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EAB-400F-9E44-DFDEA3981478}"/>
            </c:ext>
          </c:extLst>
        </c:ser>
        <c:ser>
          <c:idx val="1"/>
          <c:order val="1"/>
          <c:tx>
            <c:v>Стратешки план 2021-2023</c:v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'Упитник за АФКОС Стратешки план'!$B$32:$B$36</c:f>
              <c:strCache>
                <c:ptCount val="5"/>
                <c:pt idx="0">
                  <c:v>32. Резултати Стратешког плана 2021 ̶ 2023 остварени су у превиђеним роковима.</c:v>
                </c:pt>
                <c:pt idx="1">
                  <c:v>31. Изабране активности релевантне су и најадекватније за постизање резултата.</c:v>
                </c:pt>
                <c:pt idx="2">
                  <c:v>30. Ресурси за спровођење активности из Стратешког плана 2021 ̶ 2023 били су адекватно утрошени.</c:v>
                </c:pt>
                <c:pt idx="3">
                  <c:v>29. Ресурси за спровођење активности из Стратешког плана 2021 ̶ 2023 били су добро алоцирани.</c:v>
                </c:pt>
                <c:pt idx="4">
                  <c:v>28. Обезбеђена је финансиjска одрживост Стратешког плана 2021 ̶ 2023.</c:v>
                </c:pt>
              </c:strCache>
            </c:strRef>
          </c:cat>
          <c:val>
            <c:numRef>
              <c:f>'Упитник за АФКОС Стратешки план'!$D$32:$D$36</c:f>
              <c:numCache>
                <c:formatCode>0.00</c:formatCode>
                <c:ptCount val="5"/>
                <c:pt idx="0">
                  <c:v>4.333333333333333</c:v>
                </c:pt>
                <c:pt idx="1">
                  <c:v>4</c:v>
                </c:pt>
                <c:pt idx="2">
                  <c:v>5</c:v>
                </c:pt>
                <c:pt idx="3">
                  <c:v>4.2</c:v>
                </c:pt>
                <c:pt idx="4">
                  <c:v>4.4285714285714288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EAB-400F-9E44-DFDEA398147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80994936"/>
        <c:axId val="2080997912"/>
      </c:barChart>
      <c:catAx>
        <c:axId val="2080994936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2080997912"/>
        <c:crosses val="autoZero"/>
        <c:auto val="1"/>
        <c:lblAlgn val="ctr"/>
        <c:lblOffset val="100"/>
        <c:noMultiLvlLbl val="0"/>
      </c:catAx>
      <c:valAx>
        <c:axId val="2080997912"/>
        <c:scaling>
          <c:orientation val="minMax"/>
          <c:max val="5"/>
        </c:scaling>
        <c:delete val="0"/>
        <c:axPos val="b"/>
        <c:majorGridlines/>
        <c:numFmt formatCode="0.00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en-US"/>
          </a:p>
        </c:txPr>
        <c:crossAx val="2080994936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/>
            </a:pPr>
            <a:r>
              <a:rPr lang="sr-Cyrl-CS" sz="1200"/>
              <a:t>Одрживост</a:t>
            </a:r>
            <a:endParaRPr lang="en-US" sz="1200"/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v>Стратегија 2017-2020</c:v>
          </c:tx>
          <c:invertIfNegative val="0"/>
          <c:cat>
            <c:strRef>
              <c:f>'Упитник за АФКОС Стратешки план'!$B$38:$B$40</c:f>
              <c:strCache>
                <c:ptCount val="3"/>
                <c:pt idx="0">
                  <c:v>35. АФКОС је обезбедио функсионисање координационе улоге на управљачком и административном нивоу, као и праћење имплементације.</c:v>
                </c:pt>
                <c:pt idx="1">
                  <c:v>34. Успостављен је институционални капацитет за трајну одрживост позитивних ефеката Стратешког плана 2021 ̶ 2023.</c:v>
                </c:pt>
                <c:pt idx="2">
                  <c:v>33. Успостављени су механизми у циљу дуготрајне одрживости и користи од Стратешког плана 2021 ̶ 2023.</c:v>
                </c:pt>
              </c:strCache>
            </c:strRef>
          </c:cat>
          <c:val>
            <c:numRef>
              <c:f>'Упитник за АФКОС Стратешки план'!$C$38:$C$40</c:f>
              <c:numCache>
                <c:formatCode>0.00</c:formatCode>
                <c:ptCount val="3"/>
                <c:pt idx="0">
                  <c:v>4.4000000000000004</c:v>
                </c:pt>
                <c:pt idx="1">
                  <c:v>4.5999999999999996</c:v>
                </c:pt>
                <c:pt idx="2">
                  <c:v>4.38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28F-4CE7-9B57-9B8A25DE0E71}"/>
            </c:ext>
          </c:extLst>
        </c:ser>
        <c:ser>
          <c:idx val="1"/>
          <c:order val="1"/>
          <c:tx>
            <c:v>Стратешки план 2021-2023</c:v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'Упитник за АФКОС Стратешки план'!$B$38:$B$40</c:f>
              <c:strCache>
                <c:ptCount val="3"/>
                <c:pt idx="0">
                  <c:v>35. АФКОС је обезбедио функсионисање координационе улоге на управљачком и административном нивоу, као и праћење имплементације.</c:v>
                </c:pt>
                <c:pt idx="1">
                  <c:v>34. Успостављен је институционални капацитет за трајну одрживост позитивних ефеката Стратешког плана 2021 ̶ 2023.</c:v>
                </c:pt>
                <c:pt idx="2">
                  <c:v>33. Успостављени су механизми у циљу дуготрајне одрживости и користи од Стратешког плана 2021 ̶ 2023.</c:v>
                </c:pt>
              </c:strCache>
            </c:strRef>
          </c:cat>
          <c:val>
            <c:numRef>
              <c:f>'Упитник за АФКОС Стратешки план'!$D$38:$D$40</c:f>
              <c:numCache>
                <c:formatCode>0.00</c:formatCode>
                <c:ptCount val="3"/>
                <c:pt idx="0">
                  <c:v>4.7777777777777777</c:v>
                </c:pt>
                <c:pt idx="1">
                  <c:v>4.5</c:v>
                </c:pt>
                <c:pt idx="2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28F-4CE7-9B57-9B8A25DE0E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081031032"/>
        <c:axId val="2081034008"/>
      </c:barChart>
      <c:catAx>
        <c:axId val="2081031032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2081034008"/>
        <c:crosses val="autoZero"/>
        <c:auto val="1"/>
        <c:lblAlgn val="ctr"/>
        <c:lblOffset val="100"/>
        <c:noMultiLvlLbl val="0"/>
      </c:catAx>
      <c:valAx>
        <c:axId val="2081034008"/>
        <c:scaling>
          <c:orientation val="minMax"/>
          <c:max val="5"/>
          <c:min val="0"/>
        </c:scaling>
        <c:delete val="0"/>
        <c:axPos val="b"/>
        <c:majorGridlines/>
        <c:numFmt formatCode="0.00" sourceLinked="1"/>
        <c:majorTickMark val="out"/>
        <c:minorTickMark val="none"/>
        <c:tickLblPos val="nextTo"/>
        <c:txPr>
          <a:bodyPr/>
          <a:lstStyle/>
          <a:p>
            <a:pPr>
              <a:defRPr sz="900"/>
            </a:pPr>
            <a:endParaRPr lang="en-US"/>
          </a:p>
        </c:txPr>
        <c:crossAx val="2081031032"/>
        <c:crosses val="autoZero"/>
        <c:crossBetween val="between"/>
        <c:majorUnit val="1"/>
      </c:valAx>
    </c:plotArea>
    <c:legend>
      <c:legendPos val="t"/>
      <c:overlay val="0"/>
    </c:legend>
    <c:plotVisOnly val="1"/>
    <c:dispBlanksAs val="gap"/>
    <c:showDLblsOverMax val="0"/>
  </c:chart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C2E806-EE95-47A7-AF07-B905E57FB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27</Pages>
  <Words>6608</Words>
  <Characters>37672</Characters>
  <Application>Microsoft Office Word</Application>
  <DocSecurity>0</DocSecurity>
  <Lines>313</Lines>
  <Paragraphs>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Maricevic</dc:creator>
  <cp:keywords/>
  <dc:description/>
  <cp:lastModifiedBy>Andjelka Opacic</cp:lastModifiedBy>
  <cp:revision>50</cp:revision>
  <cp:lastPrinted>2024-05-21T08:39:00Z</cp:lastPrinted>
  <dcterms:created xsi:type="dcterms:W3CDTF">2024-05-29T09:04:00Z</dcterms:created>
  <dcterms:modified xsi:type="dcterms:W3CDTF">2024-05-29T12:27:00Z</dcterms:modified>
</cp:coreProperties>
</file>