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A8902" w14:textId="77777777" w:rsidR="00B52736" w:rsidRPr="002248B9" w:rsidRDefault="00B52736" w:rsidP="00B52736">
      <w:pPr>
        <w:shd w:val="clear" w:color="auto" w:fill="FFFFFF"/>
        <w:ind w:right="19"/>
        <w:jc w:val="right"/>
        <w:rPr>
          <w:szCs w:val="24"/>
          <w:lang w:val="sr-Cyrl-CS"/>
        </w:rPr>
      </w:pPr>
    </w:p>
    <w:p w14:paraId="58970F74" w14:textId="77777777" w:rsidR="00B52736" w:rsidRPr="002248B9" w:rsidRDefault="00B52736" w:rsidP="00B52736">
      <w:pPr>
        <w:shd w:val="clear" w:color="auto" w:fill="FFFFFF"/>
        <w:ind w:firstLine="720"/>
        <w:rPr>
          <w:lang w:val="sr-Cyrl-CS"/>
        </w:rPr>
      </w:pPr>
      <w:r w:rsidRPr="002248B9">
        <w:rPr>
          <w:rFonts w:eastAsia="Times New Roman"/>
          <w:color w:val="000000"/>
          <w:spacing w:val="-4"/>
          <w:szCs w:val="24"/>
          <w:lang w:val="sr-Cyrl-CS"/>
        </w:rPr>
        <w:t>На основу члана</w:t>
      </w:r>
      <w:r w:rsidRPr="002248B9">
        <w:rPr>
          <w:lang w:val="sr-Cyrl-CS"/>
        </w:rPr>
        <w:t xml:space="preserve"> 60. став 4. Закона о јавним предузећима (</w:t>
      </w:r>
      <w:r w:rsidRPr="002248B9">
        <w:rPr>
          <w:rFonts w:eastAsia="Times New Roman"/>
          <w:color w:val="000000"/>
          <w:spacing w:val="-5"/>
          <w:szCs w:val="24"/>
          <w:lang w:val="sr-Cyrl-CS"/>
        </w:rPr>
        <w:t>„Службени гласник РС”, бр. 15/16 и 88/19)</w:t>
      </w:r>
      <w:r w:rsidR="00D52A0F" w:rsidRPr="002248B9">
        <w:rPr>
          <w:rFonts w:eastAsia="Times New Roman"/>
          <w:color w:val="000000"/>
          <w:spacing w:val="-5"/>
          <w:szCs w:val="24"/>
          <w:lang w:val="sr-Cyrl-CS"/>
        </w:rPr>
        <w:t xml:space="preserve"> и</w:t>
      </w:r>
      <w:r w:rsidRPr="002248B9">
        <w:rPr>
          <w:rFonts w:eastAsia="Times New Roman"/>
          <w:color w:val="000000"/>
          <w:spacing w:val="-5"/>
          <w:szCs w:val="24"/>
          <w:lang w:val="sr-Cyrl-CS"/>
        </w:rPr>
        <w:t xml:space="preserve"> </w:t>
      </w:r>
      <w:r w:rsidR="000B1073" w:rsidRPr="002248B9">
        <w:rPr>
          <w:lang w:val="sr-Cyrl-CS"/>
        </w:rPr>
        <w:t xml:space="preserve">члана 17. став 1. </w:t>
      </w:r>
      <w:r w:rsidRPr="002248B9">
        <w:rPr>
          <w:rFonts w:eastAsia="Times New Roman"/>
          <w:color w:val="000000"/>
          <w:spacing w:val="-5"/>
          <w:szCs w:val="24"/>
          <w:lang w:val="sr-Cyrl-CS"/>
        </w:rPr>
        <w:t xml:space="preserve">и члана 42. став 1. Закона о Влади </w:t>
      </w:r>
      <w:r w:rsidRPr="002248B9">
        <w:rPr>
          <w:lang w:val="sr-Cyrl-CS"/>
        </w:rPr>
        <w:t xml:space="preserve">(„Службени гласник РС”, бр. 55/05, 71/05 - исправка, 101/07, 65/08, 16/11, 68/12 - УС, 72/12, 7/14 - УС, 44/14 и 30/18 - др. закон), </w:t>
      </w:r>
    </w:p>
    <w:p w14:paraId="3638CD8D" w14:textId="77777777" w:rsidR="00C77268" w:rsidRPr="002248B9" w:rsidRDefault="00C77268" w:rsidP="00B52736">
      <w:pPr>
        <w:shd w:val="clear" w:color="auto" w:fill="FFFFFF"/>
        <w:ind w:firstLine="720"/>
        <w:rPr>
          <w:rFonts w:eastAsia="Times New Roman"/>
          <w:color w:val="000000"/>
          <w:spacing w:val="-5"/>
          <w:szCs w:val="24"/>
          <w:lang w:val="sr-Cyrl-CS"/>
        </w:rPr>
      </w:pPr>
    </w:p>
    <w:p w14:paraId="3C327017" w14:textId="77777777" w:rsidR="00643330" w:rsidRPr="002248B9" w:rsidRDefault="00B52736" w:rsidP="002248B9">
      <w:pPr>
        <w:shd w:val="clear" w:color="auto" w:fill="FFFFFF"/>
        <w:spacing w:line="317" w:lineRule="exact"/>
        <w:ind w:right="19" w:firstLine="720"/>
        <w:rPr>
          <w:rFonts w:eastAsia="Times New Roman"/>
          <w:color w:val="000000"/>
          <w:spacing w:val="-6"/>
          <w:szCs w:val="24"/>
          <w:lang w:val="sr-Cyrl-CS"/>
        </w:rPr>
      </w:pPr>
      <w:r w:rsidRPr="002248B9">
        <w:rPr>
          <w:rFonts w:eastAsia="Times New Roman"/>
          <w:color w:val="000000"/>
          <w:spacing w:val="-6"/>
          <w:szCs w:val="24"/>
          <w:lang w:val="sr-Cyrl-CS"/>
        </w:rPr>
        <w:t>Влада доноси</w:t>
      </w:r>
    </w:p>
    <w:p w14:paraId="76030256" w14:textId="77777777" w:rsidR="00C77268" w:rsidRPr="002248B9" w:rsidRDefault="00B52736" w:rsidP="00D52A0F">
      <w:pPr>
        <w:shd w:val="clear" w:color="auto" w:fill="FFFFFF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  <w:r w:rsidRPr="002248B9">
        <w:rPr>
          <w:rFonts w:eastAsia="Times New Roman"/>
          <w:color w:val="000000"/>
          <w:spacing w:val="-8"/>
          <w:szCs w:val="24"/>
          <w:lang w:val="sr-Cyrl-CS"/>
        </w:rPr>
        <w:t>У</w:t>
      </w:r>
      <w:r w:rsidR="00C77268"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 </w:t>
      </w:r>
      <w:r w:rsidRPr="002248B9">
        <w:rPr>
          <w:rFonts w:eastAsia="Times New Roman"/>
          <w:color w:val="000000"/>
          <w:spacing w:val="-8"/>
          <w:szCs w:val="24"/>
          <w:lang w:val="sr-Cyrl-CS"/>
        </w:rPr>
        <w:t>Р</w:t>
      </w:r>
      <w:r w:rsidR="00C77268"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 </w:t>
      </w:r>
      <w:r w:rsidRPr="002248B9">
        <w:rPr>
          <w:rFonts w:eastAsia="Times New Roman"/>
          <w:color w:val="000000"/>
          <w:spacing w:val="-8"/>
          <w:szCs w:val="24"/>
          <w:lang w:val="sr-Cyrl-CS"/>
        </w:rPr>
        <w:t>Е</w:t>
      </w:r>
      <w:r w:rsidR="00C77268"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 </w:t>
      </w:r>
      <w:r w:rsidRPr="002248B9">
        <w:rPr>
          <w:rFonts w:eastAsia="Times New Roman"/>
          <w:color w:val="000000"/>
          <w:spacing w:val="-8"/>
          <w:szCs w:val="24"/>
          <w:lang w:val="sr-Cyrl-CS"/>
        </w:rPr>
        <w:t>Д</w:t>
      </w:r>
      <w:r w:rsidR="00C77268"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 </w:t>
      </w:r>
      <w:r w:rsidRPr="002248B9">
        <w:rPr>
          <w:rFonts w:eastAsia="Times New Roman"/>
          <w:color w:val="000000"/>
          <w:spacing w:val="-8"/>
          <w:szCs w:val="24"/>
          <w:lang w:val="sr-Cyrl-CS"/>
        </w:rPr>
        <w:t>Б</w:t>
      </w:r>
      <w:r w:rsidR="00C77268"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 </w:t>
      </w:r>
      <w:r w:rsidRPr="002248B9">
        <w:rPr>
          <w:rFonts w:eastAsia="Times New Roman"/>
          <w:color w:val="000000"/>
          <w:spacing w:val="-8"/>
          <w:szCs w:val="24"/>
          <w:lang w:val="sr-Cyrl-CS"/>
        </w:rPr>
        <w:t>У</w:t>
      </w:r>
      <w:r w:rsidR="00767EF3"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 </w:t>
      </w:r>
    </w:p>
    <w:p w14:paraId="6C7D913B" w14:textId="77777777" w:rsidR="00B52736" w:rsidRPr="002248B9" w:rsidRDefault="00643330" w:rsidP="00D52A0F">
      <w:pPr>
        <w:shd w:val="clear" w:color="auto" w:fill="FFFFFF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  <w:r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 О ИЗМЕНИ</w:t>
      </w:r>
      <w:r w:rsidR="001A48D7"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 И ДОПУН</w:t>
      </w:r>
      <w:r w:rsidRPr="002248B9">
        <w:rPr>
          <w:rFonts w:eastAsia="Times New Roman"/>
          <w:color w:val="000000"/>
          <w:spacing w:val="-8"/>
          <w:szCs w:val="24"/>
          <w:lang w:val="sr-Cyrl-CS"/>
        </w:rPr>
        <w:t>И</w:t>
      </w:r>
      <w:r w:rsidR="00B52736"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 УРЕДБЕ</w:t>
      </w:r>
      <w:r w:rsidR="00C77268"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 </w:t>
      </w:r>
      <w:r w:rsidR="00B52736" w:rsidRPr="002248B9">
        <w:rPr>
          <w:rFonts w:eastAsia="Times New Roman"/>
          <w:color w:val="000000"/>
          <w:spacing w:val="-10"/>
          <w:szCs w:val="24"/>
          <w:lang w:val="sr-Cyrl-CS"/>
        </w:rPr>
        <w:t>О УТВРЂИВАЊУ ЕЛЕМЕНАТА</w:t>
      </w:r>
      <w:r w:rsidR="00B52736" w:rsidRPr="002248B9">
        <w:rPr>
          <w:rFonts w:eastAsia="Times New Roman"/>
          <w:szCs w:val="24"/>
          <w:lang w:val="sr-Cyrl-CS"/>
        </w:rPr>
        <w:t xml:space="preserve"> ГОДИШЊЕГ ПРОГРАМА ПОСЛОВАЊА ЗА 2024. ГОДИНУ, ОДНОСНО ТРОГОДИШЊЕГ ПРОГРАМА ПОСЛОВАЊА ЗА ПЕРИОД 2024 - 2026. ГОДИНЕ ЈАВНИХ ПРЕДУЗЕЋА И ДРУГИХ ОБЛИКА ОРГАНИЗОВАЊА КОЈИ ОБАВЉАЈУ ДЕЛАТНОСТ ОД ОПШТЕГ ИНТЕРЕСА</w:t>
      </w:r>
    </w:p>
    <w:p w14:paraId="2839652B" w14:textId="77777777" w:rsidR="00B52736" w:rsidRPr="002248B9" w:rsidRDefault="00B52736" w:rsidP="00D52A0F">
      <w:pPr>
        <w:shd w:val="clear" w:color="auto" w:fill="FFFFFF"/>
        <w:ind w:right="11"/>
        <w:jc w:val="center"/>
        <w:rPr>
          <w:rFonts w:eastAsia="Times New Roman"/>
          <w:color w:val="000000"/>
          <w:spacing w:val="-10"/>
          <w:szCs w:val="24"/>
          <w:lang w:val="sr-Cyrl-CS"/>
        </w:rPr>
      </w:pPr>
      <w:r w:rsidRPr="002248B9">
        <w:rPr>
          <w:rFonts w:eastAsia="Times New Roman"/>
          <w:color w:val="000000"/>
          <w:spacing w:val="-10"/>
          <w:szCs w:val="24"/>
          <w:lang w:val="sr-Cyrl-CS"/>
        </w:rPr>
        <w:t xml:space="preserve"> </w:t>
      </w:r>
    </w:p>
    <w:p w14:paraId="3CEAE947" w14:textId="77777777" w:rsidR="00B52736" w:rsidRPr="002248B9" w:rsidRDefault="00B52736" w:rsidP="00B52736">
      <w:pPr>
        <w:shd w:val="clear" w:color="auto" w:fill="FFFFFF"/>
        <w:spacing w:line="322" w:lineRule="exact"/>
        <w:ind w:right="34"/>
        <w:jc w:val="center"/>
        <w:rPr>
          <w:rFonts w:eastAsia="Times New Roman"/>
          <w:color w:val="000000"/>
          <w:spacing w:val="-7"/>
          <w:szCs w:val="24"/>
          <w:lang w:val="sr-Cyrl-CS"/>
        </w:rPr>
      </w:pPr>
      <w:r w:rsidRPr="002248B9">
        <w:rPr>
          <w:rFonts w:eastAsia="Times New Roman"/>
          <w:color w:val="000000"/>
          <w:spacing w:val="-7"/>
          <w:szCs w:val="24"/>
          <w:lang w:val="sr-Cyrl-CS"/>
        </w:rPr>
        <w:t>Члан 1.</w:t>
      </w:r>
    </w:p>
    <w:p w14:paraId="1B042DA6" w14:textId="77777777" w:rsidR="00B52736" w:rsidRPr="002248B9" w:rsidRDefault="00B52736" w:rsidP="000B1073">
      <w:pPr>
        <w:shd w:val="clear" w:color="auto" w:fill="FFFFFF"/>
        <w:ind w:right="11" w:firstLine="720"/>
        <w:rPr>
          <w:rFonts w:eastAsia="Times New Roman"/>
          <w:lang w:val="sr-Cyrl-CS"/>
        </w:rPr>
      </w:pPr>
      <w:r w:rsidRPr="002248B9">
        <w:rPr>
          <w:rFonts w:eastAsia="Times New Roman"/>
          <w:color w:val="000000"/>
          <w:spacing w:val="-8"/>
          <w:szCs w:val="24"/>
          <w:lang w:val="sr-Cyrl-CS"/>
        </w:rPr>
        <w:t xml:space="preserve">У Уредби </w:t>
      </w:r>
      <w:r w:rsidRPr="002248B9">
        <w:rPr>
          <w:rFonts w:eastAsia="Times New Roman"/>
          <w:color w:val="000000"/>
          <w:spacing w:val="-10"/>
          <w:szCs w:val="24"/>
          <w:lang w:val="sr-Cyrl-CS"/>
        </w:rPr>
        <w:t>о утврђивању елемената</w:t>
      </w:r>
      <w:r w:rsidRPr="002248B9">
        <w:rPr>
          <w:rFonts w:eastAsia="Times New Roman"/>
          <w:szCs w:val="24"/>
          <w:lang w:val="sr-Cyrl-CS"/>
        </w:rPr>
        <w:t xml:space="preserve"> годишњег програма пословања за 2024. годину, односно трогодишњег програма пословања за период 2024 - 2026. године јавних предузећа и других облика организовања који обављају делатност од општег интереса </w:t>
      </w:r>
      <w:r w:rsidRPr="002248B9">
        <w:rPr>
          <w:lang w:val="sr-Cyrl-CS"/>
        </w:rPr>
        <w:t xml:space="preserve">(„Службени гласник РС”, број </w:t>
      </w:r>
      <w:r w:rsidR="00643330" w:rsidRPr="002248B9">
        <w:rPr>
          <w:lang w:val="sr-Cyrl-CS"/>
        </w:rPr>
        <w:t>89/23</w:t>
      </w:r>
      <w:r w:rsidR="00D33F5E" w:rsidRPr="002248B9">
        <w:rPr>
          <w:lang w:val="sr-Cyrl-CS"/>
        </w:rPr>
        <w:t>)</w:t>
      </w:r>
      <w:r w:rsidR="00643330" w:rsidRPr="002248B9">
        <w:rPr>
          <w:lang w:val="sr-Cyrl-CS"/>
        </w:rPr>
        <w:t>, у</w:t>
      </w:r>
      <w:r w:rsidRPr="002248B9">
        <w:rPr>
          <w:lang w:val="sr-Cyrl-CS"/>
        </w:rPr>
        <w:t xml:space="preserve"> Смерница</w:t>
      </w:r>
      <w:r w:rsidR="00643330" w:rsidRPr="002248B9">
        <w:rPr>
          <w:lang w:val="sr-Cyrl-CS"/>
        </w:rPr>
        <w:t>ма</w:t>
      </w:r>
      <w:r w:rsidRPr="002248B9">
        <w:rPr>
          <w:lang w:val="sr-Cyrl-CS"/>
        </w:rPr>
        <w:t xml:space="preserve"> за израду годишњег програма пословања за 2024. годину, односно трогодишњег програма пословања за период 2024 - 2026. године</w:t>
      </w:r>
      <w:r w:rsidRPr="002248B9">
        <w:rPr>
          <w:rFonts w:eastAsia="Times New Roman"/>
          <w:szCs w:val="24"/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  <w:r w:rsidR="00472426" w:rsidRPr="002248B9">
        <w:rPr>
          <w:lang w:val="sr-Cyrl-CS"/>
        </w:rPr>
        <w:t>,</w:t>
      </w:r>
      <w:r w:rsidR="00643330" w:rsidRPr="002248B9">
        <w:rPr>
          <w:lang w:val="sr-Cyrl-CS"/>
        </w:rPr>
        <w:t xml:space="preserve"> </w:t>
      </w:r>
      <w:r w:rsidR="00107AA9" w:rsidRPr="002248B9">
        <w:rPr>
          <w:rFonts w:eastAsia="Times New Roman"/>
          <w:lang w:val="sr-Cyrl-CS"/>
        </w:rPr>
        <w:t xml:space="preserve">став 4, </w:t>
      </w:r>
      <w:r w:rsidR="00643330" w:rsidRPr="002248B9">
        <w:rPr>
          <w:rFonts w:eastAsia="Times New Roman"/>
          <w:lang w:val="sr-Cyrl-CS"/>
        </w:rPr>
        <w:t xml:space="preserve">у </w:t>
      </w:r>
      <w:r w:rsidR="004A644E" w:rsidRPr="002248B9">
        <w:rPr>
          <w:rFonts w:eastAsia="Times New Roman"/>
          <w:lang w:val="sr-Cyrl-CS"/>
        </w:rPr>
        <w:t>тачк</w:t>
      </w:r>
      <w:r w:rsidR="00643330" w:rsidRPr="002248B9">
        <w:rPr>
          <w:rFonts w:eastAsia="Times New Roman"/>
          <w:lang w:val="sr-Cyrl-CS"/>
        </w:rPr>
        <w:t>и</w:t>
      </w:r>
      <w:r w:rsidRPr="002248B9">
        <w:rPr>
          <w:lang w:val="sr-Cyrl-CS"/>
        </w:rPr>
        <w:t xml:space="preserve"> 6) </w:t>
      </w:r>
      <w:r w:rsidR="00526367" w:rsidRPr="002248B9">
        <w:rPr>
          <w:lang w:val="sr-Cyrl-CS"/>
        </w:rPr>
        <w:t>после алинеје четврте</w:t>
      </w:r>
      <w:r w:rsidR="00643330" w:rsidRPr="002248B9">
        <w:rPr>
          <w:lang w:val="sr-Cyrl-CS"/>
        </w:rPr>
        <w:t xml:space="preserve"> додаје се </w:t>
      </w:r>
      <w:r w:rsidR="00705766" w:rsidRPr="002248B9">
        <w:rPr>
          <w:lang w:val="sr-Cyrl-CS"/>
        </w:rPr>
        <w:t xml:space="preserve">нова </w:t>
      </w:r>
      <w:r w:rsidR="00643330" w:rsidRPr="002248B9">
        <w:rPr>
          <w:lang w:val="sr-Cyrl-CS"/>
        </w:rPr>
        <w:t>алинеја пета</w:t>
      </w:r>
      <w:r w:rsidR="00526367" w:rsidRPr="002248B9">
        <w:rPr>
          <w:lang w:val="sr-Cyrl-CS"/>
        </w:rPr>
        <w:t>,</w:t>
      </w:r>
      <w:r w:rsidR="00643330" w:rsidRPr="002248B9">
        <w:rPr>
          <w:lang w:val="sr-Cyrl-CS"/>
        </w:rPr>
        <w:t xml:space="preserve"> која гласи</w:t>
      </w:r>
      <w:r w:rsidRPr="002248B9">
        <w:rPr>
          <w:lang w:val="sr-Cyrl-CS"/>
        </w:rPr>
        <w:t>:</w:t>
      </w:r>
    </w:p>
    <w:p w14:paraId="0A57FF84" w14:textId="77777777" w:rsidR="001A2843" w:rsidRPr="002248B9" w:rsidRDefault="00C71BB1" w:rsidP="00643330">
      <w:pPr>
        <w:tabs>
          <w:tab w:val="left" w:pos="810"/>
          <w:tab w:val="left" w:pos="1080"/>
          <w:tab w:val="left" w:pos="1418"/>
        </w:tabs>
        <w:rPr>
          <w:lang w:val="sr-Cyrl-CS"/>
        </w:rPr>
      </w:pPr>
      <w:r w:rsidRPr="002248B9">
        <w:rPr>
          <w:lang w:val="sr-Cyrl-CS"/>
        </w:rPr>
        <w:tab/>
        <w:t>„</w:t>
      </w:r>
      <w:r w:rsidR="00896E1B" w:rsidRPr="002248B9">
        <w:rPr>
          <w:lang w:val="sr-Cyrl-CS"/>
        </w:rPr>
        <w:t xml:space="preserve">- </w:t>
      </w:r>
      <w:r w:rsidR="00107AA9" w:rsidRPr="002248B9">
        <w:rPr>
          <w:rFonts w:eastAsiaTheme="minorHAnsi"/>
          <w:lang w:val="sr-Cyrl-CS"/>
        </w:rPr>
        <w:t xml:space="preserve">зарада запослених чија би основна зарада </w:t>
      </w:r>
      <w:r w:rsidR="00107AA9" w:rsidRPr="002248B9">
        <w:rPr>
          <w:lang w:val="sr-Cyrl-CS"/>
        </w:rPr>
        <w:t>након увећања утврђеног у алинеји</w:t>
      </w:r>
      <w:r w:rsidR="004A644E" w:rsidRPr="002248B9">
        <w:rPr>
          <w:lang w:val="sr-Cyrl-CS"/>
        </w:rPr>
        <w:t xml:space="preserve"> </w:t>
      </w:r>
      <w:r w:rsidR="00643330" w:rsidRPr="002248B9">
        <w:rPr>
          <w:lang w:val="sr-Cyrl-CS"/>
        </w:rPr>
        <w:t xml:space="preserve">четвртој </w:t>
      </w:r>
      <w:r w:rsidR="004A644E" w:rsidRPr="002248B9">
        <w:rPr>
          <w:lang w:val="sr-Cyrl-CS"/>
        </w:rPr>
        <w:t>ове тачке</w:t>
      </w:r>
      <w:r w:rsidR="00107AA9" w:rsidRPr="002248B9">
        <w:rPr>
          <w:rFonts w:eastAsiaTheme="minorHAnsi"/>
          <w:lang w:val="sr-Cyrl-CS"/>
        </w:rPr>
        <w:t>, била нижа од минималне з</w:t>
      </w:r>
      <w:r w:rsidR="00D33F5E" w:rsidRPr="002248B9">
        <w:rPr>
          <w:rFonts w:eastAsiaTheme="minorHAnsi"/>
          <w:lang w:val="sr-Cyrl-CS"/>
        </w:rPr>
        <w:t>араде утврђене у складу са З</w:t>
      </w:r>
      <w:r w:rsidR="00107AA9" w:rsidRPr="002248B9">
        <w:rPr>
          <w:rFonts w:eastAsiaTheme="minorHAnsi"/>
          <w:lang w:val="sr-Cyrl-CS"/>
        </w:rPr>
        <w:t xml:space="preserve">аконом о раду, увећава се до висине минималне зараде, </w:t>
      </w:r>
      <w:r w:rsidR="00107AA9" w:rsidRPr="002248B9">
        <w:rPr>
          <w:lang w:val="sr-Cyrl-CS"/>
        </w:rPr>
        <w:t>док се просечна зарада осталих запослених може увећати за највише 10%,</w:t>
      </w:r>
      <w:r w:rsidR="00896E1B" w:rsidRPr="002248B9">
        <w:rPr>
          <w:lang w:val="sr-Cyrl-CS"/>
        </w:rPr>
        <w:t>”</w:t>
      </w:r>
      <w:r w:rsidR="00643330" w:rsidRPr="002248B9">
        <w:rPr>
          <w:lang w:val="sr-Cyrl-CS"/>
        </w:rPr>
        <w:t>.</w:t>
      </w:r>
    </w:p>
    <w:p w14:paraId="6CF225FF" w14:textId="77777777" w:rsidR="00705766" w:rsidRPr="002248B9" w:rsidRDefault="00705766" w:rsidP="00643330">
      <w:pPr>
        <w:tabs>
          <w:tab w:val="left" w:pos="810"/>
          <w:tab w:val="left" w:pos="1080"/>
          <w:tab w:val="left" w:pos="1418"/>
        </w:tabs>
        <w:rPr>
          <w:lang w:val="sr-Cyrl-CS"/>
        </w:rPr>
      </w:pPr>
      <w:r w:rsidRPr="002248B9">
        <w:rPr>
          <w:lang w:val="sr-Cyrl-CS"/>
        </w:rPr>
        <w:tab/>
        <w:t>Досадашње алинеје пета, шеста и седма постају алинеје шеста, седма и осма.</w:t>
      </w:r>
    </w:p>
    <w:p w14:paraId="20A88693" w14:textId="77777777" w:rsidR="00643330" w:rsidRPr="002248B9" w:rsidRDefault="00643330" w:rsidP="00107AA9">
      <w:pPr>
        <w:tabs>
          <w:tab w:val="left" w:pos="1080"/>
        </w:tabs>
        <w:rPr>
          <w:rFonts w:eastAsiaTheme="minorHAnsi"/>
          <w:szCs w:val="24"/>
          <w:lang w:val="sr-Cyrl-CS"/>
        </w:rPr>
      </w:pPr>
      <w:r w:rsidRPr="002248B9">
        <w:rPr>
          <w:rFonts w:eastAsia="Times New Roman"/>
          <w:b/>
          <w:szCs w:val="24"/>
          <w:lang w:val="sr-Cyrl-CS"/>
        </w:rPr>
        <w:t xml:space="preserve">            </w:t>
      </w:r>
      <w:r w:rsidR="00107AA9" w:rsidRPr="002248B9">
        <w:rPr>
          <w:rFonts w:eastAsiaTheme="minorHAnsi"/>
          <w:szCs w:val="24"/>
          <w:lang w:val="sr-Cyrl-CS"/>
        </w:rPr>
        <w:t>Став 10. мења се и гласи:</w:t>
      </w:r>
    </w:p>
    <w:p w14:paraId="7C3F6E45" w14:textId="77777777" w:rsidR="00CF25F7" w:rsidRPr="002248B9" w:rsidRDefault="00643330" w:rsidP="00643330">
      <w:pPr>
        <w:tabs>
          <w:tab w:val="left" w:pos="810"/>
          <w:tab w:val="left" w:pos="1440"/>
        </w:tabs>
        <w:rPr>
          <w:lang w:val="sr-Cyrl-CS"/>
        </w:rPr>
      </w:pPr>
      <w:r w:rsidRPr="002248B9">
        <w:rPr>
          <w:rFonts w:eastAsiaTheme="minorHAnsi"/>
          <w:szCs w:val="24"/>
          <w:lang w:val="sr-Cyrl-CS"/>
        </w:rPr>
        <w:tab/>
      </w:r>
      <w:r w:rsidR="00107AA9" w:rsidRPr="002248B9">
        <w:rPr>
          <w:rFonts w:eastAsiaTheme="minorHAnsi"/>
          <w:szCs w:val="24"/>
          <w:lang w:val="sr-Cyrl-CS"/>
        </w:rPr>
        <w:t xml:space="preserve"> „</w:t>
      </w:r>
      <w:r w:rsidR="00107AA9" w:rsidRPr="002248B9">
        <w:rPr>
          <w:lang w:val="sr-Cyrl-CS"/>
        </w:rPr>
        <w:t>Аутономна покрајина и јединица локалне самоуправе, поред смерница наведених у овом акту, могу предложити јавним предузећима и друге смернице које су од значаја за њихово пословање</w:t>
      </w:r>
      <w:r w:rsidR="00CF25F7" w:rsidRPr="002248B9">
        <w:rPr>
          <w:rFonts w:eastAsiaTheme="minorHAnsi"/>
          <w:szCs w:val="24"/>
          <w:lang w:val="sr-Cyrl-CS"/>
        </w:rPr>
        <w:t xml:space="preserve">, односно другачије смернице у погледу расхода за </w:t>
      </w:r>
      <w:r w:rsidR="00D472B3" w:rsidRPr="002248B9">
        <w:rPr>
          <w:rFonts w:eastAsiaTheme="minorHAnsi"/>
          <w:szCs w:val="24"/>
          <w:lang w:val="sr-Cyrl-CS"/>
        </w:rPr>
        <w:t>зараде запослених</w:t>
      </w:r>
      <w:r w:rsidR="00CF25F7" w:rsidRPr="002248B9">
        <w:rPr>
          <w:rFonts w:eastAsiaTheme="minorHAnsi"/>
          <w:szCs w:val="24"/>
          <w:lang w:val="sr-Cyrl-CS"/>
        </w:rPr>
        <w:t>, с тим да се просечна зарада старозапослених и новозапослених не може увећати више од процентуалног увећања минималне цене рада.</w:t>
      </w:r>
      <w:r w:rsidR="00896E1B" w:rsidRPr="002248B9">
        <w:rPr>
          <w:rFonts w:eastAsiaTheme="minorHAnsi"/>
          <w:szCs w:val="24"/>
          <w:lang w:val="sr-Cyrl-CS"/>
        </w:rPr>
        <w:t>”.</w:t>
      </w:r>
    </w:p>
    <w:p w14:paraId="2876481A" w14:textId="77777777" w:rsidR="00E5469F" w:rsidRPr="002248B9" w:rsidRDefault="00E5469F" w:rsidP="00F7373C">
      <w:pPr>
        <w:tabs>
          <w:tab w:val="left" w:pos="1080"/>
          <w:tab w:val="left" w:pos="1276"/>
        </w:tabs>
        <w:rPr>
          <w:strike/>
          <w:color w:val="FF0000"/>
          <w:lang w:val="sr-Cyrl-CS"/>
        </w:rPr>
      </w:pPr>
    </w:p>
    <w:p w14:paraId="5CB8CACF" w14:textId="77777777" w:rsidR="004A644E" w:rsidRPr="002248B9" w:rsidRDefault="004A644E" w:rsidP="00F7373C">
      <w:pPr>
        <w:rPr>
          <w:rFonts w:eastAsia="Times New Roman"/>
          <w:bCs/>
          <w:szCs w:val="24"/>
          <w:lang w:val="sr-Cyrl-CS"/>
        </w:rPr>
      </w:pPr>
      <w:bookmarkStart w:id="0" w:name="clan_2"/>
      <w:bookmarkEnd w:id="0"/>
      <w:r w:rsidRPr="002248B9">
        <w:rPr>
          <w:rFonts w:eastAsia="Times New Roman"/>
          <w:lang w:val="sr-Cyrl-CS"/>
        </w:rPr>
        <w:t xml:space="preserve">                                                             </w:t>
      </w:r>
      <w:r w:rsidR="00643330" w:rsidRPr="002248B9">
        <w:rPr>
          <w:rFonts w:eastAsia="Times New Roman"/>
          <w:bCs/>
          <w:szCs w:val="24"/>
          <w:lang w:val="sr-Cyrl-CS"/>
        </w:rPr>
        <w:t>Члан 2</w:t>
      </w:r>
      <w:r w:rsidR="00107AA9" w:rsidRPr="002248B9">
        <w:rPr>
          <w:rFonts w:eastAsia="Times New Roman"/>
          <w:bCs/>
          <w:szCs w:val="24"/>
          <w:lang w:val="sr-Cyrl-CS"/>
        </w:rPr>
        <w:t>.</w:t>
      </w:r>
    </w:p>
    <w:p w14:paraId="38495E56" w14:textId="77777777" w:rsidR="00B52736" w:rsidRPr="002248B9" w:rsidRDefault="00107AA9" w:rsidP="00F7373C">
      <w:pPr>
        <w:shd w:val="clear" w:color="auto" w:fill="FFFFFF"/>
        <w:ind w:left="11" w:right="45" w:firstLine="709"/>
        <w:rPr>
          <w:rFonts w:eastAsia="Times New Roman"/>
          <w:color w:val="000000"/>
          <w:spacing w:val="-5"/>
          <w:szCs w:val="24"/>
          <w:lang w:val="sr-Cyrl-CS"/>
        </w:rPr>
      </w:pPr>
      <w:r w:rsidRPr="002248B9">
        <w:rPr>
          <w:rFonts w:eastAsia="Times New Roman"/>
          <w:color w:val="000000"/>
          <w:spacing w:val="8"/>
          <w:szCs w:val="24"/>
          <w:lang w:val="sr-Cyrl-CS"/>
        </w:rPr>
        <w:t>Ова уредба ступа на снагу наредног</w:t>
      </w:r>
      <w:r w:rsidR="00B52736" w:rsidRPr="002248B9">
        <w:rPr>
          <w:rFonts w:eastAsia="Times New Roman"/>
          <w:color w:val="000000"/>
          <w:spacing w:val="8"/>
          <w:szCs w:val="24"/>
          <w:lang w:val="sr-Cyrl-CS"/>
        </w:rPr>
        <w:t xml:space="preserve"> дана</w:t>
      </w:r>
      <w:r w:rsidR="00B52736" w:rsidRPr="002248B9">
        <w:rPr>
          <w:lang w:val="sr-Cyrl-CS"/>
        </w:rPr>
        <w:t xml:space="preserve"> </w:t>
      </w:r>
      <w:r w:rsidR="00B52736" w:rsidRPr="002248B9">
        <w:rPr>
          <w:rFonts w:eastAsia="Times New Roman"/>
          <w:color w:val="000000"/>
          <w:spacing w:val="8"/>
          <w:szCs w:val="24"/>
          <w:lang w:val="sr-Cyrl-CS"/>
        </w:rPr>
        <w:t xml:space="preserve">од дана </w:t>
      </w:r>
      <w:r w:rsidR="00B52736" w:rsidRPr="002248B9">
        <w:rPr>
          <w:rFonts w:eastAsia="Times New Roman"/>
          <w:color w:val="000000"/>
          <w:spacing w:val="-5"/>
          <w:szCs w:val="24"/>
          <w:lang w:val="sr-Cyrl-CS"/>
        </w:rPr>
        <w:t>објављивања у „Службеном гласнику Републике Србије”.</w:t>
      </w:r>
    </w:p>
    <w:p w14:paraId="71B4DBBC" w14:textId="77777777" w:rsidR="004A644E" w:rsidRPr="002248B9" w:rsidRDefault="004A644E" w:rsidP="00F7373C">
      <w:pPr>
        <w:shd w:val="clear" w:color="auto" w:fill="FFFFFF"/>
        <w:ind w:left="11" w:right="45" w:firstLine="709"/>
        <w:rPr>
          <w:rFonts w:eastAsia="Times New Roman"/>
          <w:color w:val="000000"/>
          <w:spacing w:val="-5"/>
          <w:szCs w:val="24"/>
          <w:lang w:val="sr-Cyrl-CS"/>
        </w:rPr>
      </w:pPr>
    </w:p>
    <w:p w14:paraId="425EBAFA" w14:textId="77777777" w:rsidR="00B52736" w:rsidRPr="002248B9" w:rsidRDefault="002248B9" w:rsidP="00B52736">
      <w:pPr>
        <w:widowControl/>
        <w:autoSpaceDE/>
        <w:autoSpaceDN/>
        <w:adjustRightInd/>
        <w:spacing w:after="200"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05 Број: 110-11503/2023-1</w:t>
      </w:r>
    </w:p>
    <w:p w14:paraId="4737D014" w14:textId="77777777" w:rsidR="00B52736" w:rsidRPr="002248B9" w:rsidRDefault="00B52736" w:rsidP="00B52736">
      <w:pPr>
        <w:widowControl/>
        <w:autoSpaceDE/>
        <w:autoSpaceDN/>
        <w:adjustRightInd/>
        <w:spacing w:after="200" w:line="276" w:lineRule="auto"/>
        <w:rPr>
          <w:szCs w:val="24"/>
          <w:lang w:val="sr-Cyrl-CS"/>
        </w:rPr>
      </w:pPr>
      <w:r w:rsidRPr="002248B9">
        <w:rPr>
          <w:szCs w:val="24"/>
          <w:lang w:val="sr-Cyrl-CS"/>
        </w:rPr>
        <w:t xml:space="preserve">У Београду, </w:t>
      </w:r>
      <w:r w:rsidR="002248B9">
        <w:rPr>
          <w:szCs w:val="24"/>
          <w:lang w:val="sr-Cyrl-CS"/>
        </w:rPr>
        <w:t>23. новембра 2023. године</w:t>
      </w:r>
    </w:p>
    <w:p w14:paraId="43365F24" w14:textId="77777777" w:rsidR="00B52736" w:rsidRPr="002248B9" w:rsidRDefault="00B52736" w:rsidP="00B52736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  <w:r w:rsidRPr="002248B9">
        <w:rPr>
          <w:szCs w:val="24"/>
          <w:lang w:val="sr-Cyrl-CS"/>
        </w:rPr>
        <w:t>В Л А Д А</w:t>
      </w:r>
    </w:p>
    <w:p w14:paraId="17ECB3AF" w14:textId="77777777" w:rsidR="00B52736" w:rsidRDefault="00B52736" w:rsidP="00B52736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  <w:r w:rsidRPr="002248B9">
        <w:rPr>
          <w:szCs w:val="24"/>
          <w:lang w:val="sr-Cyrl-CS"/>
        </w:rPr>
        <w:t xml:space="preserve">                                         ПРЕДСЕДНИК</w:t>
      </w:r>
    </w:p>
    <w:p w14:paraId="6EB5FE9D" w14:textId="77777777" w:rsidR="002248B9" w:rsidRDefault="002248B9" w:rsidP="00B52736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p w14:paraId="3A273451" w14:textId="6F08325A" w:rsidR="002248B9" w:rsidRPr="002248B9" w:rsidRDefault="002248B9" w:rsidP="00B52736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                    Ана Брнабић, с.р.</w:t>
      </w:r>
    </w:p>
    <w:sectPr w:rsidR="002248B9" w:rsidRPr="002248B9" w:rsidSect="00AE5287">
      <w:pgSz w:w="12240" w:h="15840" w:code="1"/>
      <w:pgMar w:top="1440" w:right="1850" w:bottom="1418" w:left="1716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596A"/>
    <w:multiLevelType w:val="hybridMultilevel"/>
    <w:tmpl w:val="EAB853FC"/>
    <w:lvl w:ilvl="0" w:tplc="49BC47A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21BA6"/>
    <w:multiLevelType w:val="hybridMultilevel"/>
    <w:tmpl w:val="EDDA446A"/>
    <w:lvl w:ilvl="0" w:tplc="F46099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E049E"/>
    <w:multiLevelType w:val="hybridMultilevel"/>
    <w:tmpl w:val="29A4E1E6"/>
    <w:lvl w:ilvl="0" w:tplc="D5220CD6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123602">
    <w:abstractNumId w:val="0"/>
  </w:num>
  <w:num w:numId="2" w16cid:durableId="713844064">
    <w:abstractNumId w:val="1"/>
  </w:num>
  <w:num w:numId="3" w16cid:durableId="774012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736"/>
    <w:rsid w:val="000B1073"/>
    <w:rsid w:val="000C727D"/>
    <w:rsid w:val="00107AA9"/>
    <w:rsid w:val="001A1B4F"/>
    <w:rsid w:val="001A2843"/>
    <w:rsid w:val="001A48D7"/>
    <w:rsid w:val="002248B9"/>
    <w:rsid w:val="00436825"/>
    <w:rsid w:val="00470B25"/>
    <w:rsid w:val="00472426"/>
    <w:rsid w:val="004A644E"/>
    <w:rsid w:val="00521E0B"/>
    <w:rsid w:val="00526367"/>
    <w:rsid w:val="005A5A7C"/>
    <w:rsid w:val="005F0B2B"/>
    <w:rsid w:val="00610FB5"/>
    <w:rsid w:val="00643330"/>
    <w:rsid w:val="00660C02"/>
    <w:rsid w:val="00692A22"/>
    <w:rsid w:val="006A1125"/>
    <w:rsid w:val="00705766"/>
    <w:rsid w:val="00767EF3"/>
    <w:rsid w:val="00896E1B"/>
    <w:rsid w:val="009372D4"/>
    <w:rsid w:val="0099219E"/>
    <w:rsid w:val="009C555E"/>
    <w:rsid w:val="009F0853"/>
    <w:rsid w:val="00AF6FB8"/>
    <w:rsid w:val="00B15D76"/>
    <w:rsid w:val="00B52736"/>
    <w:rsid w:val="00C71BB1"/>
    <w:rsid w:val="00C77268"/>
    <w:rsid w:val="00C857CF"/>
    <w:rsid w:val="00CF25F7"/>
    <w:rsid w:val="00D33F5E"/>
    <w:rsid w:val="00D472B3"/>
    <w:rsid w:val="00D52A0F"/>
    <w:rsid w:val="00E5469F"/>
    <w:rsid w:val="00E75EA2"/>
    <w:rsid w:val="00EC6CA4"/>
    <w:rsid w:val="00F60791"/>
    <w:rsid w:val="00F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D9B0E"/>
  <w15:chartTrackingRefBased/>
  <w15:docId w15:val="{A2E81AA5-41F3-4969-BF6F-D87B5E85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36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27D"/>
    <w:pPr>
      <w:widowControl/>
      <w:autoSpaceDE/>
      <w:autoSpaceDN/>
      <w:adjustRightInd/>
      <w:ind w:left="720"/>
      <w:contextualSpacing w:val="0"/>
      <w:jc w:val="left"/>
    </w:pPr>
    <w:rPr>
      <w:rFonts w:eastAsia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546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69F"/>
    <w:pPr>
      <w:widowControl/>
      <w:autoSpaceDE/>
      <w:autoSpaceDN/>
      <w:adjustRightInd/>
      <w:spacing w:after="160"/>
      <w:contextualSpacing w:val="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69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6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69F"/>
    <w:rPr>
      <w:rFonts w:ascii="Segoe UI" w:eastAsiaTheme="minorEastAsia" w:hAnsi="Segoe UI" w:cs="Segoe UI"/>
      <w:sz w:val="18"/>
      <w:szCs w:val="18"/>
    </w:rPr>
  </w:style>
  <w:style w:type="paragraph" w:customStyle="1" w:styleId="xxmsonormal">
    <w:name w:val="x_xmsonormal"/>
    <w:basedOn w:val="Normal"/>
    <w:rsid w:val="004A644E"/>
    <w:pPr>
      <w:widowControl/>
      <w:autoSpaceDE/>
      <w:autoSpaceDN/>
      <w:adjustRightInd/>
      <w:contextualSpacing w:val="0"/>
      <w:jc w:val="left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4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D00B3-E224-4E04-8747-6694D2B03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Jovan Stojanović</cp:lastModifiedBy>
  <cp:revision>2</cp:revision>
  <cp:lastPrinted>2023-11-21T11:27:00Z</cp:lastPrinted>
  <dcterms:created xsi:type="dcterms:W3CDTF">2023-11-24T09:09:00Z</dcterms:created>
  <dcterms:modified xsi:type="dcterms:W3CDTF">2023-11-24T09:09:00Z</dcterms:modified>
</cp:coreProperties>
</file>