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49729" w14:textId="2077CCF4" w:rsidR="00404882" w:rsidRPr="00891C5F" w:rsidRDefault="00404882" w:rsidP="00404882">
      <w:pPr>
        <w:spacing w:after="0" w:line="240" w:lineRule="auto"/>
        <w:ind w:right="-46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404882">
        <w:rPr>
          <w:rFonts w:ascii="Times New Roman" w:eastAsia="Times New Roman" w:hAnsi="Times New Roman"/>
          <w:sz w:val="24"/>
          <w:szCs w:val="24"/>
          <w:lang w:val="sr-Cyrl-RS"/>
        </w:rPr>
        <w:t xml:space="preserve">На основу члана </w:t>
      </w:r>
      <w:bookmarkStart w:id="0" w:name="SADRZAJ_001"/>
      <w:r w:rsidR="00F82951">
        <w:rPr>
          <w:rFonts w:ascii="Times New Roman" w:eastAsia="Times New Roman" w:hAnsi="Times New Roman"/>
          <w:sz w:val="24"/>
          <w:szCs w:val="24"/>
          <w:lang w:val="sr-Latn-RS"/>
        </w:rPr>
        <w:t>5</w:t>
      </w:r>
      <w:r w:rsidRPr="00404882">
        <w:rPr>
          <w:rFonts w:ascii="Times New Roman" w:eastAsia="Times New Roman" w:hAnsi="Times New Roman"/>
          <w:sz w:val="24"/>
          <w:szCs w:val="24"/>
          <w:lang w:val="sr-Cyrl-RS"/>
        </w:rPr>
        <w:t>9</w:t>
      </w:r>
      <w:r w:rsidR="004731A8">
        <w:rPr>
          <w:rFonts w:ascii="Times New Roman" w:eastAsia="Times New Roman" w:hAnsi="Times New Roman"/>
          <w:sz w:val="24"/>
          <w:szCs w:val="24"/>
        </w:rPr>
        <w:t>a</w:t>
      </w:r>
      <w:r w:rsidRPr="00404882">
        <w:rPr>
          <w:rFonts w:ascii="Times New Roman" w:eastAsia="Times New Roman" w:hAnsi="Times New Roman"/>
          <w:sz w:val="24"/>
          <w:szCs w:val="24"/>
          <w:lang w:val="sr-Cyrl-RS"/>
        </w:rPr>
        <w:t xml:space="preserve"> Закона о </w:t>
      </w:r>
      <w:r w:rsidR="00F82951">
        <w:rPr>
          <w:rFonts w:ascii="Times New Roman" w:eastAsia="Times New Roman" w:hAnsi="Times New Roman"/>
          <w:sz w:val="24"/>
          <w:szCs w:val="24"/>
          <w:lang w:val="sr-Cyrl-RS"/>
        </w:rPr>
        <w:t>управљању отпадом</w:t>
      </w:r>
      <w:r w:rsidRPr="00404882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F82951" w:rsidRPr="00825446">
        <w:rPr>
          <w:rFonts w:ascii="Times New Roman" w:hAnsi="Times New Roman"/>
          <w:sz w:val="24"/>
          <w:szCs w:val="24"/>
          <w:lang w:val="sr-Cyrl-RS"/>
        </w:rPr>
        <w:t>(„Службени гласник РС</w:t>
      </w:r>
      <w:r w:rsidR="00F07EDF" w:rsidRPr="00F07EDF">
        <w:rPr>
          <w:rFonts w:ascii="Times New Roman" w:eastAsia="Times New Roman" w:hAnsi="Times New Roman"/>
          <w:sz w:val="24"/>
          <w:lang w:val="sr-Cyrl-CS"/>
        </w:rPr>
        <w:t>”</w:t>
      </w:r>
      <w:r w:rsidR="00F82951" w:rsidRPr="00825446">
        <w:rPr>
          <w:rFonts w:ascii="Times New Roman" w:hAnsi="Times New Roman"/>
          <w:sz w:val="24"/>
          <w:szCs w:val="24"/>
          <w:lang w:val="sr-Cyrl-RS"/>
        </w:rPr>
        <w:t xml:space="preserve">, бр. 36/09, 88/10, 14/16, 95/18 - др. </w:t>
      </w:r>
      <w:r w:rsidR="00F82951">
        <w:rPr>
          <w:rFonts w:ascii="Times New Roman" w:hAnsi="Times New Roman"/>
          <w:sz w:val="24"/>
          <w:szCs w:val="24"/>
          <w:lang w:val="sr-Cyrl-RS"/>
        </w:rPr>
        <w:t>закон и 35/23</w:t>
      </w:r>
      <w:r w:rsidR="00F82951" w:rsidRPr="00825446">
        <w:rPr>
          <w:rFonts w:ascii="Times New Roman" w:hAnsi="Times New Roman"/>
          <w:sz w:val="24"/>
          <w:szCs w:val="24"/>
          <w:lang w:val="sr-Cyrl-RS"/>
        </w:rPr>
        <w:t>)</w:t>
      </w:r>
      <w:r w:rsidR="00F07EDF">
        <w:rPr>
          <w:rFonts w:ascii="Times New Roman" w:eastAsia="Times New Roman" w:hAnsi="Times New Roman"/>
          <w:sz w:val="24"/>
          <w:szCs w:val="24"/>
          <w:lang w:val="sr-Cyrl-RS"/>
        </w:rPr>
        <w:t xml:space="preserve"> и</w:t>
      </w:r>
      <w:r w:rsidR="00F8695D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r w:rsidR="00F8695D">
        <w:rPr>
          <w:rFonts w:ascii="Times New Roman" w:eastAsia="Times New Roman" w:hAnsi="Times New Roman"/>
          <w:sz w:val="24"/>
          <w:szCs w:val="24"/>
          <w:lang w:val="sr-Cyrl-RS"/>
        </w:rPr>
        <w:t>члана 17. став 1. и</w:t>
      </w:r>
      <w:r w:rsidRPr="00404882">
        <w:rPr>
          <w:rFonts w:ascii="Times New Roman" w:eastAsia="Times New Roman" w:hAnsi="Times New Roman"/>
          <w:sz w:val="24"/>
          <w:szCs w:val="24"/>
          <w:lang w:val="sr-Cyrl-RS"/>
        </w:rPr>
        <w:t xml:space="preserve"> члана 42. став 1. Закона о Влади </w:t>
      </w:r>
      <w:r w:rsidRPr="00404882">
        <w:rPr>
          <w:rFonts w:ascii="Times New Roman" w:hAnsi="Times New Roman"/>
          <w:noProof/>
          <w:sz w:val="24"/>
          <w:szCs w:val="24"/>
          <w:lang w:val="sr-Cyrl-RS"/>
        </w:rPr>
        <w:t>(</w:t>
      </w:r>
      <w:r w:rsidRPr="00404882">
        <w:rPr>
          <w:rFonts w:ascii="Times New Roman" w:eastAsia="Times New Roman" w:hAnsi="Times New Roman"/>
          <w:sz w:val="24"/>
          <w:szCs w:val="24"/>
          <w:lang w:val="sr-Cyrl-RS"/>
        </w:rPr>
        <w:t>„Службени гласник РС”, бр. 55/05, 71/05</w:t>
      </w:r>
      <w:r w:rsidR="00F07EDF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04882">
        <w:rPr>
          <w:rFonts w:ascii="Times New Roman" w:eastAsia="Times New Roman" w:hAnsi="Times New Roman"/>
          <w:sz w:val="24"/>
          <w:szCs w:val="24"/>
          <w:lang w:val="sr-Cyrl-RS"/>
        </w:rPr>
        <w:t>-</w:t>
      </w:r>
      <w:r w:rsidR="00F07EDF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04882">
        <w:rPr>
          <w:rFonts w:ascii="Times New Roman" w:eastAsia="Times New Roman" w:hAnsi="Times New Roman"/>
          <w:sz w:val="24"/>
          <w:szCs w:val="24"/>
          <w:lang w:val="sr-Cyrl-RS"/>
        </w:rPr>
        <w:t>исправка, 101/07, 65/08, 16/11, 68/12</w:t>
      </w:r>
      <w:r w:rsidR="00F07EDF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04882">
        <w:rPr>
          <w:rFonts w:ascii="Times New Roman" w:eastAsia="Times New Roman" w:hAnsi="Times New Roman"/>
          <w:sz w:val="24"/>
          <w:szCs w:val="24"/>
          <w:lang w:val="sr-Cyrl-RS"/>
        </w:rPr>
        <w:t>-</w:t>
      </w:r>
      <w:r w:rsidR="00F07EDF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04882">
        <w:rPr>
          <w:rFonts w:ascii="Times New Roman" w:eastAsia="Times New Roman" w:hAnsi="Times New Roman"/>
          <w:sz w:val="24"/>
          <w:szCs w:val="24"/>
          <w:lang w:val="sr-Cyrl-RS"/>
        </w:rPr>
        <w:t>УС, 72/12, 7/14</w:t>
      </w:r>
      <w:r w:rsidR="00F07EDF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04882">
        <w:rPr>
          <w:rFonts w:ascii="Times New Roman" w:eastAsia="Times New Roman" w:hAnsi="Times New Roman"/>
          <w:sz w:val="24"/>
          <w:szCs w:val="24"/>
          <w:lang w:val="sr-Cyrl-RS"/>
        </w:rPr>
        <w:t>-</w:t>
      </w:r>
      <w:r w:rsidR="00F07EDF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04882">
        <w:rPr>
          <w:rFonts w:ascii="Times New Roman" w:eastAsia="Times New Roman" w:hAnsi="Times New Roman"/>
          <w:sz w:val="24"/>
          <w:szCs w:val="24"/>
          <w:lang w:val="sr-Cyrl-RS"/>
        </w:rPr>
        <w:t>УС, 44/14 и 30/18</w:t>
      </w:r>
      <w:r w:rsidR="00F07EDF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04882">
        <w:rPr>
          <w:rFonts w:ascii="Times New Roman" w:eastAsia="Times New Roman" w:hAnsi="Times New Roman"/>
          <w:sz w:val="24"/>
          <w:szCs w:val="24"/>
          <w:lang w:val="sr-Cyrl-RS"/>
        </w:rPr>
        <w:t>-</w:t>
      </w:r>
      <w:r w:rsidR="00F07EDF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404882">
        <w:rPr>
          <w:rFonts w:ascii="Times New Roman" w:eastAsia="Times New Roman" w:hAnsi="Times New Roman"/>
          <w:sz w:val="24"/>
          <w:szCs w:val="24"/>
          <w:lang w:val="sr-Cyrl-RS"/>
        </w:rPr>
        <w:t>др. закон</w:t>
      </w:r>
      <w:r w:rsidRPr="00404882">
        <w:rPr>
          <w:rFonts w:ascii="Times New Roman" w:hAnsi="Times New Roman"/>
          <w:noProof/>
          <w:sz w:val="24"/>
          <w:szCs w:val="24"/>
          <w:lang w:val="sr-Cyrl-RS"/>
        </w:rPr>
        <w:t>)</w:t>
      </w:r>
      <w:r w:rsidRPr="00404882">
        <w:rPr>
          <w:rFonts w:ascii="Times New Roman" w:eastAsia="Times New Roman" w:hAnsi="Times New Roman"/>
          <w:sz w:val="24"/>
          <w:szCs w:val="24"/>
          <w:lang w:val="sr-Cyrl-RS"/>
        </w:rPr>
        <w:t>,</w:t>
      </w:r>
      <w:r w:rsidR="004731A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p w14:paraId="5007B76A" w14:textId="77777777" w:rsidR="00404882" w:rsidRPr="00404882" w:rsidRDefault="00404882" w:rsidP="00404882">
      <w:pPr>
        <w:spacing w:after="0" w:line="240" w:lineRule="auto"/>
        <w:ind w:right="375"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53144E33" w14:textId="77777777" w:rsidR="00404882" w:rsidRDefault="00404882" w:rsidP="00404882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404882">
        <w:rPr>
          <w:rFonts w:ascii="Times New Roman" w:eastAsia="Times New Roman" w:hAnsi="Times New Roman"/>
          <w:sz w:val="24"/>
          <w:szCs w:val="24"/>
          <w:lang w:val="sr-Cyrl-RS"/>
        </w:rPr>
        <w:t>Влада доноси</w:t>
      </w:r>
      <w:bookmarkEnd w:id="0"/>
    </w:p>
    <w:p w14:paraId="76690E04" w14:textId="77777777" w:rsidR="00F82951" w:rsidRDefault="00F82951" w:rsidP="00404882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1F031078" w14:textId="3E190545" w:rsidR="00F82951" w:rsidRPr="00F07EDF" w:rsidRDefault="00F82951" w:rsidP="00F82951">
      <w:pPr>
        <w:pStyle w:val="Normal1"/>
        <w:shd w:val="clear" w:color="auto" w:fill="FFFFFF"/>
        <w:spacing w:before="0" w:beforeAutospacing="0" w:after="150" w:afterAutospacing="0"/>
        <w:jc w:val="center"/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</w:pPr>
      <w:r w:rsidRPr="00F07EDF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>У</w:t>
      </w:r>
      <w:r w:rsidR="00F07EDF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 xml:space="preserve"> </w:t>
      </w:r>
      <w:r w:rsidRPr="00F07EDF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>Р</w:t>
      </w:r>
      <w:r w:rsidR="00F07EDF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 xml:space="preserve"> </w:t>
      </w:r>
      <w:r w:rsidRPr="00F07EDF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>Е</w:t>
      </w:r>
      <w:r w:rsidR="00F07EDF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 xml:space="preserve"> </w:t>
      </w:r>
      <w:r w:rsidRPr="00F07EDF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>Д</w:t>
      </w:r>
      <w:r w:rsidR="00F07EDF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 xml:space="preserve"> </w:t>
      </w:r>
      <w:r w:rsidRPr="00F07EDF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>Б</w:t>
      </w:r>
      <w:r w:rsidR="00F07EDF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 xml:space="preserve"> </w:t>
      </w:r>
      <w:r w:rsidRPr="00F07EDF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>У</w:t>
      </w:r>
    </w:p>
    <w:p w14:paraId="10F8F169" w14:textId="321370F7" w:rsidR="00F82951" w:rsidRPr="00F07EDF" w:rsidRDefault="00F82951" w:rsidP="00F82951">
      <w:pPr>
        <w:pStyle w:val="Normal1"/>
        <w:shd w:val="clear" w:color="auto" w:fill="FFFFFF"/>
        <w:spacing w:before="0" w:beforeAutospacing="0" w:after="150" w:afterAutospacing="0"/>
        <w:jc w:val="center"/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</w:pPr>
      <w:r w:rsidRPr="00F07EDF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>О ВРСТИ ФИНАНСИЈСКИХ ГАРАНЦИЈА И ЕКВИВАЛЕНТНОГ ОСИГУРАЊА КОЈИМ СЕ ОБЕЗБЕЂУЈЕ ОБАВЉАЊЕ ДЕЛАТНОСТИ УПРАВЉАЊА ОТПАДОМ</w:t>
      </w:r>
    </w:p>
    <w:p w14:paraId="74AFD5A8" w14:textId="77777777" w:rsidR="00F82951" w:rsidRPr="00404882" w:rsidRDefault="00F82951" w:rsidP="00404882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06BAAF20" w14:textId="77777777" w:rsidR="00404882" w:rsidRPr="00404882" w:rsidRDefault="00404882" w:rsidP="00F82951">
      <w:pPr>
        <w:spacing w:line="240" w:lineRule="auto"/>
        <w:contextualSpacing/>
        <w:rPr>
          <w:rFonts w:ascii="Times New Roman" w:hAnsi="Times New Roman"/>
          <w:sz w:val="24"/>
          <w:szCs w:val="24"/>
          <w:lang w:val="sr-Cyrl-RS"/>
        </w:rPr>
      </w:pPr>
      <w:r w:rsidRPr="00404882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42DD1420" w14:textId="70777EF3" w:rsidR="00404882" w:rsidRDefault="00404882" w:rsidP="00404882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404882">
        <w:rPr>
          <w:rFonts w:ascii="Times New Roman" w:eastAsia="Times New Roman" w:hAnsi="Times New Roman"/>
          <w:sz w:val="24"/>
          <w:szCs w:val="24"/>
          <w:lang w:val="sr-Cyrl-RS" w:eastAsia="en-GB"/>
        </w:rPr>
        <w:t>Члан 1.</w:t>
      </w:r>
    </w:p>
    <w:p w14:paraId="4E630063" w14:textId="77777777" w:rsidR="00AA0B04" w:rsidRPr="00AA0B04" w:rsidRDefault="00AA0B04" w:rsidP="0040488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sr-Cyrl-RS" w:eastAsia="en-GB"/>
        </w:rPr>
      </w:pPr>
    </w:p>
    <w:p w14:paraId="6D954E9E" w14:textId="4B324416" w:rsidR="006F52EF" w:rsidRDefault="00404882" w:rsidP="006F52E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F8295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Овом уредбом </w:t>
      </w:r>
      <w:r w:rsidR="00F1419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утврђују </w:t>
      </w:r>
      <w:r w:rsidR="00C86440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се </w:t>
      </w:r>
      <w:r w:rsidR="006F52EF" w:rsidRPr="004731A8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врсте финансијских гаранција и еквивалентног осигурања којим се обезбеђује обављање делатности управљања отпадом (сакупљање, транспорт, </w:t>
      </w:r>
      <w:r w:rsidR="00F1419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третман </w:t>
      </w:r>
      <w:r w:rsidR="006F52EF" w:rsidRPr="004731A8">
        <w:rPr>
          <w:rFonts w:ascii="Times New Roman" w:eastAsia="Times New Roman" w:hAnsi="Times New Roman"/>
          <w:sz w:val="24"/>
          <w:szCs w:val="24"/>
          <w:lang w:val="sr-Cyrl-RS" w:eastAsia="en-GB"/>
        </w:rPr>
        <w:t>складиштење, поновно искоришћење</w:t>
      </w:r>
      <w:r w:rsidR="00521FD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, </w:t>
      </w:r>
      <w:r w:rsidR="006F52EF" w:rsidRPr="004731A8">
        <w:rPr>
          <w:rFonts w:ascii="Times New Roman" w:eastAsia="Times New Roman" w:hAnsi="Times New Roman"/>
          <w:sz w:val="24"/>
          <w:szCs w:val="24"/>
          <w:lang w:val="sr-Cyrl-RS" w:eastAsia="en-GB"/>
        </w:rPr>
        <w:t>одлагање отпада и прекогранично кретањ</w:t>
      </w:r>
      <w:r w:rsidR="00521FD7">
        <w:rPr>
          <w:rFonts w:ascii="Times New Roman" w:eastAsia="Times New Roman" w:hAnsi="Times New Roman"/>
          <w:sz w:val="24"/>
          <w:szCs w:val="24"/>
          <w:lang w:val="sr-Cyrl-RS" w:eastAsia="en-GB"/>
        </w:rPr>
        <w:t>е</w:t>
      </w:r>
      <w:r w:rsidR="006F52EF" w:rsidRPr="004731A8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отпада, трговина и посредништво), издаваоц</w:t>
      </w:r>
      <w:r w:rsidR="00F14197">
        <w:rPr>
          <w:rFonts w:ascii="Times New Roman" w:eastAsia="Times New Roman" w:hAnsi="Times New Roman"/>
          <w:sz w:val="24"/>
          <w:szCs w:val="24"/>
          <w:lang w:val="sr-Cyrl-RS" w:eastAsia="en-GB"/>
        </w:rPr>
        <w:t>и</w:t>
      </w:r>
      <w:r w:rsidR="006F52EF" w:rsidRPr="004731A8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и корисни</w:t>
      </w:r>
      <w:r w:rsidR="00F14197">
        <w:rPr>
          <w:rFonts w:ascii="Times New Roman" w:eastAsia="Times New Roman" w:hAnsi="Times New Roman"/>
          <w:sz w:val="24"/>
          <w:szCs w:val="24"/>
          <w:lang w:val="sr-Cyrl-RS" w:eastAsia="en-GB"/>
        </w:rPr>
        <w:t>ци</w:t>
      </w:r>
      <w:r w:rsidR="006F52EF" w:rsidRPr="004731A8">
        <w:rPr>
          <w:rFonts w:ascii="Times New Roman" w:eastAsia="Times New Roman" w:hAnsi="Times New Roman"/>
          <w:sz w:val="24"/>
          <w:szCs w:val="24"/>
          <w:lang w:val="sr-Cyrl-RS" w:eastAsia="en-GB"/>
        </w:rPr>
        <w:t>, садржин</w:t>
      </w:r>
      <w:r w:rsidR="00F14197"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="006F52EF" w:rsidRPr="004731A8">
        <w:rPr>
          <w:rFonts w:ascii="Times New Roman" w:eastAsia="Times New Roman" w:hAnsi="Times New Roman"/>
          <w:sz w:val="24"/>
          <w:szCs w:val="24"/>
          <w:lang w:val="sr-Cyrl-RS" w:eastAsia="en-GB"/>
        </w:rPr>
        <w:t>, услов</w:t>
      </w:r>
      <w:r w:rsidR="00F14197">
        <w:rPr>
          <w:rFonts w:ascii="Times New Roman" w:eastAsia="Times New Roman" w:hAnsi="Times New Roman"/>
          <w:sz w:val="24"/>
          <w:szCs w:val="24"/>
          <w:lang w:val="sr-Cyrl-RS" w:eastAsia="en-GB"/>
        </w:rPr>
        <w:t>и</w:t>
      </w:r>
      <w:r w:rsidR="006F52EF" w:rsidRPr="004731A8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издавања, коришћењ</w:t>
      </w:r>
      <w:r w:rsidR="00F14197"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="006F52EF" w:rsidRPr="004731A8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и повлачењ</w:t>
      </w:r>
      <w:r w:rsidR="00F14197"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="006F52EF" w:rsidRPr="004731A8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средстав</w:t>
      </w:r>
      <w:r w:rsidR="006F52EF">
        <w:rPr>
          <w:rFonts w:ascii="Times New Roman" w:eastAsia="Times New Roman" w:hAnsi="Times New Roman"/>
          <w:sz w:val="24"/>
          <w:szCs w:val="24"/>
          <w:lang w:val="sr-Cyrl-RS" w:eastAsia="en-GB"/>
        </w:rPr>
        <w:t>а обезбеђења, поступак извршења и</w:t>
      </w:r>
      <w:r w:rsidR="006F52EF" w:rsidRPr="004731A8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F67177">
        <w:rPr>
          <w:rFonts w:ascii="Times New Roman" w:eastAsia="Times New Roman" w:hAnsi="Times New Roman"/>
          <w:sz w:val="24"/>
          <w:szCs w:val="24"/>
          <w:lang w:val="sr-Cyrl-RS" w:eastAsia="en-GB"/>
        </w:rPr>
        <w:t>елемент</w:t>
      </w:r>
      <w:r w:rsidR="00F14197">
        <w:rPr>
          <w:rFonts w:ascii="Times New Roman" w:eastAsia="Times New Roman" w:hAnsi="Times New Roman"/>
          <w:sz w:val="24"/>
          <w:szCs w:val="24"/>
          <w:lang w:val="sr-Cyrl-RS" w:eastAsia="en-GB"/>
        </w:rPr>
        <w:t>и</w:t>
      </w:r>
      <w:r w:rsidR="00F6717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за утврђивање</w:t>
      </w:r>
      <w:r w:rsidR="00F14197">
        <w:rPr>
          <w:rFonts w:ascii="Times New Roman" w:eastAsia="Times New Roman" w:hAnsi="Times New Roman"/>
          <w:sz w:val="24"/>
          <w:szCs w:val="24"/>
          <w:lang w:val="sr-Latn-RS" w:eastAsia="en-GB"/>
        </w:rPr>
        <w:t xml:space="preserve"> </w:t>
      </w:r>
      <w:r w:rsidR="00F14197">
        <w:rPr>
          <w:rFonts w:ascii="Times New Roman" w:eastAsia="Times New Roman" w:hAnsi="Times New Roman"/>
          <w:sz w:val="24"/>
          <w:szCs w:val="24"/>
          <w:lang w:val="sr-Cyrl-RS" w:eastAsia="en-GB"/>
        </w:rPr>
        <w:t>висине и</w:t>
      </w:r>
      <w:r w:rsidR="00F6717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6F52EF" w:rsidRPr="004731A8">
        <w:rPr>
          <w:rFonts w:ascii="Times New Roman" w:eastAsia="Times New Roman" w:hAnsi="Times New Roman"/>
          <w:sz w:val="24"/>
          <w:szCs w:val="24"/>
          <w:lang w:val="sr-Cyrl-RS" w:eastAsia="en-GB"/>
        </w:rPr>
        <w:t>начин обрачуна</w:t>
      </w:r>
      <w:r w:rsidR="006F52EF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2C5ECE6F" w14:textId="77777777" w:rsidR="004731A8" w:rsidRDefault="004731A8" w:rsidP="0040488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6B3625F9" w14:textId="77777777" w:rsidR="006F52EF" w:rsidRDefault="006F52EF" w:rsidP="002679F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15D0AC32" w14:textId="2400D865" w:rsidR="002679F1" w:rsidRDefault="002679F1" w:rsidP="002679F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404882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Члан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2</w:t>
      </w:r>
      <w:r w:rsidRPr="00404882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430D63D5" w14:textId="77777777" w:rsidR="004F70D9" w:rsidRDefault="004F70D9" w:rsidP="002679F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0F6EAAF1" w14:textId="60379858" w:rsidR="007D26D3" w:rsidRDefault="007D26D3" w:rsidP="008D10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7D26D3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Изрази који се користе у </w:t>
      </w:r>
      <w:r w:rsidR="00F61C5C">
        <w:rPr>
          <w:rFonts w:ascii="Times New Roman" w:eastAsia="Times New Roman" w:hAnsi="Times New Roman"/>
          <w:sz w:val="24"/>
          <w:szCs w:val="24"/>
          <w:lang w:val="sr-Cyrl-RS" w:eastAsia="en-GB"/>
        </w:rPr>
        <w:t>овој уредби имају следеће значењ</w:t>
      </w:r>
      <w:r w:rsidRPr="007D26D3">
        <w:rPr>
          <w:rFonts w:ascii="Times New Roman" w:eastAsia="Times New Roman" w:hAnsi="Times New Roman"/>
          <w:sz w:val="24"/>
          <w:szCs w:val="24"/>
          <w:lang w:val="sr-Cyrl-RS" w:eastAsia="en-GB"/>
        </w:rPr>
        <w:t>е:</w:t>
      </w:r>
    </w:p>
    <w:p w14:paraId="4FDC5F8E" w14:textId="77777777" w:rsidR="00F61C5C" w:rsidRPr="00F61C5C" w:rsidRDefault="00F61C5C" w:rsidP="008D10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14"/>
          <w:szCs w:val="24"/>
          <w:lang w:val="sr-Cyrl-RS" w:eastAsia="en-GB"/>
        </w:rPr>
      </w:pPr>
    </w:p>
    <w:p w14:paraId="7315FCD7" w14:textId="45F955F5" w:rsidR="00AD2A00" w:rsidRPr="00F07EDF" w:rsidRDefault="00407022" w:rsidP="00F07EDF">
      <w:pPr>
        <w:pStyle w:val="ListParagraph"/>
        <w:numPr>
          <w:ilvl w:val="0"/>
          <w:numId w:val="21"/>
        </w:numPr>
        <w:tabs>
          <w:tab w:val="left" w:pos="1080"/>
        </w:tabs>
        <w:spacing w:after="0" w:line="240" w:lineRule="auto"/>
        <w:ind w:left="90" w:firstLine="63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ф</w:t>
      </w:r>
      <w:r w:rsidR="00AD2A00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инансијска гаранција</w:t>
      </w:r>
      <w:r w:rsidR="002A28DE" w:rsidRPr="00F07EDF">
        <w:rPr>
          <w:rFonts w:ascii="Times New Roman" w:eastAsia="Times New Roman" w:hAnsi="Times New Roman"/>
          <w:sz w:val="24"/>
          <w:szCs w:val="24"/>
          <w:lang w:val="en-US" w:eastAsia="en-GB"/>
        </w:rPr>
        <w:t xml:space="preserve"> </w:t>
      </w:r>
      <w:r w:rsidR="002A28DE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јесте финансијска гаранција банке или полиса</w:t>
      </w:r>
      <w:r w:rsidR="00F07EDF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2A28DE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осигурања</w:t>
      </w:r>
      <w:r w:rsidR="00AD2A00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којом се осигурава делатност управљања отпадом;</w:t>
      </w:r>
    </w:p>
    <w:p w14:paraId="6B4E9337" w14:textId="6E3D82FF" w:rsidR="00AB5107" w:rsidRPr="00F07EDF" w:rsidRDefault="00A82967" w:rsidP="00F07EDF">
      <w:pPr>
        <w:pStyle w:val="ListParagraph"/>
        <w:numPr>
          <w:ilvl w:val="0"/>
          <w:numId w:val="2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к</w:t>
      </w:r>
      <w:r w:rsidR="00AB5107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орисник </w:t>
      </w:r>
      <w:r w:rsidR="00F14197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финансијске г</w:t>
      </w:r>
      <w:r w:rsidR="00AB5107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аранције</w:t>
      </w:r>
      <w:r w:rsidR="00F14197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банке</w:t>
      </w:r>
      <w:r w:rsidR="00AB5107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јесте огран надлежан за издавање</w:t>
      </w:r>
      <w:r w:rsidR="00F07EDF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AB5107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дозволе за сакупљање</w:t>
      </w:r>
      <w:r w:rsidR="004E4541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, </w:t>
      </w:r>
      <w:r w:rsidR="00AB5107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транспорт,</w:t>
      </w:r>
      <w:r w:rsidR="00F14197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третман </w:t>
      </w:r>
      <w:r w:rsidR="00AB5107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складиштење, поновно искоришћење, одлагање отпада и прекогранично кретање отпада, односно орган надлежан за издавање потврде </w:t>
      </w:r>
      <w:r w:rsidR="005A6C3F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за обављање делатности трговине и посредништва;</w:t>
      </w:r>
      <w:r w:rsidR="00AB5107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</w:p>
    <w:p w14:paraId="7F2B0C63" w14:textId="2644E7CD" w:rsidR="00AB5107" w:rsidRPr="00F07EDF" w:rsidRDefault="00A82967" w:rsidP="00F07EDF">
      <w:pPr>
        <w:pStyle w:val="ListParagraph"/>
        <w:numPr>
          <w:ilvl w:val="0"/>
          <w:numId w:val="2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н</w:t>
      </w:r>
      <w:r w:rsidR="00AB5107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алогодавац јесте правно лице или предузетник које је носилац дозволе за </w:t>
      </w:r>
      <w:r w:rsidR="005A6C3F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сакупљање</w:t>
      </w:r>
      <w:r w:rsidR="004E4541" w:rsidRPr="00F07EDF">
        <w:rPr>
          <w:rFonts w:ascii="Times New Roman" w:eastAsia="Times New Roman" w:hAnsi="Times New Roman"/>
          <w:sz w:val="24"/>
          <w:szCs w:val="24"/>
          <w:lang w:eastAsia="en-GB"/>
        </w:rPr>
        <w:t>,</w:t>
      </w:r>
      <w:r w:rsidR="005A6C3F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транспорт, </w:t>
      </w:r>
      <w:r w:rsidR="00F041E9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третман </w:t>
      </w:r>
      <w:r w:rsidR="005A6C3F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складиштење, поновно искоришћење, одлагање отпада и прекогранично кретање отпада</w:t>
      </w:r>
      <w:r w:rsidR="00AB5107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, односно</w:t>
      </w:r>
      <w:r w:rsidR="004F70D9" w:rsidRPr="00F07EDF">
        <w:rPr>
          <w:rFonts w:ascii="Times New Roman" w:eastAsia="Times New Roman" w:hAnsi="Times New Roman"/>
          <w:sz w:val="24"/>
          <w:szCs w:val="24"/>
          <w:lang w:val="sr-Latn-RS" w:eastAsia="en-GB"/>
        </w:rPr>
        <w:t xml:space="preserve"> </w:t>
      </w:r>
      <w:r w:rsidR="005A6C3F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правно лице или предузетник </w:t>
      </w:r>
      <w:r w:rsidR="00AB5107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који је уписан у регистар тргов</w:t>
      </w:r>
      <w:r w:rsidR="005A6C3F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="000D53B5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ца или посредника </w:t>
      </w:r>
      <w:r w:rsidR="0054603F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(</w:t>
      </w:r>
      <w:r w:rsidR="000D53B5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у случају када преузимају отпад у посед</w:t>
      </w:r>
      <w:r w:rsidR="0054603F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)</w:t>
      </w:r>
      <w:r w:rsidR="005A6C3F" w:rsidRPr="00F07EDF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31873D68" w14:textId="610937C2" w:rsidR="00AB5107" w:rsidRPr="00EF1C6B" w:rsidRDefault="00F14197" w:rsidP="00EF1C6B">
      <w:pPr>
        <w:pStyle w:val="ListParagraph"/>
        <w:numPr>
          <w:ilvl w:val="0"/>
          <w:numId w:val="21"/>
        </w:numPr>
        <w:tabs>
          <w:tab w:val="left" w:pos="81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финансијск</w:t>
      </w:r>
      <w:r w:rsidR="002A28DE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гаранциј</w:t>
      </w:r>
      <w:r w:rsidR="002A28DE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банке </w:t>
      </w:r>
      <w:r w:rsidR="002A28DE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јесте </w:t>
      </w:r>
      <w:r w:rsidR="00AB510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инструмент обезбеђења којим банка</w:t>
      </w:r>
      <w:r w:rsidR="00EF1C6B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AB510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преузима обавезу да на позив корисника гаранције изврши плаћања до износа </w:t>
      </w:r>
      <w:r w:rsidR="00973060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AB510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назначеног на гаранцији</w:t>
      </w:r>
      <w:r w:rsidR="00973060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на основу захтева корисника гаранције;</w:t>
      </w:r>
    </w:p>
    <w:p w14:paraId="48A3870E" w14:textId="3F8096BB" w:rsidR="00681E4D" w:rsidRPr="00EF1C6B" w:rsidRDefault="00681E4D" w:rsidP="00EF1C6B">
      <w:pPr>
        <w:pStyle w:val="ListParagraph"/>
        <w:numPr>
          <w:ilvl w:val="0"/>
          <w:numId w:val="2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осигурање јесте врста гаранције којом се дефинишу врсте штете за које је на основу уговора о осигурању уговарач осигурања дужан да плати одређени износ – премију осигурања друштву за осигурање, а друштво за осигурање се обавезује да исплати накнаду штете осигуранику или кориснику осигурања у случају остварења осигураног случаја</w:t>
      </w:r>
      <w:r w:rsidR="00C03E9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6B5E9B1A" w14:textId="49649490" w:rsidR="00AB5107" w:rsidRPr="00EF1C6B" w:rsidRDefault="00A82967" w:rsidP="00EF1C6B">
      <w:pPr>
        <w:pStyle w:val="ListParagraph"/>
        <w:numPr>
          <w:ilvl w:val="0"/>
          <w:numId w:val="21"/>
        </w:numPr>
        <w:tabs>
          <w:tab w:val="left" w:pos="1080"/>
        </w:tabs>
        <w:spacing w:after="0" w:line="240" w:lineRule="auto"/>
        <w:ind w:left="90" w:firstLine="63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у</w:t>
      </w:r>
      <w:r w:rsidR="00AB510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говарач осигурања јесте правно лице или предузетник које је носилац дозволе за сакупљање</w:t>
      </w:r>
      <w:r w:rsidR="004E4541" w:rsidRPr="00EF1C6B">
        <w:rPr>
          <w:rFonts w:ascii="Times New Roman" w:eastAsia="Times New Roman" w:hAnsi="Times New Roman"/>
          <w:sz w:val="24"/>
          <w:szCs w:val="24"/>
          <w:lang w:eastAsia="en-GB"/>
        </w:rPr>
        <w:t>,</w:t>
      </w:r>
      <w:r w:rsidR="00450853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AB510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транспорт, </w:t>
      </w:r>
      <w:r w:rsidR="004F70D9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третман </w:t>
      </w:r>
      <w:r w:rsidR="00450853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складиштење, </w:t>
      </w:r>
      <w:r w:rsidR="00AB510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поновно искоришћење</w:t>
      </w:r>
      <w:r w:rsidR="00450853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, </w:t>
      </w:r>
      <w:r w:rsidR="00AB510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одлагање отпада и прекогранично кретањ</w:t>
      </w:r>
      <w:r w:rsidR="00450853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е</w:t>
      </w:r>
      <w:r w:rsidR="00AB510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отпада, односно </w:t>
      </w:r>
      <w:r w:rsidR="009A44F1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правно лице или предузетник </w:t>
      </w:r>
      <w:r w:rsidR="00AB510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који је уписан у регистар трговца или посредника</w:t>
      </w:r>
      <w:r w:rsidR="009A44F1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012A5CB3" w14:textId="5ECCFFD4" w:rsidR="005A6C3F" w:rsidRPr="00EF1C6B" w:rsidRDefault="00EF1C6B" w:rsidP="00EF1C6B">
      <w:pPr>
        <w:pStyle w:val="ListParagraph"/>
        <w:numPr>
          <w:ilvl w:val="0"/>
          <w:numId w:val="21"/>
        </w:numPr>
        <w:tabs>
          <w:tab w:val="left" w:pos="990"/>
        </w:tabs>
        <w:spacing w:after="0" w:line="240" w:lineRule="auto"/>
        <w:ind w:left="180" w:firstLine="54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lastRenderedPageBreak/>
        <w:t xml:space="preserve"> </w:t>
      </w:r>
      <w:r w:rsidR="00A8296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к</w:t>
      </w:r>
      <w:r w:rsidR="00AB510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орисник осигурања јесте огран надлежан за издавање дозволе за</w:t>
      </w:r>
      <w:r w:rsidR="00FB6E0E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AB510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сакупљање</w:t>
      </w:r>
      <w:r w:rsidR="00450853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и</w:t>
      </w:r>
      <w:r w:rsidR="00AB510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транспорт, </w:t>
      </w:r>
      <w:r w:rsidR="002A28DE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третман </w:t>
      </w:r>
      <w:r w:rsidR="00AB510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складиштење,</w:t>
      </w:r>
      <w:r w:rsidR="00450853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AB510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поновно искоришћење и одлагање отпада и прекогранично кретањ</w:t>
      </w:r>
      <w:r w:rsidR="00450853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е</w:t>
      </w:r>
      <w:r w:rsidR="00AB510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отпада,</w:t>
      </w:r>
      <w:r w:rsidR="0054603F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орган надлежан за издавање интегрисане дозволе за постројења и активности у управљању отпадом,</w:t>
      </w:r>
      <w:r w:rsidR="00AB5107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450853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односно орган надлежан за издавање потврде за обављање делатности трговине и посредништва;</w:t>
      </w:r>
    </w:p>
    <w:p w14:paraId="452E04C9" w14:textId="552FB836" w:rsidR="004F70D9" w:rsidRDefault="004F70D9" w:rsidP="00681E4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издавалац финансијске гаранције банке је банка;</w:t>
      </w:r>
    </w:p>
    <w:p w14:paraId="6A0A3046" w14:textId="77777777" w:rsidR="002A28DE" w:rsidRDefault="004F70D9" w:rsidP="00681E4D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издавалац полисе осигурања је осигуравају</w:t>
      </w:r>
      <w:r w:rsidR="002A28DE">
        <w:rPr>
          <w:rFonts w:ascii="Times New Roman" w:eastAsia="Times New Roman" w:hAnsi="Times New Roman"/>
          <w:sz w:val="24"/>
          <w:szCs w:val="24"/>
          <w:lang w:val="sr-Cyrl-RS" w:eastAsia="en-GB"/>
        </w:rPr>
        <w:t>ће друштво.</w:t>
      </w:r>
    </w:p>
    <w:p w14:paraId="772EB9AA" w14:textId="0383957B" w:rsidR="007D26D3" w:rsidRPr="00EB033D" w:rsidRDefault="004F70D9" w:rsidP="002A28DE">
      <w:pPr>
        <w:pStyle w:val="ListParagraph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</w:p>
    <w:p w14:paraId="450AEB7C" w14:textId="4D479C71" w:rsidR="00260735" w:rsidRDefault="00260735" w:rsidP="002607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4EC49DA0" w14:textId="747C6BCA" w:rsidR="00260735" w:rsidRDefault="00260735" w:rsidP="00800EBF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8D10A2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Члан 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>3</w:t>
      </w:r>
      <w:r w:rsidRPr="008D10A2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4C1897D3" w14:textId="23EAEE29" w:rsidR="00260735" w:rsidRDefault="00260735" w:rsidP="0026073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8D10A2">
        <w:rPr>
          <w:rFonts w:ascii="Times New Roman" w:eastAsia="Times New Roman" w:hAnsi="Times New Roman"/>
          <w:sz w:val="24"/>
          <w:szCs w:val="24"/>
          <w:lang w:val="sr-Cyrl-RS" w:eastAsia="en-GB"/>
        </w:rPr>
        <w:t>Финансијск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Pr="008D10A2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гаранциј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Pr="008D10A2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или еквивалентно осигурање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 подноси</w:t>
      </w:r>
      <w:r w:rsidR="004F70D9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се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надлежном органу у поступку подношења захтева за издавање </w:t>
      </w:r>
      <w:r w:rsidRPr="00AB5107">
        <w:rPr>
          <w:rFonts w:ascii="Times New Roman" w:eastAsia="Times New Roman" w:hAnsi="Times New Roman"/>
          <w:sz w:val="24"/>
          <w:szCs w:val="24"/>
          <w:lang w:val="sr-Cyrl-RS" w:eastAsia="en-GB"/>
        </w:rPr>
        <w:t>дозволе за сакупљање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и</w:t>
      </w:r>
      <w:r w:rsidRPr="00AB510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транспорт, </w:t>
      </w:r>
      <w:r w:rsidR="004F70D9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третман </w:t>
      </w:r>
      <w:r w:rsidRPr="00AB510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складиштење, поновно искоришћење, одлагање отпада и прекогранично кретање отпада, односно 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за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упис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у Р</w:t>
      </w:r>
      <w:r w:rsidRPr="00AB5107">
        <w:rPr>
          <w:rFonts w:ascii="Times New Roman" w:eastAsia="Times New Roman" w:hAnsi="Times New Roman"/>
          <w:sz w:val="24"/>
          <w:szCs w:val="24"/>
          <w:lang w:val="sr-Cyrl-RS" w:eastAsia="en-GB"/>
        </w:rPr>
        <w:t>егистар тргов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Pr="00AB5107">
        <w:rPr>
          <w:rFonts w:ascii="Times New Roman" w:eastAsia="Times New Roman" w:hAnsi="Times New Roman"/>
          <w:sz w:val="24"/>
          <w:szCs w:val="24"/>
          <w:lang w:val="sr-Cyrl-RS" w:eastAsia="en-GB"/>
        </w:rPr>
        <w:t>ца или посредника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у управљању отпадом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.</w:t>
      </w:r>
    </w:p>
    <w:p w14:paraId="66856339" w14:textId="06BF509F" w:rsidR="00260735" w:rsidRDefault="000D53B5" w:rsidP="002A28D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A174D7">
        <w:rPr>
          <w:rFonts w:ascii="Times New Roman" w:eastAsia="Times New Roman" w:hAnsi="Times New Roman"/>
          <w:sz w:val="24"/>
          <w:szCs w:val="24"/>
          <w:lang w:val="sr-Cyrl-RS" w:eastAsia="en-GB"/>
        </w:rPr>
        <w:t>Финансијска гаранција за постројења у управљању отпадом која подлежу обавези приба</w:t>
      </w:r>
      <w:r w:rsidR="00A174D7" w:rsidRPr="00A174D7">
        <w:rPr>
          <w:rFonts w:ascii="Times New Roman" w:eastAsia="Times New Roman" w:hAnsi="Times New Roman"/>
          <w:sz w:val="24"/>
          <w:szCs w:val="24"/>
          <w:lang w:val="sr-Cyrl-RS" w:eastAsia="en-GB"/>
        </w:rPr>
        <w:t>в</w:t>
      </w:r>
      <w:r w:rsidRPr="00A174D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љања интегрисане дозволе подносе се </w:t>
      </w:r>
      <w:r w:rsidR="00A174D7" w:rsidRPr="00A174D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надлежном органу за издавање интегрисане дозволе. Нова постројења су у обавези да финансијску гаранцију обезбеде у поступку подношења захтева за интегрисану дозволу. </w:t>
      </w:r>
    </w:p>
    <w:p w14:paraId="263C7F4A" w14:textId="56281EED" w:rsidR="00260735" w:rsidRPr="00EB6644" w:rsidRDefault="00260735" w:rsidP="0026073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8D10A2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Финансијску гаранцију или еквивалентно осигурање прибавља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оператер уписан у Регистар издатих дозвола </w:t>
      </w:r>
      <w:r w:rsidRPr="00AB5107">
        <w:rPr>
          <w:rFonts w:ascii="Times New Roman" w:eastAsia="Times New Roman" w:hAnsi="Times New Roman"/>
          <w:sz w:val="24"/>
          <w:szCs w:val="24"/>
          <w:lang w:val="sr-Cyrl-RS" w:eastAsia="en-GB"/>
        </w:rPr>
        <w:t>за сакупљање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, </w:t>
      </w:r>
      <w:r w:rsidRPr="00AB510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транспорт, 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>третма</w:t>
      </w:r>
      <w:r w:rsidR="002A28DE">
        <w:rPr>
          <w:rFonts w:ascii="Times New Roman" w:eastAsia="Times New Roman" w:hAnsi="Times New Roman"/>
          <w:sz w:val="24"/>
          <w:szCs w:val="24"/>
          <w:lang w:val="sr-Cyrl-RS" w:eastAsia="en-GB"/>
        </w:rPr>
        <w:t>н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Pr="00AB5107">
        <w:rPr>
          <w:rFonts w:ascii="Times New Roman" w:eastAsia="Times New Roman" w:hAnsi="Times New Roman"/>
          <w:sz w:val="24"/>
          <w:szCs w:val="24"/>
          <w:lang w:val="sr-Cyrl-RS" w:eastAsia="en-GB"/>
        </w:rPr>
        <w:t>складиштење, поновно искоришћење, одлагање отпада и прекогранично кретање отпада, односно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,</w:t>
      </w:r>
      <w:r w:rsidRPr="00AB510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правно лице или предузетник који је уписан у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Р</w:t>
      </w:r>
      <w:r w:rsidRPr="00AB5107">
        <w:rPr>
          <w:rFonts w:ascii="Times New Roman" w:eastAsia="Times New Roman" w:hAnsi="Times New Roman"/>
          <w:sz w:val="24"/>
          <w:szCs w:val="24"/>
          <w:lang w:val="sr-Cyrl-RS" w:eastAsia="en-GB"/>
        </w:rPr>
        <w:t>егистар тргов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Pr="00AB5107">
        <w:rPr>
          <w:rFonts w:ascii="Times New Roman" w:eastAsia="Times New Roman" w:hAnsi="Times New Roman"/>
          <w:sz w:val="24"/>
          <w:szCs w:val="24"/>
          <w:lang w:val="sr-Cyrl-RS" w:eastAsia="en-GB"/>
        </w:rPr>
        <w:t>ца или посредника</w:t>
      </w:r>
      <w:r w:rsidR="00A174D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(у</w:t>
      </w:r>
      <w:r w:rsidR="0054603F" w:rsidRPr="0054603F">
        <w:t xml:space="preserve"> </w:t>
      </w:r>
      <w:r w:rsidR="0054603F" w:rsidRPr="0054603F">
        <w:rPr>
          <w:rFonts w:ascii="Times New Roman" w:eastAsia="Times New Roman" w:hAnsi="Times New Roman"/>
          <w:sz w:val="24"/>
          <w:szCs w:val="24"/>
          <w:lang w:val="sr-Cyrl-RS" w:eastAsia="en-GB"/>
        </w:rPr>
        <w:t>случај</w:t>
      </w:r>
      <w:r w:rsidR="0054603F">
        <w:rPr>
          <w:rFonts w:ascii="Times New Roman" w:eastAsia="Times New Roman" w:hAnsi="Times New Roman"/>
          <w:sz w:val="24"/>
          <w:szCs w:val="24"/>
          <w:lang w:val="sr-Cyrl-RS" w:eastAsia="en-GB"/>
        </w:rPr>
        <w:t>у када преузимају отпад у посед)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у управљању отпадом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.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</w:p>
    <w:p w14:paraId="79EBFDD7" w14:textId="77777777" w:rsidR="00260735" w:rsidRDefault="00260735" w:rsidP="0026073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60B6573E" w14:textId="020991CB" w:rsidR="004D1701" w:rsidRDefault="004D1701" w:rsidP="0040488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0D2EE1E0" w14:textId="1F06A130" w:rsidR="00C77546" w:rsidRDefault="00A06547" w:rsidP="002A28DE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Члан 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>4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1F43F206" w14:textId="518D12DD" w:rsidR="00A06547" w:rsidRDefault="00EF1C6B" w:rsidP="00EF1C6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347F2A">
        <w:rPr>
          <w:rFonts w:ascii="Times New Roman" w:eastAsia="Times New Roman" w:hAnsi="Times New Roman"/>
          <w:sz w:val="24"/>
          <w:szCs w:val="24"/>
          <w:lang w:val="sr-Cyrl-RS" w:eastAsia="en-GB"/>
        </w:rPr>
        <w:t>Финансијска гаранција</w:t>
      </w:r>
      <w:r w:rsidR="00040B8E">
        <w:rPr>
          <w:rFonts w:ascii="Times New Roman" w:eastAsia="Times New Roman" w:hAnsi="Times New Roman"/>
          <w:sz w:val="24"/>
          <w:szCs w:val="24"/>
          <w:lang w:val="sr-Latn-RS" w:eastAsia="en-GB"/>
        </w:rPr>
        <w:t xml:space="preserve"> банке</w:t>
      </w:r>
      <w:r w:rsidR="00347F2A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садржи:</w:t>
      </w:r>
    </w:p>
    <w:p w14:paraId="4140833A" w14:textId="5176BD68" w:rsidR="003A35E9" w:rsidRPr="009A169F" w:rsidRDefault="003A35E9" w:rsidP="007C2D53">
      <w:pPr>
        <w:pStyle w:val="ListParagraph"/>
        <w:numPr>
          <w:ilvl w:val="0"/>
          <w:numId w:val="15"/>
        </w:numPr>
        <w:spacing w:after="0" w:line="240" w:lineRule="auto"/>
        <w:ind w:hanging="45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назив </w:t>
      </w:r>
      <w:r w:rsidR="0097495F" w:rsidRP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издаваоца 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финансијске гаранције </w:t>
      </w:r>
      <w:r w:rsidR="00C03E97">
        <w:rPr>
          <w:rFonts w:ascii="Times New Roman" w:eastAsia="Times New Roman" w:hAnsi="Times New Roman"/>
          <w:sz w:val="24"/>
          <w:szCs w:val="24"/>
          <w:lang w:val="sr-Cyrl-RS" w:eastAsia="en-GB"/>
        </w:rPr>
        <w:t>банке</w:t>
      </w:r>
      <w:r w:rsid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53A1EB61" w14:textId="2BD90C60" w:rsidR="00347F2A" w:rsidRDefault="00A74160" w:rsidP="00347F2A">
      <w:pPr>
        <w:pStyle w:val="ListParagraph"/>
        <w:numPr>
          <w:ilvl w:val="0"/>
          <w:numId w:val="15"/>
        </w:numPr>
        <w:spacing w:after="0" w:line="240" w:lineRule="auto"/>
        <w:ind w:hanging="447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назив налогодавца 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>финансијске гаранције банке</w:t>
      </w:r>
      <w:r w:rsid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13098242" w14:textId="0C4E9F4F" w:rsidR="003A35E9" w:rsidRDefault="003A35E9" w:rsidP="00347F2A">
      <w:pPr>
        <w:pStyle w:val="ListParagraph"/>
        <w:numPr>
          <w:ilvl w:val="0"/>
          <w:numId w:val="15"/>
        </w:numPr>
        <w:spacing w:after="0" w:line="240" w:lineRule="auto"/>
        <w:ind w:hanging="447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назив </w:t>
      </w:r>
      <w:r w:rsidR="00877AE3">
        <w:rPr>
          <w:rFonts w:ascii="Times New Roman" w:eastAsia="Times New Roman" w:hAnsi="Times New Roman"/>
          <w:sz w:val="24"/>
          <w:szCs w:val="24"/>
          <w:lang w:eastAsia="en-GB"/>
        </w:rPr>
        <w:t>корисник</w:t>
      </w:r>
      <w:r w:rsidR="00877AE3"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="00877AE3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>финансијске гаранције банке</w:t>
      </w:r>
      <w:r w:rsid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  <w:r w:rsidR="00877AE3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</w:p>
    <w:p w14:paraId="2F1F524D" w14:textId="5611920D" w:rsidR="00763A13" w:rsidRDefault="00763A13" w:rsidP="00347F2A">
      <w:pPr>
        <w:pStyle w:val="ListParagraph"/>
        <w:numPr>
          <w:ilvl w:val="0"/>
          <w:numId w:val="15"/>
        </w:numPr>
        <w:spacing w:after="0" w:line="240" w:lineRule="auto"/>
        <w:ind w:hanging="447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износ финансијске гар</w:t>
      </w:r>
      <w:r w:rsidR="0097495F"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нције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банке</w:t>
      </w:r>
      <w:r w:rsid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30511CDE" w14:textId="68420C36" w:rsidR="00763A13" w:rsidRDefault="00763A13" w:rsidP="00763A13">
      <w:pPr>
        <w:pStyle w:val="ListParagraph"/>
        <w:numPr>
          <w:ilvl w:val="0"/>
          <w:numId w:val="15"/>
        </w:numPr>
        <w:spacing w:after="0" w:line="240" w:lineRule="auto"/>
        <w:ind w:hanging="447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рок важења финансијске гар</w:t>
      </w:r>
      <w:r w:rsidR="0097495F"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нције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банке</w:t>
      </w:r>
      <w:r w:rsid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135C713F" w14:textId="008EC947" w:rsidR="003A35E9" w:rsidRPr="00EF1C6B" w:rsidRDefault="0097495F" w:rsidP="00EF1C6B">
      <w:pPr>
        <w:pStyle w:val="ListParagraph"/>
        <w:numPr>
          <w:ilvl w:val="0"/>
          <w:numId w:val="15"/>
        </w:numPr>
        <w:spacing w:after="0" w:line="240" w:lineRule="auto"/>
        <w:ind w:left="0" w:firstLine="99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одредбу да ће </w:t>
      </w:r>
      <w:r w:rsidR="0054603F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издавалац</w:t>
      </w:r>
      <w:r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9A169F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финансијске гаранције </w:t>
      </w:r>
      <w:r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банк</w:t>
      </w:r>
      <w:r w:rsidR="009A169F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е</w:t>
      </w:r>
      <w:r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, неопозиво, безусловно и на</w:t>
      </w:r>
      <w:r w:rsidR="00B22933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први позив корисника гаранције исплатити гарантовани износ у корист буџета Републике Србије, </w:t>
      </w:r>
      <w:r w:rsidR="006167FE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буџет</w:t>
      </w:r>
      <w:r w:rsidR="009A169F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="006167FE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аутономне покрајине</w:t>
      </w:r>
      <w:r w:rsidR="009A169F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, односно </w:t>
      </w:r>
      <w:r w:rsidR="006167FE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буџета јединице локалне самоуправе </w:t>
      </w:r>
      <w:r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до висине </w:t>
      </w:r>
      <w:r w:rsidR="00200CEC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износа </w:t>
      </w:r>
      <w:r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финансијске гаранције</w:t>
      </w:r>
      <w:r w:rsidR="009A169F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банке</w:t>
      </w:r>
      <w:r w:rsidR="00200CEC" w:rsidRP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0CC288D9" w14:textId="77777777" w:rsidR="00A50170" w:rsidRDefault="00A50170" w:rsidP="00EF1C6B">
      <w:pPr>
        <w:spacing w:after="0" w:line="240" w:lineRule="auto"/>
        <w:ind w:firstLine="99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19D3AA0F" w14:textId="5443E2F7" w:rsidR="00BA7B18" w:rsidRDefault="00EF1C6B" w:rsidP="00347F2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 </w:t>
      </w:r>
      <w:r w:rsidR="00BA7B18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Одговарајућа </w:t>
      </w:r>
      <w:r w:rsidR="00BA7B18" w:rsidRPr="00F117E5">
        <w:rPr>
          <w:rFonts w:ascii="Times New Roman" w:eastAsia="Times New Roman" w:hAnsi="Times New Roman"/>
          <w:sz w:val="24"/>
          <w:szCs w:val="24"/>
          <w:lang w:val="sr-Cyrl-RS" w:eastAsia="en-GB"/>
        </w:rPr>
        <w:t>полиса осигурања</w:t>
      </w:r>
      <w:r w:rsidR="00BA7B18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садржи:</w:t>
      </w:r>
    </w:p>
    <w:p w14:paraId="2E49E838" w14:textId="7C44719D" w:rsidR="00BA7B18" w:rsidRDefault="00BA7B18" w:rsidP="00EF1C6B">
      <w:pPr>
        <w:pStyle w:val="ListParagraph"/>
        <w:numPr>
          <w:ilvl w:val="0"/>
          <w:numId w:val="30"/>
        </w:numPr>
        <w:spacing w:after="0" w:line="240" w:lineRule="auto"/>
        <w:ind w:left="990" w:firstLine="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назив издаваоца </w:t>
      </w:r>
      <w:r w:rsidR="00681E4D">
        <w:rPr>
          <w:rFonts w:ascii="Times New Roman" w:eastAsia="Times New Roman" w:hAnsi="Times New Roman"/>
          <w:sz w:val="24"/>
          <w:szCs w:val="24"/>
          <w:lang w:val="en-US" w:eastAsia="en-GB"/>
        </w:rPr>
        <w:t>–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681E4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друштва за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осигура</w:t>
      </w:r>
      <w:r w:rsidR="00681E4D">
        <w:rPr>
          <w:rFonts w:ascii="Times New Roman" w:eastAsia="Times New Roman" w:hAnsi="Times New Roman"/>
          <w:sz w:val="24"/>
          <w:szCs w:val="24"/>
          <w:lang w:val="sr-Cyrl-RS" w:eastAsia="en-GB"/>
        </w:rPr>
        <w:t>ње</w:t>
      </w:r>
      <w:r w:rsid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645E8A74" w14:textId="7B998793" w:rsidR="00BA7B18" w:rsidRDefault="00BA7B18" w:rsidP="00EF1C6B">
      <w:pPr>
        <w:pStyle w:val="ListParagraph"/>
        <w:numPr>
          <w:ilvl w:val="0"/>
          <w:numId w:val="30"/>
        </w:numPr>
        <w:spacing w:after="0" w:line="240" w:lineRule="auto"/>
        <w:ind w:left="990" w:firstLine="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назив уговарача осигурања</w:t>
      </w:r>
      <w:r w:rsid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19F27A61" w14:textId="473780E7" w:rsidR="00BA7B18" w:rsidRDefault="00BA7B18" w:rsidP="00EF1C6B">
      <w:pPr>
        <w:pStyle w:val="ListParagraph"/>
        <w:numPr>
          <w:ilvl w:val="0"/>
          <w:numId w:val="30"/>
        </w:numPr>
        <w:spacing w:after="0" w:line="240" w:lineRule="auto"/>
        <w:ind w:left="990" w:firstLine="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назив корисника</w:t>
      </w:r>
      <w:r w:rsidR="00681E4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осигурања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(осигураник)</w:t>
      </w:r>
      <w:r w:rsid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064DA6D8" w14:textId="2CDFD45A" w:rsidR="00BA7B18" w:rsidRDefault="009A169F" w:rsidP="00EF1C6B">
      <w:pPr>
        <w:pStyle w:val="ListParagraph"/>
        <w:numPr>
          <w:ilvl w:val="0"/>
          <w:numId w:val="30"/>
        </w:numPr>
        <w:spacing w:after="0" w:line="240" w:lineRule="auto"/>
        <w:ind w:left="990" w:firstLine="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сума</w:t>
      </w:r>
      <w:r w:rsidR="00BA7B18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осигурања</w:t>
      </w:r>
      <w:r w:rsid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3C5A5EC5" w14:textId="0AED8914" w:rsidR="00BA7B18" w:rsidRDefault="00BA7B18" w:rsidP="00EF1C6B">
      <w:pPr>
        <w:pStyle w:val="ListParagraph"/>
        <w:numPr>
          <w:ilvl w:val="0"/>
          <w:numId w:val="30"/>
        </w:numPr>
        <w:spacing w:after="0" w:line="240" w:lineRule="auto"/>
        <w:ind w:left="990" w:firstLine="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трајање осигурања</w:t>
      </w:r>
      <w:r w:rsidR="00EF1C6B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17C5D11D" w14:textId="77777777" w:rsidR="009A169F" w:rsidRDefault="009A169F" w:rsidP="00EF1C6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1C9C1A27" w14:textId="77777777" w:rsidR="009A169F" w:rsidRDefault="009A169F" w:rsidP="00347F2A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4F5B5805" w14:textId="3927435F" w:rsidR="00681E4D" w:rsidRDefault="00681E4D" w:rsidP="00EB033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325052FA" w14:textId="22AF4A56" w:rsidR="00F07EDF" w:rsidRDefault="00F07EDF" w:rsidP="00EB033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39C37F89" w14:textId="73D534B8" w:rsidR="00F07EDF" w:rsidRDefault="00F07EDF" w:rsidP="00EB033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5554770C" w14:textId="7E57BCAF" w:rsidR="00F07EDF" w:rsidRDefault="00F07EDF" w:rsidP="00EB033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06EE8A6D" w14:textId="77777777" w:rsidR="00F07EDF" w:rsidRDefault="00F07EDF" w:rsidP="00EB033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73F46CA6" w14:textId="5645D077" w:rsidR="00EB033D" w:rsidRPr="00B0075C" w:rsidRDefault="00EB033D" w:rsidP="00EB033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B0075C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Члан 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>5</w:t>
      </w:r>
      <w:r w:rsidRPr="00B0075C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07A7A3E2" w14:textId="1D98D53B" w:rsidR="00EB033D" w:rsidRPr="00B0075C" w:rsidRDefault="00EB033D" w:rsidP="002A28D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B0075C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Приходи остварени по основу финансијске гаранције 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>су средства</w:t>
      </w:r>
      <w:r w:rsidRPr="00B0075C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буџет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Pr="00B0075C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Републике Србије, буџет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Pr="00B0075C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аутономне покрајине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>, односно</w:t>
      </w:r>
      <w:r w:rsidRPr="00B0075C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буџет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Pr="00B0075C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јединице локалне са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>моу</w:t>
      </w:r>
      <w:r w:rsidRPr="00B0075C">
        <w:rPr>
          <w:rFonts w:ascii="Times New Roman" w:eastAsia="Times New Roman" w:hAnsi="Times New Roman"/>
          <w:sz w:val="24"/>
          <w:szCs w:val="24"/>
          <w:lang w:val="sr-Cyrl-RS" w:eastAsia="en-GB"/>
        </w:rPr>
        <w:t>праве.</w:t>
      </w:r>
    </w:p>
    <w:p w14:paraId="645E5626" w14:textId="77777777" w:rsidR="008A12C4" w:rsidRPr="008A12C4" w:rsidRDefault="008A12C4" w:rsidP="008A12C4">
      <w:pPr>
        <w:spacing w:after="0" w:line="240" w:lineRule="auto"/>
        <w:ind w:firstLine="720"/>
        <w:jc w:val="both"/>
        <w:rPr>
          <w:rFonts w:ascii="Times New Roman" w:eastAsia="Calibri" w:hAnsi="Times New Roman"/>
          <w:szCs w:val="22"/>
          <w:lang w:val="sr-Cyrl-RS"/>
        </w:rPr>
      </w:pPr>
      <w:r w:rsidRPr="008A12C4">
        <w:rPr>
          <w:rFonts w:ascii="Times New Roman" w:eastAsia="Calibri" w:hAnsi="Times New Roman"/>
          <w:sz w:val="24"/>
          <w:szCs w:val="24"/>
          <w:lang w:val="sr-Cyrl-RS"/>
        </w:rPr>
        <w:t>У</w:t>
      </w:r>
      <w:r w:rsidRPr="008A12C4">
        <w:rPr>
          <w:rFonts w:ascii="Times New Roman" w:eastAsia="Calibri" w:hAnsi="Times New Roman"/>
          <w:sz w:val="24"/>
          <w:szCs w:val="24"/>
          <w:lang w:val="en-US"/>
        </w:rPr>
        <w:t xml:space="preserve"> буџету Републике Србије,  буџету аутономне покрајине</w:t>
      </w:r>
      <w:r w:rsidRPr="008A12C4">
        <w:rPr>
          <w:rFonts w:ascii="Times New Roman" w:eastAsia="Calibri" w:hAnsi="Times New Roman"/>
          <w:sz w:val="24"/>
          <w:szCs w:val="24"/>
          <w:lang w:val="sr-Cyrl-RS"/>
        </w:rPr>
        <w:t xml:space="preserve">, односно у </w:t>
      </w:r>
      <w:r w:rsidRPr="008A12C4">
        <w:rPr>
          <w:rFonts w:ascii="Times New Roman" w:eastAsia="Calibri" w:hAnsi="Times New Roman"/>
          <w:sz w:val="24"/>
          <w:szCs w:val="24"/>
          <w:lang w:val="en-US"/>
        </w:rPr>
        <w:t xml:space="preserve">буџету јединице локалне самоуправе, </w:t>
      </w:r>
      <w:r w:rsidRPr="008A12C4">
        <w:rPr>
          <w:rFonts w:ascii="Times New Roman" w:eastAsia="Calibri" w:hAnsi="Times New Roman"/>
          <w:sz w:val="24"/>
          <w:szCs w:val="24"/>
          <w:lang w:val="sr-Cyrl-RS"/>
        </w:rPr>
        <w:t>у зависности од тога који је орган издао дозволу за управљање отпадом</w:t>
      </w:r>
      <w:r w:rsidRPr="008A12C4">
        <w:rPr>
          <w:rFonts w:ascii="Times New Roman" w:eastAsia="Calibri" w:hAnsi="Times New Roman"/>
          <w:szCs w:val="22"/>
          <w:lang w:val="sr-Cyrl-RS"/>
        </w:rPr>
        <w:t>, обезбеђују се средства у случају</w:t>
      </w:r>
      <w:r w:rsidRPr="008A12C4">
        <w:rPr>
          <w:rFonts w:ascii="Times New Roman" w:eastAsia="Calibri" w:hAnsi="Times New Roman"/>
          <w:sz w:val="24"/>
          <w:szCs w:val="24"/>
          <w:lang w:val="sr-Cyrl-RS" w:eastAsia="en-GB"/>
        </w:rPr>
        <w:t xml:space="preserve"> потребе финансирања:</w:t>
      </w:r>
    </w:p>
    <w:p w14:paraId="121BCD3E" w14:textId="60199BE3" w:rsidR="008A12C4" w:rsidRPr="008A12C4" w:rsidRDefault="008A12C4" w:rsidP="008A12C4">
      <w:pPr>
        <w:pStyle w:val="ListParagraph"/>
        <w:numPr>
          <w:ilvl w:val="0"/>
          <w:numId w:val="34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eastAsia="Calibri" w:hAnsi="Times New Roman"/>
          <w:sz w:val="24"/>
          <w:szCs w:val="24"/>
          <w:lang w:val="sr-Cyrl-RS" w:eastAsia="en-GB"/>
        </w:rPr>
      </w:pPr>
      <w:r>
        <w:rPr>
          <w:rFonts w:ascii="Times New Roman" w:eastAsia="Calibri" w:hAnsi="Times New Roman"/>
          <w:sz w:val="24"/>
          <w:szCs w:val="24"/>
          <w:lang w:val="sr-Latn-RS" w:eastAsia="en-GB"/>
        </w:rPr>
        <w:t xml:space="preserve"> </w:t>
      </w:r>
      <w:r w:rsidRPr="008A12C4">
        <w:rPr>
          <w:rFonts w:ascii="Times New Roman" w:eastAsia="Calibri" w:hAnsi="Times New Roman"/>
          <w:sz w:val="24"/>
          <w:szCs w:val="24"/>
          <w:lang w:val="sr-Cyrl-RS" w:eastAsia="en-GB"/>
        </w:rPr>
        <w:t xml:space="preserve">трошкова збрињавања отпада у поступку извршења решења о одузимању дозволе или  у поступку стечаја и ликвидације оператера на чије име је издата дозвола за управљање отпадом, </w:t>
      </w:r>
    </w:p>
    <w:p w14:paraId="4F9D8A68" w14:textId="68A57828" w:rsidR="008A12C4" w:rsidRPr="008A12C4" w:rsidRDefault="008A12C4" w:rsidP="008A12C4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sr-Cyrl-RS" w:eastAsia="en-GB"/>
        </w:rPr>
      </w:pPr>
      <w:r w:rsidRPr="008A12C4">
        <w:rPr>
          <w:rFonts w:ascii="Times New Roman" w:eastAsia="Calibri" w:hAnsi="Times New Roman"/>
          <w:sz w:val="24"/>
          <w:szCs w:val="24"/>
          <w:lang w:val="sr-Cyrl-RS" w:eastAsia="en-GB"/>
        </w:rPr>
        <w:t xml:space="preserve">2) </w:t>
      </w:r>
      <w:r>
        <w:rPr>
          <w:rFonts w:ascii="Times New Roman" w:eastAsia="Calibri" w:hAnsi="Times New Roman"/>
          <w:sz w:val="24"/>
          <w:szCs w:val="24"/>
          <w:lang w:val="sr-Latn-RS" w:eastAsia="en-GB"/>
        </w:rPr>
        <w:t xml:space="preserve"> </w:t>
      </w:r>
      <w:r w:rsidRPr="008A12C4">
        <w:rPr>
          <w:rFonts w:ascii="Times New Roman" w:eastAsia="Calibri" w:hAnsi="Times New Roman"/>
          <w:sz w:val="24"/>
          <w:szCs w:val="24"/>
          <w:lang w:val="sr-Cyrl-RS" w:eastAsia="en-GB"/>
        </w:rPr>
        <w:t xml:space="preserve">трошкова превоза у прекограничном кретању отпада, поновног искоришћења или коначног одлагања (укључујући све неопходне привремене операције) на еколошки прихватљив начин, привремено складиштење 90 дана, укључујући трошкове евентуалног повратка и алтернативног збрињавања отпада ако извозник, трговац или посредник (у случају када преузимају отпад у посед) не испуне своју обавезу преузимања, ако пошиљка, поновно искоришћење или коначно збрињавање не могу да се изврше како је предвиђено или је незаконито, </w:t>
      </w:r>
    </w:p>
    <w:p w14:paraId="69D38B2D" w14:textId="77777777" w:rsidR="008A12C4" w:rsidRPr="008A12C4" w:rsidRDefault="008A12C4" w:rsidP="008A12C4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sr-Cyrl-RS" w:eastAsia="en-GB"/>
        </w:rPr>
      </w:pPr>
      <w:r w:rsidRPr="008A12C4">
        <w:rPr>
          <w:rFonts w:ascii="Times New Roman" w:eastAsia="Calibri" w:hAnsi="Times New Roman"/>
          <w:sz w:val="24"/>
          <w:szCs w:val="24"/>
          <w:lang w:val="sr-Cyrl-RS" w:eastAsia="en-GB"/>
        </w:rPr>
        <w:t>3) трошкова одржавања, заштите, контроле и мониторинга депоније када се стекну услови за затварање дела депоније или целе депоније у периоду од најмање 30 година након затварања.</w:t>
      </w:r>
    </w:p>
    <w:p w14:paraId="738F1D8E" w14:textId="77777777" w:rsidR="008A12C4" w:rsidRPr="008A12C4" w:rsidRDefault="008A12C4" w:rsidP="008A12C4">
      <w:pPr>
        <w:spacing w:after="0" w:line="240" w:lineRule="auto"/>
        <w:rPr>
          <w:rFonts w:ascii="Times New Roman" w:eastAsia="Calibri" w:hAnsi="Times New Roman"/>
          <w:sz w:val="24"/>
          <w:szCs w:val="24"/>
          <w:lang w:val="sr-Cyrl-RS" w:eastAsia="en-GB"/>
        </w:rPr>
      </w:pPr>
    </w:p>
    <w:p w14:paraId="181C0080" w14:textId="77777777" w:rsidR="000A3DF8" w:rsidRDefault="000A3DF8" w:rsidP="0009314D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6E0B75D8" w14:textId="4F0F800D" w:rsidR="00A06547" w:rsidRDefault="003A35E9" w:rsidP="008D10A2">
      <w:pPr>
        <w:spacing w:after="0" w:line="240" w:lineRule="auto"/>
        <w:ind w:hanging="142"/>
        <w:contextualSpacing/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Члан</w:t>
      </w:r>
      <w:r w:rsidR="00C94FF4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>6</w:t>
      </w:r>
      <w:r w:rsidR="003A0AD2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1C2BDA2F" w14:textId="65266011" w:rsidR="005B6FAD" w:rsidRPr="005B6FAD" w:rsidRDefault="00234B1C" w:rsidP="009A169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Налогодавац финансијске гаранције је у обавези да </w:t>
      </w:r>
      <w:r w:rsidR="005B6FAD">
        <w:rPr>
          <w:rFonts w:ascii="Times New Roman" w:eastAsia="Times New Roman" w:hAnsi="Times New Roman"/>
          <w:sz w:val="24"/>
          <w:szCs w:val="24"/>
          <w:lang w:val="sr-Cyrl-RS" w:eastAsia="en-GB"/>
        </w:rPr>
        <w:t>обезб</w:t>
      </w:r>
      <w:r w:rsidR="00260735">
        <w:rPr>
          <w:rFonts w:ascii="Times New Roman" w:eastAsia="Times New Roman" w:hAnsi="Times New Roman"/>
          <w:sz w:val="24"/>
          <w:szCs w:val="24"/>
          <w:lang w:val="sr-Cyrl-RS" w:eastAsia="en-GB"/>
        </w:rPr>
        <w:t>е</w:t>
      </w:r>
      <w:r w:rsidR="005B6FA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ди финансијску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гаранцију </w:t>
      </w:r>
      <w:r w:rsidR="000B0E8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са роком важности </w:t>
      </w:r>
      <w:r w:rsidR="002A28DE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до </w:t>
      </w:r>
      <w:r w:rsidR="000B0E81">
        <w:rPr>
          <w:rFonts w:ascii="Times New Roman" w:eastAsia="Times New Roman" w:hAnsi="Times New Roman"/>
          <w:sz w:val="24"/>
          <w:szCs w:val="24"/>
          <w:lang w:val="sr-Cyrl-RS" w:eastAsia="en-GB"/>
        </w:rPr>
        <w:t>рок</w:t>
      </w:r>
      <w:r w:rsidR="002A28DE"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="000B0E8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важ</w:t>
      </w:r>
      <w:r w:rsidR="002A28DE">
        <w:rPr>
          <w:rFonts w:ascii="Times New Roman" w:eastAsia="Times New Roman" w:hAnsi="Times New Roman"/>
          <w:sz w:val="24"/>
          <w:szCs w:val="24"/>
          <w:lang w:val="sr-Cyrl-RS" w:eastAsia="en-GB"/>
        </w:rPr>
        <w:t>ности</w:t>
      </w:r>
      <w:r w:rsidR="000B0E8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дозволе</w:t>
      </w:r>
      <w:r w:rsidR="00060283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за управљање отпадом</w:t>
      </w:r>
      <w:r w:rsidR="000B0E81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33959EF3" w14:textId="0F5E16C7" w:rsidR="005B6FAD" w:rsidRDefault="005B6FAD" w:rsidP="009A169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5B6FA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Ако је финансијска гаранција издата на период краћи од </w:t>
      </w:r>
      <w:r w:rsidR="005533BC">
        <w:rPr>
          <w:rFonts w:ascii="Times New Roman" w:eastAsia="Times New Roman" w:hAnsi="Times New Roman"/>
          <w:sz w:val="24"/>
          <w:szCs w:val="24"/>
          <w:lang w:val="sr-Cyrl-RS" w:eastAsia="en-GB"/>
        </w:rPr>
        <w:t>рока важења</w:t>
      </w:r>
      <w:r w:rsidRPr="005B6FA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дозволе за управљање отпадом, лице из става 1. овог члана </w:t>
      </w:r>
      <w:r w:rsidR="00234B1C">
        <w:rPr>
          <w:rFonts w:ascii="Times New Roman" w:eastAsia="Times New Roman" w:hAnsi="Times New Roman"/>
          <w:sz w:val="24"/>
          <w:szCs w:val="24"/>
          <w:lang w:val="sr-Cyrl-RS" w:eastAsia="en-GB"/>
        </w:rPr>
        <w:t>дуж</w:t>
      </w:r>
      <w:r w:rsidR="005533BC">
        <w:rPr>
          <w:rFonts w:ascii="Times New Roman" w:eastAsia="Times New Roman" w:hAnsi="Times New Roman"/>
          <w:sz w:val="24"/>
          <w:szCs w:val="24"/>
          <w:lang w:val="sr-Cyrl-RS" w:eastAsia="en-GB"/>
        </w:rPr>
        <w:t>но</w:t>
      </w:r>
      <w:r w:rsidR="00234B1C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је да 30 дана</w:t>
      </w:r>
      <w:r w:rsidRPr="005B6FA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пре истека рока на који је </w:t>
      </w:r>
      <w:r w:rsidR="00D65B89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издата </w:t>
      </w:r>
      <w:r w:rsidRPr="005B6FA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финансијска гаранција </w:t>
      </w:r>
      <w:r w:rsidR="00D65B89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исту </w:t>
      </w:r>
      <w:r w:rsidRPr="005B6FAD">
        <w:rPr>
          <w:rFonts w:ascii="Times New Roman" w:eastAsia="Times New Roman" w:hAnsi="Times New Roman"/>
          <w:sz w:val="24"/>
          <w:szCs w:val="24"/>
          <w:lang w:val="sr-Cyrl-RS" w:eastAsia="en-GB"/>
        </w:rPr>
        <w:t>продуж</w:t>
      </w:r>
      <w:r w:rsidR="00D65B89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и </w:t>
      </w:r>
      <w:r w:rsidR="003D04BF">
        <w:rPr>
          <w:rFonts w:ascii="Times New Roman" w:eastAsia="Times New Roman" w:hAnsi="Times New Roman"/>
          <w:sz w:val="24"/>
          <w:szCs w:val="24"/>
          <w:lang w:eastAsia="en-GB"/>
        </w:rPr>
        <w:t xml:space="preserve">или </w:t>
      </w:r>
      <w:r w:rsidR="00D65B89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да обезбеди </w:t>
      </w:r>
      <w:r w:rsidRPr="005B6FA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нову финансијску гаранцију и достави је </w:t>
      </w:r>
      <w:r w:rsidR="00234B1C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надлежном </w:t>
      </w:r>
      <w:r w:rsidRPr="005B6FAD">
        <w:rPr>
          <w:rFonts w:ascii="Times New Roman" w:eastAsia="Times New Roman" w:hAnsi="Times New Roman"/>
          <w:sz w:val="24"/>
          <w:szCs w:val="24"/>
          <w:lang w:val="sr-Cyrl-RS" w:eastAsia="en-GB"/>
        </w:rPr>
        <w:t>органу који издаје дозволу</w:t>
      </w:r>
      <w:r w:rsidR="00D65B89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5CD51DCA" w14:textId="77777777" w:rsidR="00404882" w:rsidRPr="008D36D7" w:rsidRDefault="00404882" w:rsidP="00404882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B517604" w14:textId="65246657" w:rsidR="00D00482" w:rsidRDefault="00D00482" w:rsidP="00F2277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404882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Члан 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>7</w:t>
      </w:r>
      <w:r w:rsidRPr="00404882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7CA12017" w14:textId="6A88601C" w:rsidR="006639DC" w:rsidRDefault="006639DC" w:rsidP="00F2277C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5E0688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Износ </w:t>
      </w:r>
      <w:r w:rsidR="00681E4D">
        <w:rPr>
          <w:rFonts w:ascii="Times New Roman" w:eastAsia="Times New Roman" w:hAnsi="Times New Roman"/>
          <w:sz w:val="24"/>
          <w:szCs w:val="24"/>
          <w:lang w:val="sr-Cyrl-RS" w:eastAsia="en-GB"/>
        </w:rPr>
        <w:t>суме</w:t>
      </w:r>
      <w:r w:rsidRPr="005E0688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осигурања или </w:t>
      </w:r>
      <w:r w:rsidR="009A169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финансијске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гаранције банке изражава се у динарима.</w:t>
      </w:r>
    </w:p>
    <w:p w14:paraId="35E6D55C" w14:textId="7CBC3A9D" w:rsidR="00F2277C" w:rsidRPr="002A28DE" w:rsidRDefault="009A169F" w:rsidP="00C01606">
      <w:pPr>
        <w:tabs>
          <w:tab w:val="left" w:pos="9000"/>
        </w:tabs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Елементи за утврђивање висине полисе осигурања или финансијске гаранције </w:t>
      </w:r>
      <w:r w:rsidRPr="002A28DE">
        <w:rPr>
          <w:rFonts w:ascii="Times New Roman" w:eastAsia="Times New Roman" w:hAnsi="Times New Roman"/>
          <w:sz w:val="24"/>
          <w:szCs w:val="24"/>
          <w:lang w:val="sr-Cyrl-RS" w:eastAsia="en-GB"/>
        </w:rPr>
        <w:t>банке за с</w:t>
      </w:r>
      <w:r w:rsidR="00800EBF" w:rsidRPr="002A28DE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акупљање, транспорт, </w:t>
      </w:r>
      <w:r w:rsidRPr="002A28DE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третман </w:t>
      </w:r>
      <w:r w:rsidR="00800EBF" w:rsidRPr="002A28DE">
        <w:rPr>
          <w:rFonts w:ascii="Times New Roman" w:eastAsia="Times New Roman" w:hAnsi="Times New Roman"/>
          <w:sz w:val="24"/>
          <w:szCs w:val="24"/>
          <w:lang w:val="sr-Cyrl-RS" w:eastAsia="en-GB"/>
        </w:rPr>
        <w:t>складиштење и поновно искоришћење</w:t>
      </w:r>
      <w:r w:rsidR="00027F0D" w:rsidRPr="002A28DE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отпада</w:t>
      </w:r>
      <w:r w:rsidR="00F2277C" w:rsidRPr="002A28DE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су:</w:t>
      </w:r>
    </w:p>
    <w:p w14:paraId="3AB26F31" w14:textId="4E7980B5" w:rsidR="00F2277C" w:rsidRDefault="00F2277C" w:rsidP="00C01606">
      <w:pPr>
        <w:spacing w:after="0"/>
        <w:ind w:left="90" w:firstLine="63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en-GB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FG</w:t>
      </w:r>
      <w:r>
        <w:rPr>
          <w:rFonts w:ascii="Times New Roman" w:eastAsia="Times New Roman" w:hAnsi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износ финансијске гаранције 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>(поли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с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а осигурања или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гаранција 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банке) изражен у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динарима</w:t>
      </w:r>
      <w:r w:rsidR="00C01606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6A607D25" w14:textId="39F5978C" w:rsidR="00F2277C" w:rsidRPr="00C01606" w:rsidRDefault="00F2277C" w:rsidP="00F2277C">
      <w:pPr>
        <w:spacing w:after="0"/>
        <w:ind w:left="1276" w:hanging="556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С</w:t>
      </w:r>
      <w:r w:rsidRPr="00131109">
        <w:rPr>
          <w:rFonts w:ascii="Times New Roman" w:eastAsia="Times New Roman" w:hAnsi="Times New Roman"/>
          <w:sz w:val="16"/>
          <w:szCs w:val="16"/>
          <w:lang w:val="sr-Cyrl-RS" w:eastAsia="en-GB"/>
        </w:rPr>
        <w:t>sа</w:t>
      </w:r>
      <w:r>
        <w:rPr>
          <w:rFonts w:ascii="Times New Roman" w:eastAsia="Times New Roman" w:hAnsi="Times New Roman"/>
          <w:sz w:val="16"/>
          <w:szCs w:val="16"/>
          <w:lang w:val="sr-Cyrl-RS" w:eastAsia="en-GB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трошкови сакупљања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отпада 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по тони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+ PDV</w:t>
      </w:r>
      <w:r w:rsidR="00C01606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12ADE630" w14:textId="23B91150" w:rsidR="00F2277C" w:rsidRPr="005E0688" w:rsidRDefault="00F2277C" w:rsidP="00F2277C">
      <w:pPr>
        <w:ind w:left="1276" w:hanging="556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C</w:t>
      </w:r>
      <w:r w:rsidRPr="005E0688">
        <w:rPr>
          <w:rFonts w:ascii="Times New Roman" w:eastAsia="Times New Roman" w:hAnsi="Times New Roman"/>
          <w:sz w:val="24"/>
          <w:szCs w:val="24"/>
          <w:vertAlign w:val="subscript"/>
          <w:lang w:eastAsia="en-GB"/>
        </w:rPr>
        <w:t>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ab/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трошкови транспорта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отпада 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за километар по тони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+ PDV</w:t>
      </w:r>
      <w:r w:rsidR="00C01606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  <w:r w:rsidRPr="0019582C">
        <w:rPr>
          <w:rFonts w:ascii="Times New Roman" w:eastAsia="Times New Roman" w:hAnsi="Times New Roman"/>
          <w:sz w:val="24"/>
          <w:szCs w:val="24"/>
          <w:highlight w:val="yellow"/>
          <w:lang w:val="sr-Cyrl-RS" w:eastAsia="en-GB"/>
        </w:rPr>
        <w:t xml:space="preserve"> </w:t>
      </w:r>
    </w:p>
    <w:p w14:paraId="34646893" w14:textId="74D32518" w:rsidR="00F2277C" w:rsidRPr="00C01606" w:rsidRDefault="00F2277C" w:rsidP="00F2277C">
      <w:pPr>
        <w:ind w:left="1276" w:hanging="556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>С</w:t>
      </w:r>
      <w:r w:rsidRPr="005E0688">
        <w:rPr>
          <w:rFonts w:ascii="Times New Roman" w:eastAsia="Times New Roman" w:hAnsi="Times New Roman"/>
          <w:sz w:val="24"/>
          <w:szCs w:val="24"/>
          <w:vertAlign w:val="subscript"/>
          <w:lang w:eastAsia="en-GB"/>
        </w:rPr>
        <w:t>s</w:t>
      </w:r>
      <w:r>
        <w:rPr>
          <w:rFonts w:ascii="Times New Roman" w:eastAsia="Times New Roman" w:hAnsi="Times New Roman"/>
          <w:sz w:val="24"/>
          <w:szCs w:val="24"/>
          <w:vertAlign w:val="subscript"/>
          <w:lang w:val="sr-Cyrl-RS" w:eastAsia="en-GB"/>
        </w:rPr>
        <w:t>к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ab/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>трошкови складиштења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отпада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по тони за период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од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90 дана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+ PDV</w:t>
      </w:r>
      <w:r w:rsidR="00C01606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0B0C9E88" w14:textId="368FE039" w:rsidR="00F2277C" w:rsidRPr="00C01606" w:rsidRDefault="00F2277C" w:rsidP="00C01606">
      <w:pPr>
        <w:spacing w:after="0"/>
        <w:ind w:left="180" w:firstLine="54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C</w:t>
      </w:r>
      <w:r w:rsidRPr="005E0688">
        <w:rPr>
          <w:rFonts w:ascii="Times New Roman" w:eastAsia="Times New Roman" w:hAnsi="Times New Roman"/>
          <w:sz w:val="24"/>
          <w:szCs w:val="24"/>
          <w:vertAlign w:val="subscript"/>
          <w:lang w:eastAsia="en-GB"/>
        </w:rPr>
        <w:t>rd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C0160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трошкови операција третмана отпада и поновног искоришћења отпада по тони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+ PDV</w:t>
      </w:r>
      <w:r w:rsidR="00C01606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7E2A73AF" w14:textId="0F259EA9" w:rsidR="00F2277C" w:rsidRDefault="00F2277C" w:rsidP="00C01606">
      <w:pPr>
        <w:spacing w:after="0"/>
        <w:ind w:left="180" w:firstLine="54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M</w:t>
      </w:r>
      <w:r w:rsidR="00C0160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   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>укупна количина отпада у тонама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за све врсте отпада и све операције и делатности које оператер обавља или планира да обавља.</w:t>
      </w:r>
    </w:p>
    <w:p w14:paraId="727264A7" w14:textId="77777777" w:rsidR="00C01606" w:rsidRDefault="00C01606" w:rsidP="007C2D53">
      <w:pPr>
        <w:spacing w:after="0"/>
        <w:ind w:left="1276" w:hanging="556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1C02A295" w14:textId="77777777" w:rsidR="002A28DE" w:rsidRDefault="00F2277C" w:rsidP="007C2D53">
      <w:pPr>
        <w:spacing w:after="0"/>
        <w:ind w:left="1276" w:hanging="556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Начин обрачуна износа </w:t>
      </w:r>
      <w:r w:rsidR="00800EBF"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поли</w:t>
      </w:r>
      <w:r w:rsidR="00800EBF">
        <w:rPr>
          <w:rFonts w:ascii="Times New Roman" w:eastAsia="Times New Roman" w:hAnsi="Times New Roman"/>
          <w:sz w:val="24"/>
          <w:szCs w:val="24"/>
          <w:lang w:val="sr-Cyrl-RS" w:eastAsia="en-GB"/>
        </w:rPr>
        <w:t>с</w:t>
      </w:r>
      <w:r w:rsidR="00800EBF"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е осигурања или </w:t>
      </w:r>
      <w:r w:rsidR="002A28DE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финансијске </w:t>
      </w:r>
      <w:r w:rsidR="00800EB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гаранције </w:t>
      </w:r>
      <w:r w:rsidR="00800EBF"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банке </w:t>
      </w:r>
    </w:p>
    <w:p w14:paraId="7A209C0F" w14:textId="2C23DD69" w:rsidR="00800EBF" w:rsidRPr="001D0326" w:rsidRDefault="00800EBF" w:rsidP="007C2D53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lastRenderedPageBreak/>
        <w:t xml:space="preserve">одређује се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применом следеће формуле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>:</w:t>
      </w:r>
    </w:p>
    <w:p w14:paraId="500FF804" w14:textId="09BCA58E" w:rsidR="00800EBF" w:rsidRPr="005E0688" w:rsidRDefault="00800EBF" w:rsidP="007C2D53">
      <w:pPr>
        <w:spacing w:after="0"/>
        <w:ind w:firstLine="720"/>
        <w:jc w:val="center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FG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= (</w:t>
      </w:r>
      <w:r w:rsidR="00131109" w:rsidRPr="00131109">
        <w:rPr>
          <w:rFonts w:ascii="Times New Roman" w:eastAsia="Times New Roman" w:hAnsi="Times New Roman"/>
          <w:sz w:val="24"/>
          <w:szCs w:val="24"/>
          <w:lang w:val="sr-Cyrl-RS" w:eastAsia="en-GB"/>
        </w:rPr>
        <w:t>С</w:t>
      </w:r>
      <w:r w:rsidR="00131109" w:rsidRPr="00131109">
        <w:rPr>
          <w:rFonts w:ascii="Times New Roman" w:eastAsia="Times New Roman" w:hAnsi="Times New Roman"/>
          <w:sz w:val="16"/>
          <w:szCs w:val="16"/>
          <w:lang w:val="sr-Cyrl-RS" w:eastAsia="en-GB"/>
        </w:rPr>
        <w:t>sа</w:t>
      </w:r>
      <w:r w:rsidR="00131109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+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C</w:t>
      </w:r>
      <w:r w:rsidRPr="005E0688">
        <w:rPr>
          <w:rFonts w:ascii="Times New Roman" w:eastAsia="Times New Roman" w:hAnsi="Times New Roman"/>
          <w:sz w:val="24"/>
          <w:szCs w:val="24"/>
          <w:vertAlign w:val="subscript"/>
          <w:lang w:eastAsia="en-GB"/>
        </w:rPr>
        <w:t>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+ 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>С</w:t>
      </w:r>
      <w:r w:rsidRPr="005E0688">
        <w:rPr>
          <w:rFonts w:ascii="Times New Roman" w:eastAsia="Times New Roman" w:hAnsi="Times New Roman"/>
          <w:sz w:val="24"/>
          <w:szCs w:val="24"/>
          <w:vertAlign w:val="subscript"/>
          <w:lang w:eastAsia="en-GB"/>
        </w:rPr>
        <w:t>s</w:t>
      </w:r>
      <w:r w:rsidR="00131109">
        <w:rPr>
          <w:rFonts w:ascii="Times New Roman" w:eastAsia="Times New Roman" w:hAnsi="Times New Roman"/>
          <w:sz w:val="24"/>
          <w:szCs w:val="24"/>
          <w:vertAlign w:val="subscript"/>
          <w:lang w:val="sr-Cyrl-RS" w:eastAsia="en-GB"/>
        </w:rPr>
        <w:t>к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+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C</w:t>
      </w:r>
      <w:r w:rsidRPr="005E0688">
        <w:rPr>
          <w:rFonts w:ascii="Times New Roman" w:eastAsia="Times New Roman" w:hAnsi="Times New Roman"/>
          <w:sz w:val="24"/>
          <w:szCs w:val="24"/>
          <w:vertAlign w:val="subscript"/>
          <w:lang w:eastAsia="en-GB"/>
        </w:rPr>
        <w:t>rd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x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М</w:t>
      </w:r>
    </w:p>
    <w:p w14:paraId="239E9FB1" w14:textId="2D40D244" w:rsidR="00350CFB" w:rsidRDefault="00B2527B" w:rsidP="007C2D53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         </w:t>
      </w:r>
      <w:r w:rsidR="00754071" w:rsidRPr="00754071">
        <w:rPr>
          <w:rFonts w:ascii="Times New Roman" w:eastAsia="Times New Roman" w:hAnsi="Times New Roman"/>
          <w:sz w:val="24"/>
          <w:szCs w:val="24"/>
          <w:lang w:val="sr-Cyrl-RS" w:eastAsia="en-GB"/>
        </w:rPr>
        <w:t>У зависност</w:t>
      </w:r>
      <w:r w:rsidR="00350CF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и од врсте дозволе за коју је оператер за управљање отпадом поднео захтев за издавање или је поседује, </w:t>
      </w:r>
      <w:r w:rsidR="00754071" w:rsidRPr="00754071">
        <w:rPr>
          <w:rFonts w:ascii="Times New Roman" w:eastAsia="Times New Roman" w:hAnsi="Times New Roman"/>
          <w:sz w:val="24"/>
          <w:szCs w:val="24"/>
          <w:lang w:val="sr-Cyrl-RS" w:eastAsia="en-GB"/>
        </w:rPr>
        <w:t>односно</w:t>
      </w:r>
      <w:r w:rsidR="00F2277C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754071" w:rsidRPr="0075407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врсте активности коју обавља, приликом обрачуна </w:t>
      </w:r>
      <w:r w:rsidR="002A28DE">
        <w:rPr>
          <w:rFonts w:ascii="Times New Roman" w:eastAsia="Times New Roman" w:hAnsi="Times New Roman"/>
          <w:sz w:val="24"/>
          <w:szCs w:val="24"/>
          <w:lang w:val="sr-Cyrl-RS" w:eastAsia="en-GB"/>
        </w:rPr>
        <w:t>износа</w:t>
      </w:r>
      <w:r w:rsidR="00754071" w:rsidRPr="0075407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финансијске гаранције користи се одговарајућа врста трошка</w:t>
      </w:r>
      <w:r w:rsidR="00350CFB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3201A975" w14:textId="20E906C8" w:rsidR="00BC1E7F" w:rsidRDefault="002A28DE" w:rsidP="007C2D53">
      <w:pPr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    </w:t>
      </w:r>
      <w:r w:rsidR="00F2277C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Начин обрачуна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износа </w:t>
      </w:r>
      <w:r w:rsidR="00027F0D" w:rsidRPr="00027F0D">
        <w:rPr>
          <w:rFonts w:ascii="Times New Roman" w:eastAsia="Times New Roman" w:hAnsi="Times New Roman"/>
          <w:sz w:val="24"/>
          <w:szCs w:val="24"/>
          <w:lang w:val="sr-Cyrl-RS" w:eastAsia="en-GB"/>
        </w:rPr>
        <w:t>финансијске гаранциј</w:t>
      </w:r>
      <w:r w:rsidR="00027F0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е за поступак одлагања отпада </w:t>
      </w:r>
      <w:r w:rsidR="00F2277C">
        <w:rPr>
          <w:rFonts w:ascii="Times New Roman" w:eastAsia="Times New Roman" w:hAnsi="Times New Roman"/>
          <w:sz w:val="24"/>
          <w:szCs w:val="24"/>
          <w:lang w:val="sr-Cyrl-RS" w:eastAsia="en-GB"/>
        </w:rPr>
        <w:t>операцијама</w:t>
      </w:r>
      <w:r w:rsidR="00027F0D" w:rsidRPr="00027F0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D1, D2, D3, D4, D5 и D12, утврђује се на </w:t>
      </w:r>
      <w:r w:rsidR="00F2277C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основу </w:t>
      </w:r>
      <w:r w:rsidR="00027F0D" w:rsidRPr="00027F0D">
        <w:rPr>
          <w:rFonts w:ascii="Times New Roman" w:eastAsia="Times New Roman" w:hAnsi="Times New Roman"/>
          <w:sz w:val="24"/>
          <w:szCs w:val="24"/>
          <w:lang w:val="sr-Cyrl-RS" w:eastAsia="en-GB"/>
        </w:rPr>
        <w:t>процене трошков</w:t>
      </w:r>
      <w:r w:rsidR="00F2277C"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="00027F0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затварања, као и одржавања и мониторинга </w:t>
      </w:r>
      <w:r w:rsidR="00027F0D" w:rsidRPr="00027F0D">
        <w:rPr>
          <w:rFonts w:ascii="Times New Roman" w:eastAsia="Times New Roman" w:hAnsi="Times New Roman"/>
          <w:sz w:val="24"/>
          <w:szCs w:val="24"/>
          <w:lang w:val="sr-Cyrl-RS" w:eastAsia="en-GB"/>
        </w:rPr>
        <w:t>за период од најмање 30 година након затварања.</w:t>
      </w:r>
    </w:p>
    <w:p w14:paraId="6168E46F" w14:textId="4006C055" w:rsidR="005E0688" w:rsidRPr="002A28DE" w:rsidRDefault="006A50D6" w:rsidP="00C01606">
      <w:pPr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Елементи за утврђивање </w:t>
      </w:r>
      <w:r w:rsidR="002A28DE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износа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полисе осиг</w:t>
      </w:r>
      <w:r w:rsidR="00C0160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урања или финансијске гаранције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банке за</w:t>
      </w:r>
      <w:r w:rsidRPr="006A50D6">
        <w:rPr>
          <w:rFonts w:ascii="Times New Roman" w:eastAsia="Times New Roman" w:hAnsi="Times New Roman"/>
          <w:b/>
          <w:sz w:val="24"/>
          <w:szCs w:val="24"/>
          <w:lang w:val="sr-Cyrl-RS" w:eastAsia="en-GB"/>
        </w:rPr>
        <w:t xml:space="preserve"> </w:t>
      </w:r>
      <w:r w:rsidR="007C2D53" w:rsidRPr="002A28DE">
        <w:rPr>
          <w:rFonts w:ascii="Times New Roman" w:eastAsia="Times New Roman" w:hAnsi="Times New Roman"/>
          <w:bCs/>
          <w:sz w:val="24"/>
          <w:szCs w:val="24"/>
          <w:lang w:val="sr-Cyrl-RS" w:eastAsia="en-GB"/>
        </w:rPr>
        <w:t>п</w:t>
      </w:r>
      <w:r w:rsidR="005E0688" w:rsidRPr="002A28DE">
        <w:rPr>
          <w:rFonts w:ascii="Times New Roman" w:eastAsia="Times New Roman" w:hAnsi="Times New Roman"/>
          <w:bCs/>
          <w:sz w:val="24"/>
          <w:szCs w:val="24"/>
          <w:lang w:val="sr-Cyrl-RS" w:eastAsia="en-GB"/>
        </w:rPr>
        <w:t>рекогранично кретање отпада</w:t>
      </w:r>
      <w:r w:rsidRPr="002A28DE">
        <w:rPr>
          <w:rFonts w:ascii="Times New Roman" w:eastAsia="Times New Roman" w:hAnsi="Times New Roman"/>
          <w:bCs/>
          <w:sz w:val="24"/>
          <w:szCs w:val="24"/>
          <w:lang w:val="sr-Cyrl-RS" w:eastAsia="en-GB"/>
        </w:rPr>
        <w:t xml:space="preserve"> су:</w:t>
      </w:r>
    </w:p>
    <w:p w14:paraId="03213DA0" w14:textId="2E42B2AB" w:rsidR="006A50D6" w:rsidRPr="001D0326" w:rsidRDefault="00C01606" w:rsidP="00C01606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FG  </w:t>
      </w:r>
      <w:r w:rsidR="006A50D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износ финансијске гаранције </w:t>
      </w:r>
      <w:r w:rsidR="006A50D6"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>(поли</w:t>
      </w:r>
      <w:r w:rsidR="006A50D6">
        <w:rPr>
          <w:rFonts w:ascii="Times New Roman" w:eastAsia="Times New Roman" w:hAnsi="Times New Roman"/>
          <w:sz w:val="24"/>
          <w:szCs w:val="24"/>
          <w:lang w:val="sr-Cyrl-RS" w:eastAsia="en-GB"/>
        </w:rPr>
        <w:t>с</w:t>
      </w:r>
      <w:r w:rsidR="006A50D6"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а осигурања или </w:t>
      </w:r>
      <w:r w:rsidR="006A50D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гаранција </w:t>
      </w:r>
      <w:r w:rsidR="006A50D6"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банке) изражен у </w:t>
      </w:r>
      <w:r w:rsidR="006A50D6">
        <w:rPr>
          <w:rFonts w:ascii="Times New Roman" w:eastAsia="Times New Roman" w:hAnsi="Times New Roman"/>
          <w:sz w:val="24"/>
          <w:szCs w:val="24"/>
          <w:lang w:val="sr-Cyrl-RS" w:eastAsia="en-GB"/>
        </w:rPr>
        <w:t>динарима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2D45E6A3" w14:textId="231C30DB" w:rsidR="006A50D6" w:rsidRPr="00C01606" w:rsidRDefault="006A50D6" w:rsidP="007C2D53">
      <w:pPr>
        <w:spacing w:after="0"/>
        <w:ind w:left="1276" w:hanging="556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C</w:t>
      </w:r>
      <w:r w:rsidRPr="005E0688">
        <w:rPr>
          <w:rFonts w:ascii="Times New Roman" w:eastAsia="Times New Roman" w:hAnsi="Times New Roman"/>
          <w:sz w:val="24"/>
          <w:szCs w:val="24"/>
          <w:vertAlign w:val="subscript"/>
          <w:lang w:eastAsia="en-GB"/>
        </w:rPr>
        <w:t>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ab/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>трошкови транспорта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отпада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за километар по тони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+ PDV</w:t>
      </w:r>
      <w:r w:rsidR="00C01606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6DADC7F1" w14:textId="0A48A152" w:rsidR="006A50D6" w:rsidRPr="00C01606" w:rsidRDefault="006A50D6" w:rsidP="00C01606">
      <w:pPr>
        <w:spacing w:after="0"/>
        <w:ind w:left="90" w:firstLine="63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C</w:t>
      </w:r>
      <w:r w:rsidRPr="005E0688">
        <w:rPr>
          <w:rFonts w:ascii="Times New Roman" w:eastAsia="Times New Roman" w:hAnsi="Times New Roman"/>
          <w:sz w:val="24"/>
          <w:szCs w:val="24"/>
          <w:vertAlign w:val="subscript"/>
          <w:lang w:eastAsia="en-GB"/>
        </w:rPr>
        <w:t>rd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C0160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  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трошкови операције збрињавања или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поновне употребе отпада (третмана) 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по тони 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+ PDV</w:t>
      </w:r>
      <w:r w:rsidR="00C01606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3EDC5965" w14:textId="00F538EC" w:rsidR="006A50D6" w:rsidRPr="00C01606" w:rsidRDefault="006A50D6" w:rsidP="007C2D53">
      <w:pPr>
        <w:spacing w:after="0"/>
        <w:ind w:left="1276" w:hanging="556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>С</w:t>
      </w:r>
      <w:r w:rsidRPr="005E0688">
        <w:rPr>
          <w:rFonts w:ascii="Times New Roman" w:eastAsia="Times New Roman" w:hAnsi="Times New Roman"/>
          <w:sz w:val="24"/>
          <w:szCs w:val="24"/>
          <w:vertAlign w:val="subscript"/>
          <w:lang w:eastAsia="en-GB"/>
        </w:rPr>
        <w:t>s</w:t>
      </w:r>
      <w:r>
        <w:rPr>
          <w:rFonts w:ascii="Times New Roman" w:eastAsia="Times New Roman" w:hAnsi="Times New Roman"/>
          <w:sz w:val="24"/>
          <w:szCs w:val="24"/>
          <w:vertAlign w:val="subscript"/>
          <w:lang w:val="sr-Cyrl-RS" w:eastAsia="en-GB"/>
        </w:rPr>
        <w:t>к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ab/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трошкови складиштења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отпада 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>по тони за период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од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90 дана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+ PDV</w:t>
      </w:r>
      <w:r w:rsidR="00C01606">
        <w:rPr>
          <w:rFonts w:ascii="Times New Roman" w:eastAsia="Times New Roman" w:hAnsi="Times New Roman"/>
          <w:sz w:val="24"/>
          <w:szCs w:val="24"/>
          <w:lang w:val="sr-Cyrl-RS" w:eastAsia="en-GB"/>
        </w:rPr>
        <w:t>;</w:t>
      </w:r>
    </w:p>
    <w:p w14:paraId="265E4073" w14:textId="04B1C254" w:rsidR="006A50D6" w:rsidRPr="006639DC" w:rsidRDefault="006A50D6" w:rsidP="007C2D53">
      <w:pPr>
        <w:spacing w:after="0"/>
        <w:ind w:left="1276" w:hanging="556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M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ab/>
      </w:r>
      <w:r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>укупна количина отпада у тонама</w:t>
      </w:r>
      <w:r w:rsidR="007C2D53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7B3BBB29" w14:textId="3583FFCD" w:rsidR="001D0326" w:rsidRPr="001D0326" w:rsidRDefault="007C2D53" w:rsidP="007C2D53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Начин обрачуна и</w:t>
      </w:r>
      <w:r w:rsidR="001D0326"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>знос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="001D0326"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поли</w:t>
      </w:r>
      <w:r w:rsidR="00715540">
        <w:rPr>
          <w:rFonts w:ascii="Times New Roman" w:eastAsia="Times New Roman" w:hAnsi="Times New Roman"/>
          <w:sz w:val="24"/>
          <w:szCs w:val="24"/>
          <w:lang w:val="sr-Cyrl-RS" w:eastAsia="en-GB"/>
        </w:rPr>
        <w:t>с</w:t>
      </w:r>
      <w:r w:rsidR="001D0326"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>е осигурања или</w:t>
      </w:r>
      <w:r w:rsidR="002A28DE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финансијске </w:t>
      </w:r>
      <w:r w:rsidR="001D0326"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715540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гаранције </w:t>
      </w:r>
      <w:r w:rsidR="001D0326"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>банке одређуј</w:t>
      </w:r>
      <w:r w:rsidR="002A28DE">
        <w:rPr>
          <w:rFonts w:ascii="Times New Roman" w:eastAsia="Times New Roman" w:hAnsi="Times New Roman"/>
          <w:sz w:val="24"/>
          <w:szCs w:val="24"/>
          <w:lang w:val="sr-Cyrl-RS" w:eastAsia="en-GB"/>
        </w:rPr>
        <w:t>е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се применом </w:t>
      </w:r>
      <w:r w:rsidR="005E0688">
        <w:rPr>
          <w:rFonts w:ascii="Times New Roman" w:eastAsia="Times New Roman" w:hAnsi="Times New Roman"/>
          <w:sz w:val="24"/>
          <w:szCs w:val="24"/>
          <w:lang w:val="sr-Cyrl-RS" w:eastAsia="en-GB"/>
        </w:rPr>
        <w:t>следеће формуле</w:t>
      </w:r>
      <w:r w:rsidR="001D0326"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>:</w:t>
      </w:r>
    </w:p>
    <w:p w14:paraId="582F1ED7" w14:textId="763E5070" w:rsidR="007C2D53" w:rsidRPr="00AC38F6" w:rsidRDefault="005E0688" w:rsidP="00AC38F6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FG</w:t>
      </w:r>
      <w:r w:rsidR="001D0326"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= (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C</w:t>
      </w:r>
      <w:r w:rsidRPr="005E0688">
        <w:rPr>
          <w:rFonts w:ascii="Times New Roman" w:eastAsia="Times New Roman" w:hAnsi="Times New Roman"/>
          <w:sz w:val="24"/>
          <w:szCs w:val="24"/>
          <w:vertAlign w:val="subscript"/>
          <w:lang w:eastAsia="en-GB"/>
        </w:rPr>
        <w:t>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+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C</w:t>
      </w:r>
      <w:r w:rsidRPr="005E0688">
        <w:rPr>
          <w:rFonts w:ascii="Times New Roman" w:eastAsia="Times New Roman" w:hAnsi="Times New Roman"/>
          <w:sz w:val="24"/>
          <w:szCs w:val="24"/>
          <w:vertAlign w:val="subscript"/>
          <w:lang w:eastAsia="en-GB"/>
        </w:rPr>
        <w:t>rd</w:t>
      </w:r>
      <w:r w:rsidR="001D0326" w:rsidRPr="001D0326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+ С</w:t>
      </w:r>
      <w:r w:rsidRPr="005E0688">
        <w:rPr>
          <w:rFonts w:ascii="Times New Roman" w:eastAsia="Times New Roman" w:hAnsi="Times New Roman"/>
          <w:sz w:val="24"/>
          <w:szCs w:val="24"/>
          <w:vertAlign w:val="subscript"/>
          <w:lang w:eastAsia="en-GB"/>
        </w:rPr>
        <w:t>s</w:t>
      </w:r>
      <w:r w:rsidR="006639DC">
        <w:rPr>
          <w:rFonts w:ascii="Times New Roman" w:eastAsia="Times New Roman" w:hAnsi="Times New Roman"/>
          <w:sz w:val="24"/>
          <w:szCs w:val="24"/>
          <w:vertAlign w:val="subscript"/>
          <w:lang w:val="sr-Cyrl-RS" w:eastAsia="en-GB"/>
        </w:rPr>
        <w:t>к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x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М</w:t>
      </w:r>
    </w:p>
    <w:p w14:paraId="51457A0D" w14:textId="14D75F74" w:rsidR="004622EF" w:rsidRPr="004622EF" w:rsidRDefault="004622EF" w:rsidP="007C2D5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4622E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Висина </w:t>
      </w:r>
      <w:r w:rsidR="006167FE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износа </w:t>
      </w:r>
      <w:r w:rsidRPr="004622E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финансијске гаранције из </w:t>
      </w:r>
      <w:r w:rsidR="002A28DE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овог члана </w:t>
      </w:r>
      <w:r w:rsidRPr="004622EF">
        <w:rPr>
          <w:rFonts w:ascii="Times New Roman" w:eastAsia="Times New Roman" w:hAnsi="Times New Roman"/>
          <w:sz w:val="24"/>
          <w:szCs w:val="24"/>
          <w:lang w:val="sr-Cyrl-RS" w:eastAsia="en-GB"/>
        </w:rPr>
        <w:t>усклађује се годишње са Индексом потрошачких цена према подацима републичке организације надлежне за послове статистике.</w:t>
      </w:r>
    </w:p>
    <w:p w14:paraId="28422865" w14:textId="74F839D1" w:rsidR="004622EF" w:rsidRDefault="004622EF" w:rsidP="007C2D5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6167FE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Министар </w:t>
      </w:r>
      <w:r w:rsidR="00681E4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објављује </w:t>
      </w:r>
      <w:r w:rsidRPr="006167FE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усклађене износе финансијске гаранције из става </w:t>
      </w:r>
      <w:r w:rsidR="0021611F">
        <w:rPr>
          <w:rFonts w:ascii="Times New Roman" w:eastAsia="Times New Roman" w:hAnsi="Times New Roman"/>
          <w:sz w:val="24"/>
          <w:szCs w:val="24"/>
          <w:lang w:val="sr-Cyrl-RS" w:eastAsia="en-GB"/>
        </w:rPr>
        <w:t>8</w:t>
      </w:r>
      <w:r w:rsidRPr="006167FE">
        <w:rPr>
          <w:rFonts w:ascii="Times New Roman" w:eastAsia="Times New Roman" w:hAnsi="Times New Roman"/>
          <w:sz w:val="24"/>
          <w:szCs w:val="24"/>
          <w:lang w:val="sr-Cyrl-RS" w:eastAsia="en-GB"/>
        </w:rPr>
        <w:t>. овог члана до 28. фебруара текуће године.</w:t>
      </w:r>
    </w:p>
    <w:p w14:paraId="6540BC18" w14:textId="77777777" w:rsidR="00AC38F6" w:rsidRDefault="00AC38F6" w:rsidP="007C2D5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7050DDFD" w14:textId="77777777" w:rsidR="00AC38F6" w:rsidRDefault="00AC38F6" w:rsidP="007C2D5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4EF3084D" w14:textId="77777777" w:rsidR="00AC38F6" w:rsidRDefault="00AC38F6" w:rsidP="007C2D5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751F88F6" w14:textId="5B32543F" w:rsidR="00AC38F6" w:rsidRDefault="00AC38F6" w:rsidP="007C2D5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                                                        Члан 8</w:t>
      </w:r>
      <w:r w:rsidR="0021611F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54A5EF07" w14:textId="51B1ADE2" w:rsidR="004622EF" w:rsidRDefault="00AC38F6" w:rsidP="00AC38F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Налогодавци финансијске гаранције односно оператери управљања отпадом  </w:t>
      </w:r>
      <w:r w:rsidR="002F2153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подносе </w:t>
      </w:r>
      <w:r w:rsidR="0093174B">
        <w:rPr>
          <w:rFonts w:ascii="Times New Roman" w:eastAsia="Times New Roman" w:hAnsi="Times New Roman"/>
          <w:sz w:val="24"/>
          <w:szCs w:val="24"/>
          <w:lang w:val="sr-Cyrl-RS" w:eastAsia="en-GB"/>
        </w:rPr>
        <w:t>надлежном органу који је издао</w:t>
      </w:r>
      <w:r w:rsidR="0093174B" w:rsidRPr="004622E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93174B">
        <w:rPr>
          <w:rFonts w:ascii="Times New Roman" w:eastAsia="Times New Roman" w:hAnsi="Times New Roman"/>
          <w:sz w:val="24"/>
          <w:szCs w:val="24"/>
          <w:lang w:val="sr-Cyrl-RS" w:eastAsia="en-GB"/>
        </w:rPr>
        <w:t>дозволу</w:t>
      </w:r>
      <w:r w:rsidR="004622E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за управљање отпадом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Pr="004622EF">
        <w:rPr>
          <w:rFonts w:ascii="Times New Roman" w:eastAsia="Times New Roman" w:hAnsi="Times New Roman"/>
          <w:sz w:val="24"/>
          <w:szCs w:val="24"/>
          <w:lang w:val="sr-Cyrl-RS" w:eastAsia="en-GB"/>
        </w:rPr>
        <w:t>одговарајуће финансијске гаранције или еквивалентног осигур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ања до </w:t>
      </w:r>
      <w:r w:rsidR="0093174B">
        <w:rPr>
          <w:rFonts w:ascii="Times New Roman" w:eastAsia="Times New Roman" w:hAnsi="Times New Roman"/>
          <w:sz w:val="24"/>
          <w:szCs w:val="24"/>
          <w:lang w:val="sr-Cyrl-RS" w:eastAsia="en-GB"/>
        </w:rPr>
        <w:t>31.</w:t>
      </w:r>
      <w:r w:rsidR="00EB033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bookmarkStart w:id="1" w:name="_Hlk149634189"/>
      <w:r w:rsidR="00EB033D">
        <w:rPr>
          <w:rFonts w:ascii="Times New Roman" w:eastAsia="Times New Roman" w:hAnsi="Times New Roman"/>
          <w:sz w:val="24"/>
          <w:szCs w:val="24"/>
          <w:lang w:val="sr-Cyrl-RS" w:eastAsia="en-GB"/>
        </w:rPr>
        <w:t>децембр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="00EB033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bookmarkEnd w:id="1"/>
      <w:r w:rsidR="0093174B">
        <w:rPr>
          <w:rFonts w:ascii="Times New Roman" w:eastAsia="Times New Roman" w:hAnsi="Times New Roman"/>
          <w:sz w:val="24"/>
          <w:szCs w:val="24"/>
          <w:lang w:val="sr-Cyrl-RS" w:eastAsia="en-GB"/>
        </w:rPr>
        <w:t>2024.</w:t>
      </w:r>
      <w:r w:rsidR="00681E4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93174B">
        <w:rPr>
          <w:rFonts w:ascii="Times New Roman" w:eastAsia="Times New Roman" w:hAnsi="Times New Roman"/>
          <w:sz w:val="24"/>
          <w:szCs w:val="24"/>
          <w:lang w:val="sr-Cyrl-RS" w:eastAsia="en-GB"/>
        </w:rPr>
        <w:t>године.</w:t>
      </w:r>
    </w:p>
    <w:p w14:paraId="138C10B9" w14:textId="35DD3C56" w:rsidR="00AC38F6" w:rsidRDefault="00AC38F6" w:rsidP="00F8695D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Налогодавци финансијске гаранције односно трговци и посредници </w:t>
      </w:r>
      <w:r w:rsidR="0021611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отпадом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уписани у </w:t>
      </w:r>
      <w:r w:rsidR="0021611F">
        <w:rPr>
          <w:rFonts w:ascii="Times New Roman" w:eastAsia="Times New Roman" w:hAnsi="Times New Roman"/>
          <w:sz w:val="24"/>
          <w:szCs w:val="24"/>
          <w:lang w:val="sr-Cyrl-RS" w:eastAsia="en-GB"/>
        </w:rPr>
        <w:t>Р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егистар посредника и</w:t>
      </w:r>
      <w:r w:rsidR="0021611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/или Регистар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трговаца отпадом  </w:t>
      </w:r>
      <w:r w:rsidR="002F2153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подносе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надлежном органу који води </w:t>
      </w:r>
      <w:r w:rsidR="0021611F">
        <w:rPr>
          <w:rFonts w:ascii="Times New Roman" w:eastAsia="Times New Roman" w:hAnsi="Times New Roman"/>
          <w:sz w:val="24"/>
          <w:szCs w:val="24"/>
          <w:lang w:val="sr-Cyrl-RS" w:eastAsia="en-GB"/>
        </w:rPr>
        <w:t>Р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егистар посредника и </w:t>
      </w:r>
      <w:r w:rsidR="0021611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Регистар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трговаца отпадом </w:t>
      </w:r>
      <w:r w:rsidRPr="004622EF">
        <w:rPr>
          <w:rFonts w:ascii="Times New Roman" w:eastAsia="Times New Roman" w:hAnsi="Times New Roman"/>
          <w:sz w:val="24"/>
          <w:szCs w:val="24"/>
          <w:lang w:val="sr-Cyrl-RS" w:eastAsia="en-GB"/>
        </w:rPr>
        <w:t>одговарајуће финансијске гаранције или еквивалентног осигур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ања до 31. децембра 2024.</w:t>
      </w:r>
      <w:r w:rsidR="002F2153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године.</w:t>
      </w:r>
    </w:p>
    <w:p w14:paraId="223FB1D5" w14:textId="3CD05D6A" w:rsidR="004622EF" w:rsidRDefault="00AC38F6" w:rsidP="0021611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>Налого</w:t>
      </w:r>
      <w:r w:rsidR="0021611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давац финансијске гаранције односно </w:t>
      </w:r>
      <w:r w:rsidR="004622E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постојећа </w:t>
      </w:r>
      <w:r w:rsidR="004622EF" w:rsidRPr="004622EF">
        <w:rPr>
          <w:rFonts w:ascii="Times New Roman" w:eastAsia="Times New Roman" w:hAnsi="Times New Roman"/>
          <w:sz w:val="24"/>
          <w:szCs w:val="24"/>
          <w:lang w:val="sr-Cyrl-RS" w:eastAsia="en-GB"/>
        </w:rPr>
        <w:t>постројења у управљању отпадом која подлежу обавези прибављања интегрисане дозволе</w:t>
      </w:r>
      <w:r w:rsidR="0021611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2F2153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достављају </w:t>
      </w:r>
      <w:r w:rsidR="0021611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надлежном органу за издавање интегрисане дозволе за управљање отпадом </w:t>
      </w:r>
      <w:r w:rsidR="0021611F" w:rsidRPr="004622EF">
        <w:rPr>
          <w:rFonts w:ascii="Times New Roman" w:eastAsia="Times New Roman" w:hAnsi="Times New Roman"/>
          <w:sz w:val="24"/>
          <w:szCs w:val="24"/>
          <w:lang w:val="sr-Cyrl-RS" w:eastAsia="en-GB"/>
        </w:rPr>
        <w:t>одговарајуће финансијске гаранције или еквивалентног осигур</w:t>
      </w:r>
      <w:r w:rsidR="0021611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ања до </w:t>
      </w:r>
      <w:r w:rsidR="004622E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31.</w:t>
      </w:r>
      <w:r w:rsidR="00EB033D" w:rsidRPr="00EB033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EB033D">
        <w:rPr>
          <w:rFonts w:ascii="Times New Roman" w:eastAsia="Times New Roman" w:hAnsi="Times New Roman"/>
          <w:sz w:val="24"/>
          <w:szCs w:val="24"/>
          <w:lang w:val="sr-Cyrl-RS" w:eastAsia="en-GB"/>
        </w:rPr>
        <w:t>децембр</w:t>
      </w:r>
      <w:r w:rsidR="0021611F">
        <w:rPr>
          <w:rFonts w:ascii="Times New Roman" w:eastAsia="Times New Roman" w:hAnsi="Times New Roman"/>
          <w:sz w:val="24"/>
          <w:szCs w:val="24"/>
          <w:lang w:val="sr-Cyrl-RS" w:eastAsia="en-GB"/>
        </w:rPr>
        <w:t>а</w:t>
      </w:r>
      <w:r w:rsidR="00EB033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4622EF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4622EF" w:rsidRPr="00B2527B">
        <w:rPr>
          <w:rFonts w:ascii="Times New Roman" w:eastAsia="Times New Roman" w:hAnsi="Times New Roman"/>
          <w:sz w:val="24"/>
          <w:szCs w:val="24"/>
          <w:lang w:val="sr-Cyrl-RS" w:eastAsia="en-GB"/>
        </w:rPr>
        <w:t>2026. године</w:t>
      </w:r>
      <w:r w:rsidR="0093174B" w:rsidRPr="00B2527B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162BEEB5" w14:textId="77777777" w:rsidR="007C2D53" w:rsidRDefault="007C2D53" w:rsidP="007C2D5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4A2D3874" w14:textId="72C8CE4F" w:rsidR="007C2D53" w:rsidRDefault="007C2D53" w:rsidP="007C2D5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1C9FACAE" w14:textId="2BCDD121" w:rsidR="00814C97" w:rsidRDefault="00814C97" w:rsidP="007C2D5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11DCB1B6" w14:textId="08B24F2E" w:rsidR="00814C97" w:rsidRDefault="00814C97" w:rsidP="007C2D5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3B9442B8" w14:textId="77777777" w:rsidR="008A12C4" w:rsidRDefault="008A12C4" w:rsidP="007C2D5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4912C203" w14:textId="77777777" w:rsidR="00814C97" w:rsidRPr="004622EF" w:rsidRDefault="00814C97" w:rsidP="007C2D5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56550665" w14:textId="6E872CDF" w:rsidR="004622EF" w:rsidRDefault="004622EF" w:rsidP="00F6717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52D15442" w14:textId="7941291C" w:rsidR="004622EF" w:rsidRDefault="004622EF" w:rsidP="003A0AD2">
      <w:pPr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800EBF">
        <w:rPr>
          <w:rFonts w:ascii="Times New Roman" w:eastAsia="Times New Roman" w:hAnsi="Times New Roman"/>
          <w:sz w:val="24"/>
          <w:szCs w:val="24"/>
          <w:lang w:val="sr-Cyrl-RS" w:eastAsia="en-GB"/>
        </w:rPr>
        <w:lastRenderedPageBreak/>
        <w:t xml:space="preserve">Члан </w:t>
      </w:r>
      <w:r w:rsidR="0021611F">
        <w:rPr>
          <w:rFonts w:ascii="Times New Roman" w:eastAsia="Times New Roman" w:hAnsi="Times New Roman"/>
          <w:sz w:val="24"/>
          <w:szCs w:val="24"/>
          <w:lang w:val="sr-Cyrl-RS" w:eastAsia="en-GB"/>
        </w:rPr>
        <w:t>9</w:t>
      </w:r>
      <w:r w:rsidRPr="00800EBF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10540873" w14:textId="08B2E2CB" w:rsidR="004622EF" w:rsidRPr="004622EF" w:rsidRDefault="004622EF" w:rsidP="003A0A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4622EF">
        <w:rPr>
          <w:rFonts w:ascii="Times New Roman" w:hAnsi="Times New Roman"/>
          <w:sz w:val="24"/>
          <w:szCs w:val="24"/>
          <w:lang w:val="sr-Cyrl-RS"/>
        </w:rPr>
        <w:t>Ова уредба ступа на снагу осмог дана од дана</w:t>
      </w:r>
      <w:r w:rsidRPr="004622EF">
        <w:rPr>
          <w:rFonts w:asciiTheme="minorHAnsi" w:hAnsiTheme="minorHAnsi" w:cstheme="minorBidi"/>
          <w:szCs w:val="22"/>
          <w:lang w:val="en-US"/>
        </w:rPr>
        <w:t xml:space="preserve"> </w:t>
      </w:r>
      <w:r w:rsidRPr="004622EF">
        <w:rPr>
          <w:rFonts w:ascii="Times New Roman" w:hAnsi="Times New Roman"/>
          <w:sz w:val="24"/>
          <w:szCs w:val="24"/>
          <w:lang w:val="sr-Cyrl-RS"/>
        </w:rPr>
        <w:t>објављивања у „Службеном гласнику</w:t>
      </w:r>
      <w:r w:rsidR="003A0AD2">
        <w:rPr>
          <w:rFonts w:ascii="Times New Roman" w:hAnsi="Times New Roman"/>
          <w:sz w:val="24"/>
          <w:szCs w:val="24"/>
          <w:lang w:val="sr-Cyrl-RS"/>
        </w:rPr>
        <w:t xml:space="preserve"> Републике Србијеˮ</w:t>
      </w:r>
      <w:r w:rsidRPr="004622EF">
        <w:rPr>
          <w:rFonts w:ascii="Times New Roman" w:hAnsi="Times New Roman"/>
          <w:sz w:val="24"/>
          <w:szCs w:val="24"/>
          <w:lang w:val="sr-Cyrl-RS"/>
        </w:rPr>
        <w:t>.</w:t>
      </w:r>
    </w:p>
    <w:p w14:paraId="4A60860B" w14:textId="77777777" w:rsidR="008F51C5" w:rsidRDefault="008F51C5" w:rsidP="00715540">
      <w:pPr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57794CDA" w14:textId="77777777" w:rsidR="006F6610" w:rsidRPr="00D34E07" w:rsidRDefault="006F6610" w:rsidP="006F6610">
      <w:pPr>
        <w:rPr>
          <w:rFonts w:ascii="Times New Roman" w:hAnsi="Times New Roman"/>
          <w:sz w:val="24"/>
          <w:szCs w:val="24"/>
          <w:lang w:val="en-US"/>
        </w:rPr>
      </w:pPr>
      <w:r w:rsidRPr="00065B13">
        <w:rPr>
          <w:rFonts w:ascii="Times New Roman" w:hAnsi="Times New Roman"/>
          <w:sz w:val="24"/>
          <w:szCs w:val="24"/>
          <w:lang w:val="sr-Cyrl-CS"/>
        </w:rPr>
        <w:t>05 Број:</w:t>
      </w:r>
      <w:r>
        <w:rPr>
          <w:rFonts w:ascii="Times New Roman" w:hAnsi="Times New Roman"/>
          <w:sz w:val="24"/>
          <w:szCs w:val="24"/>
          <w:lang w:val="en-US"/>
        </w:rPr>
        <w:t>110-11287/2023</w:t>
      </w:r>
    </w:p>
    <w:p w14:paraId="6386247B" w14:textId="1A821085" w:rsidR="006F6610" w:rsidRPr="00D34E07" w:rsidRDefault="006F6610" w:rsidP="006F6610">
      <w:pPr>
        <w:tabs>
          <w:tab w:val="left" w:pos="0"/>
          <w:tab w:val="left" w:pos="90"/>
        </w:tabs>
        <w:rPr>
          <w:rFonts w:ascii="Times New Roman" w:hAnsi="Times New Roman"/>
          <w:sz w:val="24"/>
          <w:szCs w:val="24"/>
          <w:lang w:val="sr-Cyrl-RS"/>
        </w:rPr>
      </w:pPr>
      <w:r w:rsidRPr="00065B13">
        <w:rPr>
          <w:rFonts w:ascii="Times New Roman" w:hAnsi="Times New Roman"/>
          <w:sz w:val="24"/>
          <w:szCs w:val="24"/>
          <w:lang w:val="sr-Cyrl-CS"/>
        </w:rPr>
        <w:t>У Београду,</w:t>
      </w:r>
      <w:r>
        <w:rPr>
          <w:rFonts w:ascii="Times New Roman" w:hAnsi="Times New Roman"/>
          <w:sz w:val="24"/>
          <w:szCs w:val="24"/>
          <w:lang w:val="en-US"/>
        </w:rPr>
        <w:t xml:space="preserve"> 20. </w:t>
      </w:r>
      <w:r>
        <w:rPr>
          <w:rFonts w:ascii="Times New Roman" w:hAnsi="Times New Roman"/>
          <w:sz w:val="24"/>
          <w:szCs w:val="24"/>
          <w:lang w:val="sr-Cyrl-RS"/>
        </w:rPr>
        <w:t>новембра 2023. године</w:t>
      </w:r>
    </w:p>
    <w:p w14:paraId="2C3261FE" w14:textId="77777777" w:rsidR="006F6610" w:rsidRPr="00065B13" w:rsidRDefault="006F6610" w:rsidP="006F661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65B13">
        <w:rPr>
          <w:rFonts w:ascii="Times New Roman" w:hAnsi="Times New Roman"/>
          <w:sz w:val="24"/>
          <w:szCs w:val="24"/>
          <w:lang w:val="sr-Cyrl-CS"/>
        </w:rPr>
        <w:t>В Л А Д А</w:t>
      </w:r>
    </w:p>
    <w:p w14:paraId="23E628EA" w14:textId="77777777" w:rsidR="006F6610" w:rsidRPr="00065B13" w:rsidRDefault="006F6610" w:rsidP="006F6610">
      <w:pPr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4FBC521A" w14:textId="77777777" w:rsidR="006F6610" w:rsidRPr="00065B13" w:rsidRDefault="006F6610" w:rsidP="006F6610">
      <w:pPr>
        <w:tabs>
          <w:tab w:val="left" w:pos="7080"/>
        </w:tabs>
        <w:rPr>
          <w:rFonts w:ascii="Times New Roman" w:hAnsi="Times New Roman"/>
          <w:sz w:val="24"/>
          <w:szCs w:val="24"/>
          <w:lang w:val="sr-Cyrl-CS"/>
        </w:rPr>
      </w:pPr>
      <w:r w:rsidRPr="00065B13">
        <w:rPr>
          <w:rFonts w:ascii="Times New Roman" w:hAnsi="Times New Roman"/>
          <w:sz w:val="24"/>
          <w:szCs w:val="24"/>
          <w:lang w:val="sr-Cyrl-CS"/>
        </w:rPr>
        <w:tab/>
        <w:t>ПРЕДСЕДНИК</w:t>
      </w:r>
    </w:p>
    <w:p w14:paraId="06A69906" w14:textId="77777777" w:rsidR="006F6610" w:rsidRPr="00065B13" w:rsidRDefault="006F6610" w:rsidP="006F6610">
      <w:pPr>
        <w:tabs>
          <w:tab w:val="left" w:pos="7144"/>
          <w:tab w:val="right" w:pos="9026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Ана Брнабић,с.р.</w:t>
      </w:r>
      <w:r>
        <w:rPr>
          <w:rFonts w:ascii="Times New Roman" w:hAnsi="Times New Roman"/>
          <w:sz w:val="24"/>
          <w:szCs w:val="24"/>
          <w:lang w:val="sr-Cyrl-CS"/>
        </w:rPr>
        <w:tab/>
      </w:r>
    </w:p>
    <w:p w14:paraId="09BFC538" w14:textId="77777777" w:rsidR="00404882" w:rsidRPr="008D36D7" w:rsidRDefault="00404882" w:rsidP="00404882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CFDADFE" w14:textId="77777777" w:rsidR="002969C6" w:rsidRPr="008D36D7" w:rsidRDefault="002969C6" w:rsidP="00404882">
      <w:pPr>
        <w:jc w:val="right"/>
        <w:rPr>
          <w:rFonts w:ascii="Times New Roman" w:hAnsi="Times New Roman"/>
          <w:sz w:val="24"/>
          <w:szCs w:val="24"/>
          <w:lang w:val="sr-Cyrl-RS"/>
        </w:rPr>
        <w:sectPr w:rsidR="002969C6" w:rsidRPr="008D36D7" w:rsidSect="008A12C4">
          <w:footerReference w:type="default" r:id="rId8"/>
          <w:pgSz w:w="11906" w:h="16838"/>
          <w:pgMar w:top="1440" w:right="1440" w:bottom="1440" w:left="1440" w:header="706" w:footer="706" w:gutter="0"/>
          <w:pgNumType w:start="1"/>
          <w:cols w:space="708"/>
          <w:titlePg/>
          <w:docGrid w:linePitch="360"/>
        </w:sectPr>
      </w:pPr>
    </w:p>
    <w:p w14:paraId="120622B9" w14:textId="77777777" w:rsidR="00F5151C" w:rsidRPr="003D679B" w:rsidRDefault="00F5151C" w:rsidP="0014365B">
      <w:pPr>
        <w:jc w:val="right"/>
        <w:rPr>
          <w:lang w:val="sr-Cyrl-RS"/>
        </w:rPr>
      </w:pPr>
    </w:p>
    <w:sectPr w:rsidR="00F5151C" w:rsidRPr="003D679B" w:rsidSect="0014365B">
      <w:type w:val="continuous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661CA" w14:textId="77777777" w:rsidR="00651429" w:rsidRDefault="00651429" w:rsidP="002969C6">
      <w:pPr>
        <w:spacing w:after="0" w:line="240" w:lineRule="auto"/>
      </w:pPr>
      <w:r>
        <w:separator/>
      </w:r>
    </w:p>
  </w:endnote>
  <w:endnote w:type="continuationSeparator" w:id="0">
    <w:p w14:paraId="344C4BE3" w14:textId="77777777" w:rsidR="00651429" w:rsidRDefault="00651429" w:rsidP="0029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 Square Sans Pro">
    <w:altName w:val="Segoe UI"/>
    <w:charset w:val="00"/>
    <w:family w:val="swiss"/>
    <w:pitch w:val="variable"/>
    <w:sig w:usb0="00000001" w:usb1="5000E0F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1368935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7F3570B9" w14:textId="2D132036" w:rsidR="006C7507" w:rsidRPr="00F417AE" w:rsidRDefault="006C7507">
        <w:pPr>
          <w:pStyle w:val="Footer"/>
          <w:jc w:val="right"/>
          <w:rPr>
            <w:rFonts w:ascii="Times New Roman" w:hAnsi="Times New Roman"/>
          </w:rPr>
        </w:pPr>
        <w:r w:rsidRPr="00F417AE">
          <w:rPr>
            <w:rFonts w:ascii="Times New Roman" w:hAnsi="Times New Roman"/>
          </w:rPr>
          <w:fldChar w:fldCharType="begin"/>
        </w:r>
        <w:r w:rsidRPr="00F417AE">
          <w:rPr>
            <w:rFonts w:ascii="Times New Roman" w:hAnsi="Times New Roman"/>
          </w:rPr>
          <w:instrText xml:space="preserve"> PAGE   \* MERGEFORMAT </w:instrText>
        </w:r>
        <w:r w:rsidRPr="00F417AE">
          <w:rPr>
            <w:rFonts w:ascii="Times New Roman" w:hAnsi="Times New Roman"/>
          </w:rPr>
          <w:fldChar w:fldCharType="separate"/>
        </w:r>
        <w:r w:rsidR="006F6610">
          <w:rPr>
            <w:rFonts w:ascii="Times New Roman" w:hAnsi="Times New Roman"/>
            <w:noProof/>
          </w:rPr>
          <w:t>5</w:t>
        </w:r>
        <w:r w:rsidRPr="00F417AE">
          <w:rPr>
            <w:rFonts w:ascii="Times New Roman" w:hAnsi="Times New Roman"/>
            <w:noProof/>
          </w:rPr>
          <w:fldChar w:fldCharType="end"/>
        </w:r>
      </w:p>
    </w:sdtContent>
  </w:sdt>
  <w:p w14:paraId="4032618B" w14:textId="77777777" w:rsidR="006C7507" w:rsidRDefault="006C75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A3F76" w14:textId="77777777" w:rsidR="00651429" w:rsidRDefault="00651429" w:rsidP="002969C6">
      <w:pPr>
        <w:spacing w:after="0" w:line="240" w:lineRule="auto"/>
      </w:pPr>
      <w:r>
        <w:separator/>
      </w:r>
    </w:p>
  </w:footnote>
  <w:footnote w:type="continuationSeparator" w:id="0">
    <w:p w14:paraId="6A118E18" w14:textId="77777777" w:rsidR="00651429" w:rsidRDefault="00651429" w:rsidP="002969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010B"/>
    <w:multiLevelType w:val="hybridMultilevel"/>
    <w:tmpl w:val="8584AA86"/>
    <w:lvl w:ilvl="0" w:tplc="7AE06AA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5A7885"/>
    <w:multiLevelType w:val="hybridMultilevel"/>
    <w:tmpl w:val="B1F6E052"/>
    <w:lvl w:ilvl="0" w:tplc="241A0017">
      <w:start w:val="1"/>
      <w:numFmt w:val="lowerLetter"/>
      <w:lvlText w:val="%1)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746F96"/>
    <w:multiLevelType w:val="hybridMultilevel"/>
    <w:tmpl w:val="478879E0"/>
    <w:lvl w:ilvl="0" w:tplc="08090011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1C2DB1"/>
    <w:multiLevelType w:val="hybridMultilevel"/>
    <w:tmpl w:val="6E66CFC6"/>
    <w:lvl w:ilvl="0" w:tplc="020AB2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4D610A"/>
    <w:multiLevelType w:val="hybridMultilevel"/>
    <w:tmpl w:val="1C3ED5A6"/>
    <w:lvl w:ilvl="0" w:tplc="241A0017">
      <w:start w:val="1"/>
      <w:numFmt w:val="lowerLetter"/>
      <w:lvlText w:val="%1)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251B39"/>
    <w:multiLevelType w:val="hybridMultilevel"/>
    <w:tmpl w:val="2F9A83F4"/>
    <w:lvl w:ilvl="0" w:tplc="2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5B86"/>
    <w:multiLevelType w:val="hybridMultilevel"/>
    <w:tmpl w:val="F622FA1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E68570B"/>
    <w:multiLevelType w:val="hybridMultilevel"/>
    <w:tmpl w:val="B1F6E052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4890CBB"/>
    <w:multiLevelType w:val="hybridMultilevel"/>
    <w:tmpl w:val="BA3ACB1E"/>
    <w:lvl w:ilvl="0" w:tplc="241A0017">
      <w:start w:val="1"/>
      <w:numFmt w:val="lowerLetter"/>
      <w:lvlText w:val="%1)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0F5DBE"/>
    <w:multiLevelType w:val="hybridMultilevel"/>
    <w:tmpl w:val="1BC823FA"/>
    <w:lvl w:ilvl="0" w:tplc="CC24282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153FEE"/>
    <w:multiLevelType w:val="hybridMultilevel"/>
    <w:tmpl w:val="7106790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903C3"/>
    <w:multiLevelType w:val="hybridMultilevel"/>
    <w:tmpl w:val="145ED2D4"/>
    <w:lvl w:ilvl="0" w:tplc="08090017">
      <w:start w:val="1"/>
      <w:numFmt w:val="lowerLetter"/>
      <w:lvlText w:val="%1)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B226B2E"/>
    <w:multiLevelType w:val="hybridMultilevel"/>
    <w:tmpl w:val="03985358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C3F9A"/>
    <w:multiLevelType w:val="hybridMultilevel"/>
    <w:tmpl w:val="B6568EE6"/>
    <w:lvl w:ilvl="0" w:tplc="2870DE1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96" w:hanging="360"/>
      </w:pPr>
    </w:lvl>
    <w:lvl w:ilvl="2" w:tplc="0809001B" w:tentative="1">
      <w:start w:val="1"/>
      <w:numFmt w:val="lowerRoman"/>
      <w:lvlText w:val="%3."/>
      <w:lvlJc w:val="right"/>
      <w:pPr>
        <w:ind w:left="1516" w:hanging="180"/>
      </w:pPr>
    </w:lvl>
    <w:lvl w:ilvl="3" w:tplc="0809000F" w:tentative="1">
      <w:start w:val="1"/>
      <w:numFmt w:val="decimal"/>
      <w:lvlText w:val="%4."/>
      <w:lvlJc w:val="left"/>
      <w:pPr>
        <w:ind w:left="2236" w:hanging="360"/>
      </w:pPr>
    </w:lvl>
    <w:lvl w:ilvl="4" w:tplc="08090019" w:tentative="1">
      <w:start w:val="1"/>
      <w:numFmt w:val="lowerLetter"/>
      <w:lvlText w:val="%5."/>
      <w:lvlJc w:val="left"/>
      <w:pPr>
        <w:ind w:left="2956" w:hanging="360"/>
      </w:pPr>
    </w:lvl>
    <w:lvl w:ilvl="5" w:tplc="0809001B" w:tentative="1">
      <w:start w:val="1"/>
      <w:numFmt w:val="lowerRoman"/>
      <w:lvlText w:val="%6."/>
      <w:lvlJc w:val="right"/>
      <w:pPr>
        <w:ind w:left="3676" w:hanging="180"/>
      </w:pPr>
    </w:lvl>
    <w:lvl w:ilvl="6" w:tplc="0809000F" w:tentative="1">
      <w:start w:val="1"/>
      <w:numFmt w:val="decimal"/>
      <w:lvlText w:val="%7."/>
      <w:lvlJc w:val="left"/>
      <w:pPr>
        <w:ind w:left="4396" w:hanging="360"/>
      </w:pPr>
    </w:lvl>
    <w:lvl w:ilvl="7" w:tplc="08090019" w:tentative="1">
      <w:start w:val="1"/>
      <w:numFmt w:val="lowerLetter"/>
      <w:lvlText w:val="%8."/>
      <w:lvlJc w:val="left"/>
      <w:pPr>
        <w:ind w:left="5116" w:hanging="360"/>
      </w:pPr>
    </w:lvl>
    <w:lvl w:ilvl="8" w:tplc="08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32F17910"/>
    <w:multiLevelType w:val="hybridMultilevel"/>
    <w:tmpl w:val="9C7813F6"/>
    <w:lvl w:ilvl="0" w:tplc="B874F2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31CF7"/>
    <w:multiLevelType w:val="hybridMultilevel"/>
    <w:tmpl w:val="3B28DB2E"/>
    <w:lvl w:ilvl="0" w:tplc="25769E0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6E0C76"/>
    <w:multiLevelType w:val="hybridMultilevel"/>
    <w:tmpl w:val="CCFA4234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7CE2A65"/>
    <w:multiLevelType w:val="hybridMultilevel"/>
    <w:tmpl w:val="2A067FFA"/>
    <w:lvl w:ilvl="0" w:tplc="CC24282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DF2314"/>
    <w:multiLevelType w:val="hybridMultilevel"/>
    <w:tmpl w:val="0938E8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BE09A9"/>
    <w:multiLevelType w:val="hybridMultilevel"/>
    <w:tmpl w:val="09C08542"/>
    <w:lvl w:ilvl="0" w:tplc="65329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66A1D90"/>
    <w:multiLevelType w:val="hybridMultilevel"/>
    <w:tmpl w:val="1548C9E2"/>
    <w:lvl w:ilvl="0" w:tplc="C972A7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B452E0"/>
    <w:multiLevelType w:val="hybridMultilevel"/>
    <w:tmpl w:val="64E8A9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47367"/>
    <w:multiLevelType w:val="hybridMultilevel"/>
    <w:tmpl w:val="0BD2F17E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F775A98"/>
    <w:multiLevelType w:val="hybridMultilevel"/>
    <w:tmpl w:val="CCFA4234"/>
    <w:lvl w:ilvl="0" w:tplc="2118FE0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9D1F8F"/>
    <w:multiLevelType w:val="hybridMultilevel"/>
    <w:tmpl w:val="5CA47B56"/>
    <w:lvl w:ilvl="0" w:tplc="1FB835F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58301C"/>
    <w:multiLevelType w:val="hybridMultilevel"/>
    <w:tmpl w:val="E0F21FE8"/>
    <w:lvl w:ilvl="0" w:tplc="4D64631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FE740B9"/>
    <w:multiLevelType w:val="hybridMultilevel"/>
    <w:tmpl w:val="B2920E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57131"/>
    <w:multiLevelType w:val="hybridMultilevel"/>
    <w:tmpl w:val="7DEE88D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A9494B"/>
    <w:multiLevelType w:val="hybridMultilevel"/>
    <w:tmpl w:val="F07A26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D06F45"/>
    <w:multiLevelType w:val="hybridMultilevel"/>
    <w:tmpl w:val="DC7AD028"/>
    <w:lvl w:ilvl="0" w:tplc="0809000F">
      <w:start w:val="1"/>
      <w:numFmt w:val="decimal"/>
      <w:lvlText w:val="%1."/>
      <w:lvlJc w:val="left"/>
      <w:pPr>
        <w:ind w:left="578" w:hanging="360"/>
      </w:pPr>
    </w:lvl>
    <w:lvl w:ilvl="1" w:tplc="08090019" w:tentative="1">
      <w:start w:val="1"/>
      <w:numFmt w:val="lowerLetter"/>
      <w:lvlText w:val="%2."/>
      <w:lvlJc w:val="left"/>
      <w:pPr>
        <w:ind w:left="1298" w:hanging="360"/>
      </w:pPr>
    </w:lvl>
    <w:lvl w:ilvl="2" w:tplc="0809001B" w:tentative="1">
      <w:start w:val="1"/>
      <w:numFmt w:val="lowerRoman"/>
      <w:lvlText w:val="%3."/>
      <w:lvlJc w:val="right"/>
      <w:pPr>
        <w:ind w:left="2018" w:hanging="180"/>
      </w:pPr>
    </w:lvl>
    <w:lvl w:ilvl="3" w:tplc="0809000F" w:tentative="1">
      <w:start w:val="1"/>
      <w:numFmt w:val="decimal"/>
      <w:lvlText w:val="%4."/>
      <w:lvlJc w:val="left"/>
      <w:pPr>
        <w:ind w:left="2738" w:hanging="360"/>
      </w:pPr>
    </w:lvl>
    <w:lvl w:ilvl="4" w:tplc="08090019" w:tentative="1">
      <w:start w:val="1"/>
      <w:numFmt w:val="lowerLetter"/>
      <w:lvlText w:val="%5."/>
      <w:lvlJc w:val="left"/>
      <w:pPr>
        <w:ind w:left="3458" w:hanging="360"/>
      </w:pPr>
    </w:lvl>
    <w:lvl w:ilvl="5" w:tplc="0809001B" w:tentative="1">
      <w:start w:val="1"/>
      <w:numFmt w:val="lowerRoman"/>
      <w:lvlText w:val="%6."/>
      <w:lvlJc w:val="right"/>
      <w:pPr>
        <w:ind w:left="4178" w:hanging="180"/>
      </w:pPr>
    </w:lvl>
    <w:lvl w:ilvl="6" w:tplc="0809000F" w:tentative="1">
      <w:start w:val="1"/>
      <w:numFmt w:val="decimal"/>
      <w:lvlText w:val="%7."/>
      <w:lvlJc w:val="left"/>
      <w:pPr>
        <w:ind w:left="4898" w:hanging="360"/>
      </w:pPr>
    </w:lvl>
    <w:lvl w:ilvl="7" w:tplc="08090019" w:tentative="1">
      <w:start w:val="1"/>
      <w:numFmt w:val="lowerLetter"/>
      <w:lvlText w:val="%8."/>
      <w:lvlJc w:val="left"/>
      <w:pPr>
        <w:ind w:left="5618" w:hanging="360"/>
      </w:pPr>
    </w:lvl>
    <w:lvl w:ilvl="8" w:tplc="08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7A863B73"/>
    <w:multiLevelType w:val="hybridMultilevel"/>
    <w:tmpl w:val="F55A04A6"/>
    <w:lvl w:ilvl="0" w:tplc="08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EFA0EC3"/>
    <w:multiLevelType w:val="hybridMultilevel"/>
    <w:tmpl w:val="1A082F22"/>
    <w:lvl w:ilvl="0" w:tplc="CC24282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9216161">
    <w:abstractNumId w:val="18"/>
  </w:num>
  <w:num w:numId="2" w16cid:durableId="1475953057">
    <w:abstractNumId w:val="26"/>
  </w:num>
  <w:num w:numId="3" w16cid:durableId="547647179">
    <w:abstractNumId w:val="12"/>
  </w:num>
  <w:num w:numId="4" w16cid:durableId="1104224981">
    <w:abstractNumId w:val="13"/>
  </w:num>
  <w:num w:numId="5" w16cid:durableId="833228257">
    <w:abstractNumId w:val="24"/>
  </w:num>
  <w:num w:numId="6" w16cid:durableId="11570648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6329960">
    <w:abstractNumId w:val="5"/>
  </w:num>
  <w:num w:numId="8" w16cid:durableId="5256422">
    <w:abstractNumId w:val="10"/>
  </w:num>
  <w:num w:numId="9" w16cid:durableId="257177050">
    <w:abstractNumId w:val="1"/>
  </w:num>
  <w:num w:numId="10" w16cid:durableId="201214748">
    <w:abstractNumId w:val="8"/>
  </w:num>
  <w:num w:numId="11" w16cid:durableId="399638848">
    <w:abstractNumId w:val="7"/>
  </w:num>
  <w:num w:numId="12" w16cid:durableId="1232159273">
    <w:abstractNumId w:val="4"/>
  </w:num>
  <w:num w:numId="13" w16cid:durableId="1661695032">
    <w:abstractNumId w:val="2"/>
  </w:num>
  <w:num w:numId="14" w16cid:durableId="1836067703">
    <w:abstractNumId w:val="11"/>
  </w:num>
  <w:num w:numId="15" w16cid:durableId="1676960498">
    <w:abstractNumId w:val="0"/>
  </w:num>
  <w:num w:numId="16" w16cid:durableId="107315028">
    <w:abstractNumId w:val="9"/>
  </w:num>
  <w:num w:numId="17" w16cid:durableId="866407841">
    <w:abstractNumId w:val="15"/>
  </w:num>
  <w:num w:numId="18" w16cid:durableId="506673802">
    <w:abstractNumId w:val="29"/>
  </w:num>
  <w:num w:numId="19" w16cid:durableId="2114854984">
    <w:abstractNumId w:val="19"/>
  </w:num>
  <w:num w:numId="20" w16cid:durableId="1249117607">
    <w:abstractNumId w:val="28"/>
  </w:num>
  <w:num w:numId="21" w16cid:durableId="1218932783">
    <w:abstractNumId w:val="23"/>
  </w:num>
  <w:num w:numId="22" w16cid:durableId="267851999">
    <w:abstractNumId w:val="17"/>
  </w:num>
  <w:num w:numId="23" w16cid:durableId="224996784">
    <w:abstractNumId w:val="31"/>
  </w:num>
  <w:num w:numId="24" w16cid:durableId="837883854">
    <w:abstractNumId w:val="27"/>
  </w:num>
  <w:num w:numId="25" w16cid:durableId="1962303129">
    <w:abstractNumId w:val="22"/>
  </w:num>
  <w:num w:numId="26" w16cid:durableId="793209951">
    <w:abstractNumId w:val="30"/>
  </w:num>
  <w:num w:numId="27" w16cid:durableId="2131045613">
    <w:abstractNumId w:val="6"/>
  </w:num>
  <w:num w:numId="28" w16cid:durableId="490143962">
    <w:abstractNumId w:val="14"/>
  </w:num>
  <w:num w:numId="29" w16cid:durableId="959459970">
    <w:abstractNumId w:val="3"/>
  </w:num>
  <w:num w:numId="30" w16cid:durableId="1173495273">
    <w:abstractNumId w:val="25"/>
  </w:num>
  <w:num w:numId="31" w16cid:durableId="888568781">
    <w:abstractNumId w:val="16"/>
  </w:num>
  <w:num w:numId="32" w16cid:durableId="5171616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31286133">
    <w:abstractNumId w:val="20"/>
  </w:num>
  <w:num w:numId="34" w16cid:durableId="113298759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882"/>
    <w:rsid w:val="000102EF"/>
    <w:rsid w:val="00017710"/>
    <w:rsid w:val="000267E2"/>
    <w:rsid w:val="00027F0D"/>
    <w:rsid w:val="00035B09"/>
    <w:rsid w:val="00037848"/>
    <w:rsid w:val="00040B8E"/>
    <w:rsid w:val="00053F5C"/>
    <w:rsid w:val="00060283"/>
    <w:rsid w:val="000706F0"/>
    <w:rsid w:val="00092480"/>
    <w:rsid w:val="0009314D"/>
    <w:rsid w:val="000A3DF8"/>
    <w:rsid w:val="000B0E81"/>
    <w:rsid w:val="000D53B5"/>
    <w:rsid w:val="000F6611"/>
    <w:rsid w:val="00127689"/>
    <w:rsid w:val="00131109"/>
    <w:rsid w:val="0014365B"/>
    <w:rsid w:val="00143AA1"/>
    <w:rsid w:val="00172EB9"/>
    <w:rsid w:val="001757D1"/>
    <w:rsid w:val="00177948"/>
    <w:rsid w:val="0019582C"/>
    <w:rsid w:val="001B0331"/>
    <w:rsid w:val="001D0326"/>
    <w:rsid w:val="001D07F8"/>
    <w:rsid w:val="001D6E9F"/>
    <w:rsid w:val="001E4FE2"/>
    <w:rsid w:val="00200CEC"/>
    <w:rsid w:val="00204772"/>
    <w:rsid w:val="0021611F"/>
    <w:rsid w:val="00234B1C"/>
    <w:rsid w:val="00251E6D"/>
    <w:rsid w:val="002547C1"/>
    <w:rsid w:val="00260735"/>
    <w:rsid w:val="00263518"/>
    <w:rsid w:val="002679F1"/>
    <w:rsid w:val="002735D9"/>
    <w:rsid w:val="002741F9"/>
    <w:rsid w:val="0029412B"/>
    <w:rsid w:val="00294D55"/>
    <w:rsid w:val="002969C6"/>
    <w:rsid w:val="002A28DE"/>
    <w:rsid w:val="002A2A0D"/>
    <w:rsid w:val="002A4429"/>
    <w:rsid w:val="002A4F2D"/>
    <w:rsid w:val="002A5090"/>
    <w:rsid w:val="002B4B03"/>
    <w:rsid w:val="002B53A5"/>
    <w:rsid w:val="002C3E33"/>
    <w:rsid w:val="002F0C0D"/>
    <w:rsid w:val="002F2153"/>
    <w:rsid w:val="002F506E"/>
    <w:rsid w:val="002F7E6C"/>
    <w:rsid w:val="00320CA4"/>
    <w:rsid w:val="00324527"/>
    <w:rsid w:val="00327342"/>
    <w:rsid w:val="0033497E"/>
    <w:rsid w:val="00347F2A"/>
    <w:rsid w:val="003500D8"/>
    <w:rsid w:val="00350CFB"/>
    <w:rsid w:val="00364C81"/>
    <w:rsid w:val="00372A8B"/>
    <w:rsid w:val="0037373B"/>
    <w:rsid w:val="00382D60"/>
    <w:rsid w:val="003A0AD2"/>
    <w:rsid w:val="003A35E9"/>
    <w:rsid w:val="003C170C"/>
    <w:rsid w:val="003C5CBE"/>
    <w:rsid w:val="003C6340"/>
    <w:rsid w:val="003C71E1"/>
    <w:rsid w:val="003D04BF"/>
    <w:rsid w:val="003D679B"/>
    <w:rsid w:val="003F1DEC"/>
    <w:rsid w:val="003F2EA9"/>
    <w:rsid w:val="003F5382"/>
    <w:rsid w:val="003F71A2"/>
    <w:rsid w:val="004046E8"/>
    <w:rsid w:val="00404882"/>
    <w:rsid w:val="00407022"/>
    <w:rsid w:val="00417DF8"/>
    <w:rsid w:val="00426541"/>
    <w:rsid w:val="0044065D"/>
    <w:rsid w:val="00450853"/>
    <w:rsid w:val="00457836"/>
    <w:rsid w:val="00457A81"/>
    <w:rsid w:val="00461608"/>
    <w:rsid w:val="004622EF"/>
    <w:rsid w:val="00463A37"/>
    <w:rsid w:val="00465631"/>
    <w:rsid w:val="0047002B"/>
    <w:rsid w:val="004731A8"/>
    <w:rsid w:val="00486075"/>
    <w:rsid w:val="004924F3"/>
    <w:rsid w:val="004A25DC"/>
    <w:rsid w:val="004B0DF5"/>
    <w:rsid w:val="004D1701"/>
    <w:rsid w:val="004E4541"/>
    <w:rsid w:val="004F70D9"/>
    <w:rsid w:val="004F765F"/>
    <w:rsid w:val="005049E9"/>
    <w:rsid w:val="00521FD7"/>
    <w:rsid w:val="00526165"/>
    <w:rsid w:val="005262BC"/>
    <w:rsid w:val="00526AD9"/>
    <w:rsid w:val="0054525E"/>
    <w:rsid w:val="00545F90"/>
    <w:rsid w:val="0054603F"/>
    <w:rsid w:val="00550E66"/>
    <w:rsid w:val="005533BC"/>
    <w:rsid w:val="00576670"/>
    <w:rsid w:val="00582F21"/>
    <w:rsid w:val="00584797"/>
    <w:rsid w:val="00586313"/>
    <w:rsid w:val="0059503C"/>
    <w:rsid w:val="005A6C3F"/>
    <w:rsid w:val="005B6FAD"/>
    <w:rsid w:val="005B722A"/>
    <w:rsid w:val="005E0688"/>
    <w:rsid w:val="005E212A"/>
    <w:rsid w:val="0061040F"/>
    <w:rsid w:val="006167FE"/>
    <w:rsid w:val="006235AA"/>
    <w:rsid w:val="00651429"/>
    <w:rsid w:val="006639DC"/>
    <w:rsid w:val="00680C38"/>
    <w:rsid w:val="00681E4D"/>
    <w:rsid w:val="006948D4"/>
    <w:rsid w:val="0069659B"/>
    <w:rsid w:val="006A213B"/>
    <w:rsid w:val="006A5018"/>
    <w:rsid w:val="006A50D6"/>
    <w:rsid w:val="006A5E40"/>
    <w:rsid w:val="006B2244"/>
    <w:rsid w:val="006C5973"/>
    <w:rsid w:val="006C7507"/>
    <w:rsid w:val="006D1510"/>
    <w:rsid w:val="006F52EF"/>
    <w:rsid w:val="006F6610"/>
    <w:rsid w:val="00710310"/>
    <w:rsid w:val="00714EB9"/>
    <w:rsid w:val="00715540"/>
    <w:rsid w:val="007268B3"/>
    <w:rsid w:val="00726C0E"/>
    <w:rsid w:val="00727E61"/>
    <w:rsid w:val="00754071"/>
    <w:rsid w:val="00763A13"/>
    <w:rsid w:val="00772B97"/>
    <w:rsid w:val="0078313C"/>
    <w:rsid w:val="007C2D53"/>
    <w:rsid w:val="007D26D3"/>
    <w:rsid w:val="007D369E"/>
    <w:rsid w:val="007D7FD0"/>
    <w:rsid w:val="007E2EB5"/>
    <w:rsid w:val="007E5806"/>
    <w:rsid w:val="00800EBF"/>
    <w:rsid w:val="00814C97"/>
    <w:rsid w:val="00815BC0"/>
    <w:rsid w:val="008246CF"/>
    <w:rsid w:val="008532CC"/>
    <w:rsid w:val="0086608D"/>
    <w:rsid w:val="00877AE3"/>
    <w:rsid w:val="00891C5F"/>
    <w:rsid w:val="008A12C4"/>
    <w:rsid w:val="008A7BEF"/>
    <w:rsid w:val="008B2DE4"/>
    <w:rsid w:val="008B3E14"/>
    <w:rsid w:val="008B6354"/>
    <w:rsid w:val="008D10A2"/>
    <w:rsid w:val="008D36D7"/>
    <w:rsid w:val="008E757B"/>
    <w:rsid w:val="008F51C5"/>
    <w:rsid w:val="0093174B"/>
    <w:rsid w:val="00936FB9"/>
    <w:rsid w:val="00960E25"/>
    <w:rsid w:val="00972989"/>
    <w:rsid w:val="00973060"/>
    <w:rsid w:val="00973DF8"/>
    <w:rsid w:val="0097495F"/>
    <w:rsid w:val="009A169F"/>
    <w:rsid w:val="009A44F1"/>
    <w:rsid w:val="009C72FD"/>
    <w:rsid w:val="009D64E8"/>
    <w:rsid w:val="009F43AB"/>
    <w:rsid w:val="00A06547"/>
    <w:rsid w:val="00A174D7"/>
    <w:rsid w:val="00A50170"/>
    <w:rsid w:val="00A501EA"/>
    <w:rsid w:val="00A56549"/>
    <w:rsid w:val="00A73F68"/>
    <w:rsid w:val="00A74160"/>
    <w:rsid w:val="00A82967"/>
    <w:rsid w:val="00AA0B04"/>
    <w:rsid w:val="00AA15C7"/>
    <w:rsid w:val="00AB42C5"/>
    <w:rsid w:val="00AB5107"/>
    <w:rsid w:val="00AC38F6"/>
    <w:rsid w:val="00AD2A00"/>
    <w:rsid w:val="00AE0D05"/>
    <w:rsid w:val="00AE3B9D"/>
    <w:rsid w:val="00AF5033"/>
    <w:rsid w:val="00B05F40"/>
    <w:rsid w:val="00B21929"/>
    <w:rsid w:val="00B22933"/>
    <w:rsid w:val="00B2527B"/>
    <w:rsid w:val="00B37FD6"/>
    <w:rsid w:val="00B411E6"/>
    <w:rsid w:val="00B57B61"/>
    <w:rsid w:val="00B64F22"/>
    <w:rsid w:val="00B80E60"/>
    <w:rsid w:val="00B87977"/>
    <w:rsid w:val="00BA7B18"/>
    <w:rsid w:val="00BB222C"/>
    <w:rsid w:val="00BC1E7F"/>
    <w:rsid w:val="00BD57BD"/>
    <w:rsid w:val="00BE4335"/>
    <w:rsid w:val="00BF4487"/>
    <w:rsid w:val="00C01606"/>
    <w:rsid w:val="00C03E97"/>
    <w:rsid w:val="00C1248F"/>
    <w:rsid w:val="00C23796"/>
    <w:rsid w:val="00C461CB"/>
    <w:rsid w:val="00C52D46"/>
    <w:rsid w:val="00C72D52"/>
    <w:rsid w:val="00C73DB2"/>
    <w:rsid w:val="00C77546"/>
    <w:rsid w:val="00C83CBE"/>
    <w:rsid w:val="00C84A9F"/>
    <w:rsid w:val="00C86440"/>
    <w:rsid w:val="00C87ADF"/>
    <w:rsid w:val="00C87BDC"/>
    <w:rsid w:val="00C93DF5"/>
    <w:rsid w:val="00C94FF4"/>
    <w:rsid w:val="00CA2927"/>
    <w:rsid w:val="00CB0385"/>
    <w:rsid w:val="00CB6AA1"/>
    <w:rsid w:val="00CF3C13"/>
    <w:rsid w:val="00D00482"/>
    <w:rsid w:val="00D01145"/>
    <w:rsid w:val="00D01C73"/>
    <w:rsid w:val="00D04956"/>
    <w:rsid w:val="00D06114"/>
    <w:rsid w:val="00D13D2D"/>
    <w:rsid w:val="00D1523B"/>
    <w:rsid w:val="00D279DE"/>
    <w:rsid w:val="00D43650"/>
    <w:rsid w:val="00D6508C"/>
    <w:rsid w:val="00D65B89"/>
    <w:rsid w:val="00D85159"/>
    <w:rsid w:val="00DA42F7"/>
    <w:rsid w:val="00DB2D6F"/>
    <w:rsid w:val="00DB593A"/>
    <w:rsid w:val="00E00D26"/>
    <w:rsid w:val="00E16DDA"/>
    <w:rsid w:val="00E20C17"/>
    <w:rsid w:val="00E228AA"/>
    <w:rsid w:val="00E312C9"/>
    <w:rsid w:val="00E5060C"/>
    <w:rsid w:val="00E91FB4"/>
    <w:rsid w:val="00EA7CEA"/>
    <w:rsid w:val="00EB033D"/>
    <w:rsid w:val="00EB63A6"/>
    <w:rsid w:val="00EB6644"/>
    <w:rsid w:val="00ED3F7D"/>
    <w:rsid w:val="00EF1C6B"/>
    <w:rsid w:val="00F041E9"/>
    <w:rsid w:val="00F0789C"/>
    <w:rsid w:val="00F07EDF"/>
    <w:rsid w:val="00F117E5"/>
    <w:rsid w:val="00F14197"/>
    <w:rsid w:val="00F2277C"/>
    <w:rsid w:val="00F417AE"/>
    <w:rsid w:val="00F5151C"/>
    <w:rsid w:val="00F61C5C"/>
    <w:rsid w:val="00F67177"/>
    <w:rsid w:val="00F725F4"/>
    <w:rsid w:val="00F75CA7"/>
    <w:rsid w:val="00F82951"/>
    <w:rsid w:val="00F8695D"/>
    <w:rsid w:val="00FB6E0E"/>
    <w:rsid w:val="00FD1948"/>
    <w:rsid w:val="00FF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25E728"/>
  <w15:docId w15:val="{6BA4CDAA-A5EE-4FB4-83D3-DE77F3D85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C Square Sans Pro" w:eastAsiaTheme="minorHAnsi" w:hAnsi="EC Square Sans Pro" w:cs="Times New Roman"/>
        <w:sz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0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404882"/>
  </w:style>
  <w:style w:type="paragraph" w:customStyle="1" w:styleId="basic-paragraph">
    <w:name w:val="basic-paragraph"/>
    <w:basedOn w:val="Normal"/>
    <w:rsid w:val="004048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odluka-zakon">
    <w:name w:val="odluka-zakon"/>
    <w:basedOn w:val="Normal"/>
    <w:rsid w:val="004048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centar">
    <w:name w:val="centar"/>
    <w:basedOn w:val="Normal"/>
    <w:rsid w:val="004048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clan">
    <w:name w:val="clan"/>
    <w:basedOn w:val="Normal"/>
    <w:rsid w:val="004048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italik">
    <w:name w:val="italik"/>
    <w:basedOn w:val="DefaultParagraphFont"/>
    <w:rsid w:val="00404882"/>
  </w:style>
  <w:style w:type="paragraph" w:styleId="Header">
    <w:name w:val="header"/>
    <w:basedOn w:val="Normal"/>
    <w:link w:val="HeaderChar"/>
    <w:uiPriority w:val="99"/>
    <w:unhideWhenUsed/>
    <w:rsid w:val="004048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882"/>
  </w:style>
  <w:style w:type="paragraph" w:styleId="Footer">
    <w:name w:val="footer"/>
    <w:basedOn w:val="Normal"/>
    <w:link w:val="FooterChar"/>
    <w:uiPriority w:val="99"/>
    <w:unhideWhenUsed/>
    <w:rsid w:val="004048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882"/>
  </w:style>
  <w:style w:type="paragraph" w:styleId="ListParagraph">
    <w:name w:val="List Paragraph"/>
    <w:basedOn w:val="Normal"/>
    <w:uiPriority w:val="34"/>
    <w:qFormat/>
    <w:rsid w:val="00404882"/>
    <w:pPr>
      <w:ind w:left="720"/>
      <w:contextualSpacing/>
    </w:pPr>
  </w:style>
  <w:style w:type="table" w:styleId="TableGrid">
    <w:name w:val="Table Grid"/>
    <w:basedOn w:val="TableNormal"/>
    <w:uiPriority w:val="39"/>
    <w:rsid w:val="00404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0488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4882"/>
    <w:rPr>
      <w:color w:val="800080"/>
      <w:u w:val="single"/>
    </w:rPr>
  </w:style>
  <w:style w:type="paragraph" w:customStyle="1" w:styleId="msonormal0">
    <w:name w:val="msonormal"/>
    <w:basedOn w:val="Normal"/>
    <w:rsid w:val="004048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xl66">
    <w:name w:val="xl66"/>
    <w:basedOn w:val="Normal"/>
    <w:rsid w:val="00404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ook Antiqua" w:eastAsia="Times New Roman" w:hAnsi="Book Antiqua"/>
      <w:color w:val="000000"/>
      <w:sz w:val="20"/>
      <w:lang w:eastAsia="en-GB"/>
    </w:rPr>
  </w:style>
  <w:style w:type="paragraph" w:customStyle="1" w:styleId="xl67">
    <w:name w:val="xl67"/>
    <w:basedOn w:val="Normal"/>
    <w:rsid w:val="00404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ook Antiqua" w:eastAsia="Times New Roman" w:hAnsi="Book Antiqua"/>
      <w:color w:val="000000"/>
      <w:sz w:val="20"/>
      <w:lang w:eastAsia="en-GB"/>
    </w:rPr>
  </w:style>
  <w:style w:type="paragraph" w:customStyle="1" w:styleId="xl68">
    <w:name w:val="xl68"/>
    <w:basedOn w:val="Normal"/>
    <w:rsid w:val="00404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ook Antiqua" w:eastAsia="Times New Roman" w:hAnsi="Book Antiqua"/>
      <w:color w:val="000000"/>
      <w:sz w:val="20"/>
      <w:lang w:eastAsia="en-GB"/>
    </w:rPr>
  </w:style>
  <w:style w:type="paragraph" w:customStyle="1" w:styleId="xl69">
    <w:name w:val="xl69"/>
    <w:basedOn w:val="Normal"/>
    <w:rsid w:val="00404882"/>
    <w:pPr>
      <w:spacing w:before="100" w:beforeAutospacing="1" w:after="100" w:afterAutospacing="1" w:line="240" w:lineRule="auto"/>
    </w:pPr>
    <w:rPr>
      <w:rFonts w:ascii="Book Antiqua" w:eastAsia="Times New Roman" w:hAnsi="Book Antiqua"/>
      <w:color w:val="000000"/>
      <w:sz w:val="20"/>
      <w:lang w:eastAsia="en-GB"/>
    </w:rPr>
  </w:style>
  <w:style w:type="paragraph" w:customStyle="1" w:styleId="xl70">
    <w:name w:val="xl70"/>
    <w:basedOn w:val="Normal"/>
    <w:rsid w:val="004048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ook Antiqua" w:eastAsia="Times New Roman" w:hAnsi="Book Antiqua"/>
      <w:color w:val="000000"/>
      <w:sz w:val="20"/>
      <w:lang w:eastAsia="en-GB"/>
    </w:rPr>
  </w:style>
  <w:style w:type="paragraph" w:customStyle="1" w:styleId="xl71">
    <w:name w:val="xl71"/>
    <w:basedOn w:val="Normal"/>
    <w:rsid w:val="00404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Book Antiqua" w:eastAsia="Times New Roman" w:hAnsi="Book Antiqua"/>
      <w:color w:val="000000"/>
      <w:sz w:val="20"/>
      <w:lang w:eastAsia="en-GB"/>
    </w:rPr>
  </w:style>
  <w:style w:type="paragraph" w:customStyle="1" w:styleId="xl72">
    <w:name w:val="xl72"/>
    <w:basedOn w:val="Normal"/>
    <w:rsid w:val="00404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Book Antiqua" w:eastAsia="Times New Roman" w:hAnsi="Book Antiqua"/>
      <w:color w:val="000000"/>
      <w:sz w:val="20"/>
      <w:lang w:eastAsia="en-GB"/>
    </w:rPr>
  </w:style>
  <w:style w:type="paragraph" w:customStyle="1" w:styleId="xl73">
    <w:name w:val="xl73"/>
    <w:basedOn w:val="Normal"/>
    <w:rsid w:val="00404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Book Antiqua" w:eastAsia="Times New Roman" w:hAnsi="Book Antiqua"/>
      <w:color w:val="000000"/>
      <w:sz w:val="20"/>
      <w:lang w:eastAsia="en-GB"/>
    </w:rPr>
  </w:style>
  <w:style w:type="paragraph" w:customStyle="1" w:styleId="xl74">
    <w:name w:val="xl74"/>
    <w:basedOn w:val="Normal"/>
    <w:rsid w:val="00404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Book Antiqua" w:eastAsia="Times New Roman" w:hAnsi="Book Antiqua"/>
      <w:color w:val="000000"/>
      <w:sz w:val="20"/>
      <w:lang w:eastAsia="en-GB"/>
    </w:rPr>
  </w:style>
  <w:style w:type="paragraph" w:customStyle="1" w:styleId="xl75">
    <w:name w:val="xl75"/>
    <w:basedOn w:val="Normal"/>
    <w:rsid w:val="00404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Book Antiqua" w:eastAsia="Times New Roman" w:hAnsi="Book Antiqua"/>
      <w:color w:val="000000"/>
      <w:sz w:val="20"/>
      <w:lang w:eastAsia="en-GB"/>
    </w:rPr>
  </w:style>
  <w:style w:type="paragraph" w:customStyle="1" w:styleId="xl76">
    <w:name w:val="xl76"/>
    <w:basedOn w:val="Normal"/>
    <w:rsid w:val="004048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Book Antiqua" w:eastAsia="Times New Roman" w:hAnsi="Book Antiqua"/>
      <w:color w:val="000000"/>
      <w:sz w:val="20"/>
      <w:lang w:eastAsia="en-GB"/>
    </w:rPr>
  </w:style>
  <w:style w:type="paragraph" w:customStyle="1" w:styleId="xl77">
    <w:name w:val="xl77"/>
    <w:basedOn w:val="Normal"/>
    <w:rsid w:val="00404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Book Antiqua" w:eastAsia="Times New Roman" w:hAnsi="Book Antiqua"/>
      <w:color w:val="000000"/>
      <w:sz w:val="20"/>
      <w:lang w:eastAsia="en-GB"/>
    </w:rPr>
  </w:style>
  <w:style w:type="paragraph" w:customStyle="1" w:styleId="xl78">
    <w:name w:val="xl78"/>
    <w:basedOn w:val="Normal"/>
    <w:rsid w:val="00404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ook Antiqua" w:eastAsia="Times New Roman" w:hAnsi="Book Antiqua"/>
      <w:color w:val="00B050"/>
      <w:sz w:val="20"/>
      <w:lang w:eastAsia="en-GB"/>
    </w:rPr>
  </w:style>
  <w:style w:type="paragraph" w:customStyle="1" w:styleId="xl79">
    <w:name w:val="xl79"/>
    <w:basedOn w:val="Normal"/>
    <w:rsid w:val="004048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ook Antiqua" w:eastAsia="Times New Roman" w:hAnsi="Book Antiqua"/>
      <w:color w:val="00B050"/>
      <w:sz w:val="20"/>
      <w:lang w:eastAsia="en-GB"/>
    </w:rPr>
  </w:style>
  <w:style w:type="paragraph" w:customStyle="1" w:styleId="xl80">
    <w:name w:val="xl80"/>
    <w:basedOn w:val="Normal"/>
    <w:rsid w:val="00404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Book Antiqua" w:eastAsia="Times New Roman" w:hAnsi="Book Antiqua"/>
      <w:color w:val="00B050"/>
      <w:sz w:val="20"/>
      <w:lang w:eastAsia="en-GB"/>
    </w:rPr>
  </w:style>
  <w:style w:type="paragraph" w:customStyle="1" w:styleId="xl81">
    <w:name w:val="xl81"/>
    <w:basedOn w:val="Normal"/>
    <w:rsid w:val="00404882"/>
    <w:pPr>
      <w:spacing w:before="100" w:beforeAutospacing="1" w:after="100" w:afterAutospacing="1" w:line="240" w:lineRule="auto"/>
    </w:pPr>
    <w:rPr>
      <w:rFonts w:ascii="Book Antiqua" w:eastAsia="Times New Roman" w:hAnsi="Book Antiqua"/>
      <w:color w:val="00B050"/>
      <w:sz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262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0E2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0E25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E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E25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E2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01145"/>
    <w:pPr>
      <w:spacing w:after="0" w:line="240" w:lineRule="auto"/>
    </w:pPr>
    <w:rPr>
      <w:rFonts w:ascii="Times New Roman" w:hAnsi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F82951"/>
    <w:pPr>
      <w:spacing w:before="100" w:beforeAutospacing="1" w:after="100" w:afterAutospacing="1" w:line="240" w:lineRule="auto"/>
    </w:pPr>
    <w:rPr>
      <w:rFonts w:ascii="Calibri" w:hAnsi="Calibri" w:cs="Calibri"/>
      <w:szCs w:val="22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4BB58-5D19-463D-941C-37EE2C5D3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Dragovic</dc:creator>
  <cp:lastModifiedBy>Ivana Vojinović</cp:lastModifiedBy>
  <cp:revision>2</cp:revision>
  <cp:lastPrinted>2023-11-20T09:43:00Z</cp:lastPrinted>
  <dcterms:created xsi:type="dcterms:W3CDTF">2023-11-21T13:41:00Z</dcterms:created>
  <dcterms:modified xsi:type="dcterms:W3CDTF">2023-11-21T13:41:00Z</dcterms:modified>
</cp:coreProperties>
</file>