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D3" w:rsidRPr="004C4BD3" w:rsidRDefault="004C4BD3" w:rsidP="004C4BD3">
      <w:pPr>
        <w:tabs>
          <w:tab w:val="left" w:pos="4253"/>
        </w:tabs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 w:rsidR="002641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</w:t>
      </w: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ЗАКОНА О ИЗМЕНАМА И ДОПУНАМА ЗАКОНА О ЗДРАВСТВЕНОМ ОСИГУРАЊУ</w:t>
      </w: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1.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p w:rsidR="004C4BD3" w:rsidRPr="004C4BD3" w:rsidRDefault="00264138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Закону</w:t>
      </w:r>
      <w:r w:rsidR="004C4BD3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здравственом осигурању („Службени гласник РС</w:t>
      </w:r>
      <w:r w:rsidRPr="0026413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број 25/19 </w:t>
      </w:r>
      <w:r w:rsidR="004C4BD3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 у даљем тексту: Закон),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члану 75. став 3.</w:t>
      </w:r>
      <w:r w:rsidR="004C4BD3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после речи: „по истеку” додају се речи: „</w:t>
      </w:r>
      <w:r w:rsidR="004C4BD3"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C4BD3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дана, односно”.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ставу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4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речи: „од 60 дана у периоду од 90 дана” замењују се речима: „од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дана у периоду од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дана, односно 60 дана у периоду од 90 дана”.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ставу 5. после речи: „затим” додају се речи: „са прекидом или”.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ставу 6. речи: „по истеку 90 дана” замењују се речима: „по истеку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дана, односно 90 дана”.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102. став 2. мења се 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„Послодавац доставља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филијали захтев за исплату накнаде зараде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 xml:space="preserve">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 свим доказима потребним за исплату за запослене из става 1. овог члана”.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Став 3. мења се 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„Филијала утврђује право на накнаду зараде, висину накнаде зараде и најкасније у року од 21 дана од дана пријема захтева за исплату накнаде зараде са свим доказима потребним за исплату из става 2. овог члана врши обрачун накнаде зараде, који доставља послодавцу и преноси одговарајући износ средстава на посебан рачун послодавца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Став 4. мења се 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„Средства из става 3. овог члана послодавац је дужан да исплати осигуранику најкасније у року од </w:t>
      </w:r>
      <w:r w:rsidR="002641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седам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дана од дана њиховог пријема, а уколико исплата у наведеном року није извршена послодавац је дужан да врати средства филијали са каматом за која су средства увећана док су се налазила на посебном рачуну послодавца”.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После става 8. додаје се став 9. који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„Министар, на предлог Републичког фонда, уређује ближе услове, начин и поступак, као и друга питања од значаја за остваривање права на накнаду зараде”. 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3.</w:t>
      </w:r>
    </w:p>
    <w:p w:rsidR="004C4BD3" w:rsidRPr="004C4BD3" w:rsidRDefault="004C4BD3" w:rsidP="004C4BD3">
      <w:pPr>
        <w:spacing w:after="0" w:line="360" w:lineRule="auto"/>
        <w:jc w:val="both"/>
        <w:rPr>
          <w:color w:val="000000" w:themeColor="text1"/>
          <w:lang w:val="sr-Cyrl-RS"/>
        </w:rPr>
      </w:pPr>
    </w:p>
    <w:p w:rsidR="004C4BD3" w:rsidRPr="004C4BD3" w:rsidRDefault="004C4BD3" w:rsidP="004C4BD3">
      <w:pPr>
        <w:tabs>
          <w:tab w:val="left" w:pos="4500"/>
        </w:tabs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109.  став 1. речи: „30 дана” замењују се речима „15 дана”.</w:t>
      </w:r>
    </w:p>
    <w:p w:rsidR="004C4BD3" w:rsidRPr="004C4BD3" w:rsidRDefault="004C4BD3" w:rsidP="004C4BD3">
      <w:pPr>
        <w:tabs>
          <w:tab w:val="left" w:pos="4500"/>
        </w:tabs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4.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125. после става 4. додају се ст. 5. и 6. који гласе:</w:t>
      </w:r>
    </w:p>
    <w:p w:rsidR="004C4BD3" w:rsidRPr="004C4BD3" w:rsidRDefault="004C4BD3" w:rsidP="004C4BD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       „</w:t>
      </w:r>
      <w:r w:rsidRPr="004C4BD3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Осигурано лице коме је утврђен и статус борца у складу са прописима којима се уређује заштита бораца, остварује право на здравствену заштиту као и право на накнаду трошкова превоза у вези са коришћењем здравствене заштите на терет средстава обавезног здравственог осигурања без обзира да </w:t>
      </w:r>
      <w:r w:rsidR="008854A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ли је уплаћен доспели допринос.</w:t>
      </w:r>
    </w:p>
    <w:p w:rsidR="004C4BD3" w:rsidRPr="004C4BD3" w:rsidRDefault="004C4BD3" w:rsidP="004C4BD3">
      <w:pPr>
        <w:tabs>
          <w:tab w:val="left" w:pos="751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lastRenderedPageBreak/>
        <w:t xml:space="preserve">Чланови породице лица коме је утврђен статус борца у складу са прописима </w:t>
      </w:r>
      <w:r w:rsidRPr="004C4BD3">
        <w:rPr>
          <w:rFonts w:ascii="Times New Roman" w:hAnsi="Times New Roman" w:cs="Times New Roman"/>
          <w:bCs/>
          <w:sz w:val="24"/>
          <w:szCs w:val="24"/>
          <w:lang w:val="sr-Cyrl-RS"/>
        </w:rPr>
        <w:t>којима се уређује заштита бораца, а која су здравствено осигурана као чланови породице тог лица, остварују права из обавезног здравственог осигурања, као и лице коме је утврђен статус борца, без обзира да ли су уплаћени доспели доприноси”.</w:t>
      </w:r>
    </w:p>
    <w:p w:rsidR="004C4BD3" w:rsidRPr="004C4BD3" w:rsidRDefault="004C4BD3" w:rsidP="004C4BD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RS"/>
        </w:rPr>
      </w:pPr>
    </w:p>
    <w:p w:rsidR="004C4BD3" w:rsidRPr="004C4BD3" w:rsidRDefault="004C4BD3" w:rsidP="004C4BD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RS"/>
        </w:rPr>
      </w:pPr>
    </w:p>
    <w:p w:rsidR="004C4BD3" w:rsidRPr="004C4BD3" w:rsidRDefault="004C4BD3" w:rsidP="004C4BD3">
      <w:pPr>
        <w:tabs>
          <w:tab w:val="left" w:pos="42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4C4BD3" w:rsidRPr="004C4BD3" w:rsidRDefault="004C4BD3" w:rsidP="004C4BD3">
      <w:pPr>
        <w:tabs>
          <w:tab w:val="left" w:pos="4219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У члану 143. став 1. тачка 12) мења се 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D6304">
        <w:rPr>
          <w:rFonts w:ascii="Times New Roman" w:hAnsi="Times New Roman" w:cs="Times New Roman"/>
          <w:sz w:val="24"/>
          <w:szCs w:val="24"/>
          <w:lang w:val="sr-Cyrl-RS"/>
        </w:rPr>
        <w:t xml:space="preserve">12)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привремену спреченост за рад осигураника до </w:t>
      </w:r>
      <w:r w:rsidRPr="004C4BD3">
        <w:rPr>
          <w:rFonts w:ascii="Times New Roman" w:hAnsi="Times New Roman" w:cs="Times New Roman"/>
          <w:sz w:val="24"/>
          <w:szCs w:val="24"/>
        </w:rPr>
        <w:t>30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дана, односно до 60 дана спречености за рад, осим у случајевима из члана 78. овог закона и предлаже првостепеној, односно другостепеној лекарској комисији продужење привремене спречености за рад, осим ако овим законом није другачије одређено;”. 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После става 1.</w:t>
      </w:r>
      <w:r w:rsidRPr="004C4BD3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додаје се став 2. који гласи: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„Привремену спреченост за рад до 60 дана спречености за рад из става 1. тачка 12) овог члана изабрани лекар утврђује за</w:t>
      </w:r>
      <w:r w:rsidRPr="004C4BD3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осигураника оболелог од малигне болести; осигураника привремено спреченог за рад због болести или компликација у вези са одржавањем трудноће; осигураника са инвалидитетом; осигураника код кога је непосредно обављена хируршка интервенција, осим у случају када је та интервенција обављена у дневној болници”.</w:t>
      </w:r>
    </w:p>
    <w:p w:rsidR="004C4BD3" w:rsidRP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4C4BD3" w:rsidRPr="004C4BD3" w:rsidRDefault="004C4BD3" w:rsidP="004C4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148. тачка 2) мења се и гласи: 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D6304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даје оцену и утврђује привремену спреченост за рад осигураника, по предлогу изабраног лекара, преко </w:t>
      </w:r>
      <w:r w:rsidRPr="004C4BD3">
        <w:rPr>
          <w:rFonts w:ascii="Times New Roman" w:hAnsi="Times New Roman" w:cs="Times New Roman"/>
          <w:sz w:val="24"/>
          <w:szCs w:val="24"/>
        </w:rPr>
        <w:t>30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Pr="004C4B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односно 60 дана привремене спречености за рад, односно привремен</w:t>
      </w:r>
      <w:r w:rsidRPr="004C4BD3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спречености за рад због неге члана уже породице из члана 78. ст. 1-2. овог закона дуже од 15 дана, односно дуже од </w:t>
      </w:r>
      <w:r w:rsidR="004D6304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дана, у складу са овим законом;”.</w:t>
      </w:r>
    </w:p>
    <w:p w:rsidR="004C4BD3" w:rsidRP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Тачка 3) мења се и гласи:</w:t>
      </w: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C4BD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D6304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даје оцену по приговору осигураника или послодавца на оцену изабраног лекара о привременој спречености за рад осигураника до </w:t>
      </w:r>
      <w:r w:rsidRPr="004C4BD3">
        <w:rPr>
          <w:rFonts w:ascii="Times New Roman" w:hAnsi="Times New Roman" w:cs="Times New Roman"/>
          <w:sz w:val="24"/>
          <w:szCs w:val="24"/>
        </w:rPr>
        <w:t>30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дана, односно до 60 дана,  односно због привремене спречености за рад због неге члана уже породице, у складу са овим законом;”.</w:t>
      </w: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7.</w:t>
      </w: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260. </w:t>
      </w:r>
      <w:r w:rsidR="00E9349E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тав 1. </w:t>
      </w:r>
      <w:r w:rsidR="00E9349E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ачка 2) мења се и гласи:</w:t>
      </w:r>
    </w:p>
    <w:p w:rsidR="004C4BD3" w:rsidRDefault="004C4BD3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D6304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 достави 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филијали захтев за исплату накнаде зараде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 xml:space="preserve"> 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 свим доказима потребним за исплату за за</w:t>
      </w:r>
      <w:r w:rsidR="00E934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послене чија се накнада зараде обезбеђује из средстава обавезног здравственог осигурања или ако накнаду зараде из средстава обавезног здравственог осигурања која је пренета на посебан рачун послодавца не исплати осигуранику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најкасније у року од </w:t>
      </w:r>
      <w:r w:rsidR="004D630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седам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дана од дана њиховог пријема, а </w:t>
      </w:r>
      <w:r w:rsidR="00E934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не врати их филијали </w:t>
      </w:r>
      <w:r w:rsidR="00E9349E"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 каматом за која су средства увећана док су се налазила на посебном рачуну послодавца</w:t>
      </w:r>
      <w:r w:rsidR="004D630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(члан 102. ст. 2. и 4.);</w:t>
      </w:r>
      <w:r w:rsidR="004D6304" w:rsidRPr="004D630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”</w:t>
      </w: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Члан 8. </w:t>
      </w: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члану 261. 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тав 1. 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ачка 5) мења се и гласи:</w:t>
      </w:r>
    </w:p>
    <w:p w:rsidR="00E9349E" w:rsidRPr="004C4BD3" w:rsidRDefault="00E9349E" w:rsidP="00E9349E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="00BE79B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5)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не утврди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право на накнаду зараде, висину накнаде зараде и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ли 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најкасније у року од 21 дана од дана пријема захтева за исплату накнаде зараде са свим доказима по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требним за исплату накнаде зараде из средстава обавезног здравственог осигурања не изврши  обрачун накнаде зараде, </w:t>
      </w:r>
      <w:r w:rsidR="00196D7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 га не достави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послодавцу и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 не пренесе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одговарајући износ средстава на посебан рачун послодавца</w:t>
      </w:r>
      <w:r w:rsidR="00BE79B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(члан 102. став 3</w:t>
      </w:r>
      <w:r w:rsidR="0088667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);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4C4BD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:rsidR="00E9349E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E9349E" w:rsidRPr="004C4BD3" w:rsidRDefault="00E9349E" w:rsidP="004C4B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4C4BD3" w:rsidRPr="004C4BD3" w:rsidRDefault="00E9349E" w:rsidP="004C4BD3">
      <w:pPr>
        <w:tabs>
          <w:tab w:val="left" w:pos="403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</w:t>
      </w:r>
      <w:r w:rsidR="004C4BD3" w:rsidRPr="004C4BD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C4BD3" w:rsidRPr="004C4BD3" w:rsidRDefault="004C4BD3" w:rsidP="004C4BD3">
      <w:pPr>
        <w:tabs>
          <w:tab w:val="left" w:pos="4032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BD3" w:rsidRPr="004C4BD3" w:rsidRDefault="00BE79B3" w:rsidP="004C4BD3">
      <w:pPr>
        <w:tabs>
          <w:tab w:val="left" w:pos="4032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r w:rsidR="004C4BD3" w:rsidRPr="004C4BD3">
        <w:rPr>
          <w:rFonts w:ascii="Times New Roman" w:hAnsi="Times New Roman" w:cs="Times New Roman"/>
          <w:sz w:val="24"/>
          <w:szCs w:val="24"/>
          <w:lang w:val="sr-Cyrl-RS"/>
        </w:rPr>
        <w:t>акон ступа на снагу осмог дана од дана објављивања у „Службеном гласнику Републике Србије”.</w:t>
      </w:r>
    </w:p>
    <w:p w:rsidR="004C4BD3" w:rsidRPr="004C4BD3" w:rsidRDefault="004C4BD3" w:rsidP="004C4BD3">
      <w:pPr>
        <w:tabs>
          <w:tab w:val="left" w:pos="4032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:rsidR="004C4BD3" w:rsidRP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4C4BD3" w:rsidRP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4C4BD3" w:rsidRP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886679" w:rsidRPr="004C4BD3" w:rsidRDefault="00886679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p w:rsidR="004C4BD3" w:rsidRPr="004C4BD3" w:rsidRDefault="004C4BD3" w:rsidP="004C4BD3">
      <w:pPr>
        <w:spacing w:after="0" w:line="360" w:lineRule="auto"/>
        <w:ind w:firstLine="1134"/>
        <w:jc w:val="both"/>
        <w:rPr>
          <w:highlight w:val="yellow"/>
          <w:lang w:val="sr-Cyrl-RS"/>
        </w:rPr>
      </w:pPr>
    </w:p>
    <w:sectPr w:rsidR="004C4BD3" w:rsidRPr="004C4BD3" w:rsidSect="00207009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09" w:rsidRDefault="00207009" w:rsidP="00207009">
      <w:pPr>
        <w:spacing w:after="0" w:line="240" w:lineRule="auto"/>
      </w:pPr>
      <w:r>
        <w:separator/>
      </w:r>
    </w:p>
  </w:endnote>
  <w:endnote w:type="continuationSeparator" w:id="0">
    <w:p w:rsidR="00207009" w:rsidRDefault="00207009" w:rsidP="00207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09" w:rsidRDefault="00207009" w:rsidP="00207009">
      <w:pPr>
        <w:spacing w:after="0" w:line="240" w:lineRule="auto"/>
      </w:pPr>
      <w:r>
        <w:separator/>
      </w:r>
    </w:p>
  </w:footnote>
  <w:footnote w:type="continuationSeparator" w:id="0">
    <w:p w:rsidR="00207009" w:rsidRDefault="00207009" w:rsidP="00207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24655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207009" w:rsidRDefault="0020700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9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7009" w:rsidRDefault="00207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C5"/>
    <w:rsid w:val="000202D7"/>
    <w:rsid w:val="00196D70"/>
    <w:rsid w:val="00207009"/>
    <w:rsid w:val="00264138"/>
    <w:rsid w:val="002A3733"/>
    <w:rsid w:val="004C4BD3"/>
    <w:rsid w:val="004D6304"/>
    <w:rsid w:val="006457D8"/>
    <w:rsid w:val="008854A8"/>
    <w:rsid w:val="00886679"/>
    <w:rsid w:val="00AA231C"/>
    <w:rsid w:val="00AE0F05"/>
    <w:rsid w:val="00B17A45"/>
    <w:rsid w:val="00BE79B3"/>
    <w:rsid w:val="00E9349E"/>
    <w:rsid w:val="00E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32CA7"/>
  <w15:docId w15:val="{1CAEC4AF-166E-4B44-88D3-D0BC1AA9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E0F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E0F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E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E0F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7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009"/>
  </w:style>
  <w:style w:type="paragraph" w:styleId="Footer">
    <w:name w:val="footer"/>
    <w:basedOn w:val="Normal"/>
    <w:link w:val="FooterChar"/>
    <w:uiPriority w:val="99"/>
    <w:unhideWhenUsed/>
    <w:rsid w:val="00207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3420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6788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Daktilobiro08</cp:lastModifiedBy>
  <cp:revision>7</cp:revision>
  <dcterms:created xsi:type="dcterms:W3CDTF">2023-09-29T10:44:00Z</dcterms:created>
  <dcterms:modified xsi:type="dcterms:W3CDTF">2023-10-05T13:07:00Z</dcterms:modified>
</cp:coreProperties>
</file>