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AF720" w14:textId="6F0826F1" w:rsidR="00B16F8D" w:rsidRPr="00895819" w:rsidRDefault="00334EFD" w:rsidP="00050BEF">
      <w:pPr>
        <w:pStyle w:val="BodyText"/>
        <w:spacing w:after="0"/>
        <w:jc w:val="right"/>
        <w:rPr>
          <w:rFonts w:cs="Times New Roman"/>
          <w:b/>
          <w:lang w:val="sr-Cyrl-CS"/>
        </w:rPr>
      </w:pPr>
      <w:bookmarkStart w:id="0" w:name="_Hlk132904444"/>
      <w:r w:rsidRPr="00895819">
        <w:rPr>
          <w:rFonts w:cs="Times New Roman"/>
          <w:lang w:val="sr-Cyrl-CS"/>
        </w:rPr>
        <w:t xml:space="preserve"> </w:t>
      </w:r>
    </w:p>
    <w:p w14:paraId="33477EE3" w14:textId="77777777" w:rsidR="00050BEF" w:rsidRPr="00895819" w:rsidRDefault="00050BEF" w:rsidP="00B16F8D">
      <w:pPr>
        <w:pStyle w:val="BodyText"/>
        <w:spacing w:after="0"/>
        <w:jc w:val="center"/>
        <w:rPr>
          <w:rFonts w:cs="Times New Roman"/>
          <w:lang w:val="sr-Cyrl-CS"/>
        </w:rPr>
      </w:pPr>
    </w:p>
    <w:p w14:paraId="58DB9265" w14:textId="77777777" w:rsidR="00050BEF" w:rsidRPr="00895819" w:rsidRDefault="00050BEF" w:rsidP="00B16F8D">
      <w:pPr>
        <w:pStyle w:val="BodyText"/>
        <w:spacing w:after="0"/>
        <w:jc w:val="center"/>
        <w:rPr>
          <w:rFonts w:cs="Times New Roman"/>
          <w:lang w:val="sr-Cyrl-CS"/>
        </w:rPr>
      </w:pPr>
    </w:p>
    <w:p w14:paraId="7A8C14EA" w14:textId="77777777" w:rsidR="00B16F8D" w:rsidRPr="00895819" w:rsidRDefault="00275354" w:rsidP="00B16F8D">
      <w:pPr>
        <w:pStyle w:val="BodyText"/>
        <w:jc w:val="center"/>
        <w:rPr>
          <w:rFonts w:cs="Times New Roman"/>
          <w:lang w:val="sr-Cyrl-CS"/>
        </w:rPr>
      </w:pPr>
      <w:r w:rsidRPr="00895819">
        <w:rPr>
          <w:rFonts w:cs="Times New Roman"/>
          <w:b/>
          <w:lang w:val="sr-Cyrl-CS"/>
        </w:rPr>
        <w:t>АФД УГОВОР БР.</w:t>
      </w:r>
      <w:r w:rsidR="00B16F8D" w:rsidRPr="00895819">
        <w:rPr>
          <w:rFonts w:cs="Times New Roman"/>
          <w:b/>
          <w:lang w:val="sr-Cyrl-CS"/>
        </w:rPr>
        <w:t xml:space="preserve"> </w:t>
      </w:r>
      <w:r w:rsidR="003B3891" w:rsidRPr="00895819">
        <w:rPr>
          <w:rFonts w:cs="Times New Roman"/>
          <w:b/>
          <w:lang w:val="sr-Cyrl-CS"/>
        </w:rPr>
        <w:t>ЦРС1033 01 Ц</w:t>
      </w:r>
    </w:p>
    <w:p w14:paraId="6B0B483F" w14:textId="77777777" w:rsidR="00B16F8D" w:rsidRPr="00895819" w:rsidRDefault="00B16F8D" w:rsidP="00B16F8D">
      <w:pPr>
        <w:pStyle w:val="BodyText"/>
        <w:pBdr>
          <w:top w:val="single" w:sz="4" w:space="1" w:color="auto"/>
        </w:pBdr>
        <w:spacing w:after="0"/>
        <w:rPr>
          <w:rFonts w:cs="Times New Roman"/>
          <w:lang w:val="sr-Cyrl-CS"/>
        </w:rPr>
      </w:pPr>
    </w:p>
    <w:p w14:paraId="2ADF80D0" w14:textId="77777777" w:rsidR="00B16F8D" w:rsidRPr="00895819" w:rsidRDefault="00275354" w:rsidP="00B16F8D">
      <w:pPr>
        <w:pStyle w:val="BodyText"/>
        <w:jc w:val="center"/>
        <w:rPr>
          <w:rFonts w:cs="Times New Roman"/>
          <w:lang w:val="sr-Cyrl-CS"/>
        </w:rPr>
      </w:pPr>
      <w:r w:rsidRPr="00895819">
        <w:rPr>
          <w:rFonts w:cs="Times New Roman"/>
          <w:b/>
          <w:lang w:val="sr-Cyrl-CS"/>
        </w:rPr>
        <w:t>УГОВОР О КРЕДИТУ</w:t>
      </w:r>
    </w:p>
    <w:p w14:paraId="5B5D8301" w14:textId="437B2AA2" w:rsidR="00B16F8D" w:rsidRPr="00895819" w:rsidRDefault="00275354" w:rsidP="00B16F8D">
      <w:pPr>
        <w:pStyle w:val="BodyText"/>
        <w:jc w:val="center"/>
        <w:rPr>
          <w:rFonts w:cs="Times New Roman"/>
          <w:color w:val="000000"/>
          <w:lang w:val="sr-Cyrl-CS"/>
        </w:rPr>
      </w:pPr>
      <w:r w:rsidRPr="00895819">
        <w:rPr>
          <w:rFonts w:cs="Times New Roman"/>
          <w:b/>
          <w:lang w:val="sr-Cyrl-CS"/>
        </w:rPr>
        <w:t>потписан дана</w:t>
      </w:r>
      <w:r w:rsidR="00B16F8D" w:rsidRPr="00895819">
        <w:rPr>
          <w:rFonts w:cs="Times New Roman"/>
          <w:b/>
          <w:lang w:val="sr-Cyrl-CS"/>
        </w:rPr>
        <w:t xml:space="preserve"> </w:t>
      </w:r>
      <w:r w:rsidR="007C0D74" w:rsidRPr="00895819">
        <w:rPr>
          <w:rFonts w:cs="Times New Roman"/>
          <w:b/>
          <w:color w:val="000000"/>
          <w:lang w:val="sr-Cyrl-CS"/>
        </w:rPr>
        <w:t xml:space="preserve">26. </w:t>
      </w:r>
      <w:r w:rsidR="002406F5" w:rsidRPr="00895819">
        <w:rPr>
          <w:rFonts w:cs="Times New Roman"/>
          <w:b/>
          <w:color w:val="000000"/>
          <w:lang w:val="sr-Cyrl-CS"/>
        </w:rPr>
        <w:t>јун</w:t>
      </w:r>
      <w:r w:rsidR="007C0D74" w:rsidRPr="00895819">
        <w:rPr>
          <w:rFonts w:cs="Times New Roman"/>
          <w:b/>
          <w:color w:val="000000"/>
          <w:lang w:val="sr-Cyrl-CS"/>
        </w:rPr>
        <w:t xml:space="preserve"> 2023. године</w:t>
      </w:r>
    </w:p>
    <w:p w14:paraId="2D77963B" w14:textId="77777777" w:rsidR="00B16F8D" w:rsidRPr="00895819" w:rsidRDefault="00275354" w:rsidP="00B16F8D">
      <w:pPr>
        <w:pStyle w:val="BodyText"/>
        <w:jc w:val="center"/>
        <w:rPr>
          <w:rFonts w:cs="Times New Roman"/>
          <w:lang w:val="sr-Cyrl-CS"/>
        </w:rPr>
      </w:pPr>
      <w:r w:rsidRPr="00895819">
        <w:rPr>
          <w:rFonts w:cs="Times New Roman"/>
          <w:b/>
          <w:lang w:val="sr-Cyrl-CS"/>
        </w:rPr>
        <w:t>између</w:t>
      </w:r>
    </w:p>
    <w:p w14:paraId="5FCB193E" w14:textId="77777777" w:rsidR="00B16F8D" w:rsidRPr="00895819" w:rsidRDefault="00275354" w:rsidP="00B16F8D">
      <w:pPr>
        <w:pStyle w:val="BodyText"/>
        <w:jc w:val="center"/>
        <w:rPr>
          <w:rFonts w:cs="Times New Roman"/>
          <w:lang w:val="sr-Cyrl-CS"/>
        </w:rPr>
      </w:pPr>
      <w:r w:rsidRPr="00895819">
        <w:rPr>
          <w:rFonts w:cs="Times New Roman"/>
          <w:b/>
          <w:lang w:val="sr-Cyrl-CS"/>
        </w:rPr>
        <w:t>ФРАНЦУСКЕ АГЕНЦИЈЕ ЗА РАЗВОЈ</w:t>
      </w:r>
    </w:p>
    <w:p w14:paraId="0D944820" w14:textId="77777777" w:rsidR="00B16F8D" w:rsidRPr="00895819" w:rsidRDefault="00275354" w:rsidP="00B16F8D">
      <w:pPr>
        <w:pStyle w:val="BodyText"/>
        <w:jc w:val="center"/>
        <w:rPr>
          <w:rFonts w:cs="Times New Roman"/>
          <w:lang w:val="sr-Cyrl-CS"/>
        </w:rPr>
      </w:pPr>
      <w:r w:rsidRPr="00895819">
        <w:rPr>
          <w:rFonts w:cs="Times New Roman"/>
          <w:lang w:val="sr-Cyrl-CS"/>
        </w:rPr>
        <w:t>као Зајмодавца</w:t>
      </w:r>
    </w:p>
    <w:p w14:paraId="0C9FBCFC" w14:textId="77777777" w:rsidR="00B16F8D" w:rsidRPr="00895819" w:rsidRDefault="00275354" w:rsidP="00B16F8D">
      <w:pPr>
        <w:pStyle w:val="BodyText"/>
        <w:jc w:val="center"/>
        <w:rPr>
          <w:rFonts w:cs="Times New Roman"/>
          <w:lang w:val="sr-Cyrl-CS"/>
        </w:rPr>
      </w:pPr>
      <w:r w:rsidRPr="00895819">
        <w:rPr>
          <w:rFonts w:cs="Times New Roman"/>
          <w:b/>
          <w:lang w:val="sr-Cyrl-CS"/>
        </w:rPr>
        <w:t>и</w:t>
      </w:r>
    </w:p>
    <w:p w14:paraId="6721BC5A" w14:textId="77777777" w:rsidR="00B16F8D" w:rsidRPr="00895819" w:rsidRDefault="00275354" w:rsidP="00B16F8D">
      <w:pPr>
        <w:pStyle w:val="BodyText"/>
        <w:jc w:val="center"/>
        <w:rPr>
          <w:rFonts w:cs="Times New Roman"/>
          <w:b/>
          <w:lang w:val="sr-Cyrl-CS"/>
        </w:rPr>
      </w:pPr>
      <w:r w:rsidRPr="00895819">
        <w:rPr>
          <w:rFonts w:cs="Times New Roman"/>
          <w:b/>
          <w:lang w:val="sr-Cyrl-CS"/>
        </w:rPr>
        <w:t>РЕПУБЛИКЕ СРБИЈЕ</w:t>
      </w:r>
    </w:p>
    <w:p w14:paraId="1443BA5D" w14:textId="77777777" w:rsidR="00B16F8D" w:rsidRPr="00895819" w:rsidRDefault="00275354" w:rsidP="00B16F8D">
      <w:pPr>
        <w:pStyle w:val="BodyText"/>
        <w:jc w:val="center"/>
        <w:rPr>
          <w:rFonts w:cs="Times New Roman"/>
          <w:lang w:val="sr-Cyrl-CS"/>
        </w:rPr>
      </w:pPr>
      <w:r w:rsidRPr="00895819">
        <w:rPr>
          <w:rFonts w:cs="Times New Roman"/>
          <w:lang w:val="sr-Cyrl-CS"/>
        </w:rPr>
        <w:t>као Зајмопримца</w:t>
      </w:r>
    </w:p>
    <w:p w14:paraId="05514A52" w14:textId="77777777" w:rsidR="00B16F8D" w:rsidRPr="00895819" w:rsidRDefault="00B16F8D" w:rsidP="00B16F8D">
      <w:pPr>
        <w:pStyle w:val="BodyText"/>
        <w:spacing w:before="100" w:after="0"/>
        <w:rPr>
          <w:rFonts w:cs="Times New Roman"/>
          <w:color w:val="0070C0"/>
          <w:lang w:val="sr-Cyrl-CS"/>
        </w:rPr>
      </w:pPr>
    </w:p>
    <w:p w14:paraId="1A9CD8AC" w14:textId="77777777" w:rsidR="00B16F8D" w:rsidRPr="00895819" w:rsidRDefault="001E3BF1" w:rsidP="00B16F8D">
      <w:pPr>
        <w:pStyle w:val="PARTHEADING"/>
        <w:keepNext w:val="0"/>
        <w:keepLines w:val="0"/>
        <w:pageBreakBefore/>
        <w:numPr>
          <w:ilvl w:val="0"/>
          <w:numId w:val="0"/>
        </w:numPr>
        <w:tabs>
          <w:tab w:val="left" w:pos="990"/>
        </w:tabs>
        <w:spacing w:after="240" w:line="240" w:lineRule="auto"/>
        <w:rPr>
          <w:rFonts w:ascii="Times New Roman" w:hAnsi="Times New Roman"/>
          <w:lang w:val="sr-Cyrl-CS"/>
        </w:rPr>
      </w:pPr>
      <w:r w:rsidRPr="00895819">
        <w:rPr>
          <w:rFonts w:ascii="Times New Roman" w:hAnsi="Times New Roman"/>
          <w:lang w:val="sr-Cyrl-CS"/>
        </w:rPr>
        <w:lastRenderedPageBreak/>
        <w:t>САДРЖАЈ</w:t>
      </w:r>
    </w:p>
    <w:p w14:paraId="0E3110C2" w14:textId="7836FB57" w:rsidR="005844C1" w:rsidRPr="00895819" w:rsidRDefault="00B16F8D">
      <w:pPr>
        <w:pStyle w:val="TOC1"/>
        <w:rPr>
          <w:rFonts w:asciiTheme="minorHAnsi" w:eastAsiaTheme="minorEastAsia" w:hAnsiTheme="minorHAnsi" w:cstheme="minorBidi"/>
          <w:b w:val="0"/>
          <w:caps w:val="0"/>
          <w:noProof/>
          <w:sz w:val="22"/>
          <w:szCs w:val="22"/>
          <w:lang w:val="sr-Cyrl-CS"/>
        </w:rPr>
      </w:pPr>
      <w:r w:rsidRPr="00895819">
        <w:rPr>
          <w:lang w:val="sr-Cyrl-CS"/>
        </w:rPr>
        <w:fldChar w:fldCharType="begin"/>
      </w:r>
      <w:r w:rsidRPr="00895819">
        <w:rPr>
          <w:lang w:val="sr-Cyrl-CS"/>
        </w:rPr>
        <w:instrText xml:space="preserve"> TOC \h \z \t "AA Titre 1;1;AA Titre 2;2" </w:instrText>
      </w:r>
      <w:r w:rsidRPr="00895819">
        <w:rPr>
          <w:lang w:val="sr-Cyrl-CS"/>
        </w:rPr>
        <w:fldChar w:fldCharType="separate"/>
      </w:r>
      <w:hyperlink w:anchor="_Toc135947120" w:history="1">
        <w:r w:rsidR="005844C1" w:rsidRPr="00895819">
          <w:rPr>
            <w:rStyle w:val="Hyperlink"/>
            <w:noProof/>
            <w:lang w:val="sr-Cyrl-CS"/>
          </w:rPr>
          <w:t>1.</w:t>
        </w:r>
        <w:r w:rsidR="005844C1" w:rsidRPr="00895819">
          <w:rPr>
            <w:rFonts w:asciiTheme="minorHAnsi" w:eastAsiaTheme="minorEastAsia" w:hAnsiTheme="minorHAnsi" w:cstheme="minorBidi"/>
            <w:b w:val="0"/>
            <w:caps w:val="0"/>
            <w:noProof/>
            <w:sz w:val="22"/>
            <w:szCs w:val="22"/>
            <w:lang w:val="sr-Cyrl-CS"/>
          </w:rPr>
          <w:tab/>
        </w:r>
        <w:r w:rsidR="005844C1" w:rsidRPr="00895819">
          <w:rPr>
            <w:rStyle w:val="Hyperlink"/>
            <w:noProof/>
            <w:lang w:val="sr-Cyrl-CS"/>
          </w:rPr>
          <w:t>ДЕФИНИЦИЈЕ И ТУМАЧЕЊА</w:t>
        </w:r>
        <w:r w:rsidR="005844C1" w:rsidRPr="00895819">
          <w:rPr>
            <w:noProof/>
            <w:webHidden/>
            <w:lang w:val="sr-Cyrl-CS"/>
          </w:rPr>
          <w:tab/>
        </w:r>
      </w:hyperlink>
    </w:p>
    <w:p w14:paraId="0B5CA6E4" w14:textId="7055379B" w:rsidR="005844C1" w:rsidRPr="00895819" w:rsidRDefault="00000000">
      <w:pPr>
        <w:pStyle w:val="TOC2"/>
        <w:rPr>
          <w:rFonts w:asciiTheme="minorHAnsi" w:eastAsiaTheme="minorEastAsia" w:hAnsiTheme="minorHAnsi" w:cstheme="minorBidi"/>
          <w:noProof/>
          <w:szCs w:val="22"/>
          <w:lang w:val="sr-Cyrl-CS"/>
        </w:rPr>
      </w:pPr>
      <w:hyperlink w:anchor="_Toc135947121" w:history="1">
        <w:r w:rsidR="005844C1" w:rsidRPr="00895819">
          <w:rPr>
            <w:rStyle w:val="Hyperlink"/>
            <w:noProof/>
            <w:lang w:val="sr-Cyrl-CS"/>
          </w:rPr>
          <w:t>1.1</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Дефиниције</w:t>
        </w:r>
        <w:r w:rsidR="005844C1" w:rsidRPr="00895819">
          <w:rPr>
            <w:noProof/>
            <w:webHidden/>
            <w:lang w:val="sr-Cyrl-CS"/>
          </w:rPr>
          <w:tab/>
        </w:r>
      </w:hyperlink>
    </w:p>
    <w:p w14:paraId="7C7B2615" w14:textId="10433105" w:rsidR="005844C1" w:rsidRPr="00895819" w:rsidRDefault="00000000">
      <w:pPr>
        <w:pStyle w:val="TOC2"/>
        <w:rPr>
          <w:rFonts w:asciiTheme="minorHAnsi" w:eastAsiaTheme="minorEastAsia" w:hAnsiTheme="minorHAnsi" w:cstheme="minorBidi"/>
          <w:noProof/>
          <w:szCs w:val="22"/>
          <w:lang w:val="sr-Cyrl-CS"/>
        </w:rPr>
      </w:pPr>
      <w:hyperlink w:anchor="_Toc135947122" w:history="1">
        <w:r w:rsidR="005844C1" w:rsidRPr="00895819">
          <w:rPr>
            <w:rStyle w:val="Hyperlink"/>
            <w:noProof/>
            <w:lang w:val="sr-Cyrl-CS"/>
          </w:rPr>
          <w:t>1.2</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Тумачење</w:t>
        </w:r>
        <w:r w:rsidR="005844C1" w:rsidRPr="00895819">
          <w:rPr>
            <w:noProof/>
            <w:webHidden/>
            <w:lang w:val="sr-Cyrl-CS"/>
          </w:rPr>
          <w:tab/>
        </w:r>
      </w:hyperlink>
    </w:p>
    <w:p w14:paraId="1B70E8BF" w14:textId="7CBC3C18" w:rsidR="005844C1" w:rsidRPr="00895819" w:rsidRDefault="00000000">
      <w:pPr>
        <w:pStyle w:val="TOC1"/>
        <w:rPr>
          <w:rFonts w:asciiTheme="minorHAnsi" w:eastAsiaTheme="minorEastAsia" w:hAnsiTheme="minorHAnsi" w:cstheme="minorBidi"/>
          <w:b w:val="0"/>
          <w:caps w:val="0"/>
          <w:noProof/>
          <w:sz w:val="22"/>
          <w:szCs w:val="22"/>
          <w:lang w:val="sr-Cyrl-CS"/>
        </w:rPr>
      </w:pPr>
      <w:hyperlink w:anchor="_Toc135947123" w:history="1">
        <w:r w:rsidR="005844C1" w:rsidRPr="00895819">
          <w:rPr>
            <w:rStyle w:val="Hyperlink"/>
            <w:noProof/>
            <w:lang w:val="sr-Cyrl-CS"/>
          </w:rPr>
          <w:t>2.</w:t>
        </w:r>
        <w:r w:rsidR="005844C1" w:rsidRPr="00895819">
          <w:rPr>
            <w:rFonts w:asciiTheme="minorHAnsi" w:eastAsiaTheme="minorEastAsia" w:hAnsiTheme="minorHAnsi" w:cstheme="minorBidi"/>
            <w:b w:val="0"/>
            <w:caps w:val="0"/>
            <w:noProof/>
            <w:sz w:val="22"/>
            <w:szCs w:val="22"/>
            <w:lang w:val="sr-Cyrl-CS"/>
          </w:rPr>
          <w:tab/>
        </w:r>
        <w:r w:rsidR="005844C1" w:rsidRPr="00895819">
          <w:rPr>
            <w:rStyle w:val="Hyperlink"/>
            <w:noProof/>
            <w:lang w:val="sr-Cyrl-CS"/>
          </w:rPr>
          <w:t>КРЕДИТ, СВРХА И УСЛОВИ КОРИШЋЕЊА</w:t>
        </w:r>
        <w:r w:rsidR="005844C1" w:rsidRPr="00895819">
          <w:rPr>
            <w:noProof/>
            <w:webHidden/>
            <w:lang w:val="sr-Cyrl-CS"/>
          </w:rPr>
          <w:tab/>
        </w:r>
      </w:hyperlink>
    </w:p>
    <w:p w14:paraId="559D9744" w14:textId="5C5A5629" w:rsidR="005844C1" w:rsidRPr="00895819" w:rsidRDefault="00000000">
      <w:pPr>
        <w:pStyle w:val="TOC2"/>
        <w:rPr>
          <w:rFonts w:asciiTheme="minorHAnsi" w:eastAsiaTheme="minorEastAsia" w:hAnsiTheme="minorHAnsi" w:cstheme="minorBidi"/>
          <w:noProof/>
          <w:szCs w:val="22"/>
          <w:lang w:val="sr-Cyrl-CS"/>
        </w:rPr>
      </w:pPr>
      <w:hyperlink w:anchor="_Toc135947124" w:history="1">
        <w:r w:rsidR="005844C1" w:rsidRPr="00895819">
          <w:rPr>
            <w:rStyle w:val="Hyperlink"/>
            <w:noProof/>
            <w:lang w:val="sr-Cyrl-CS"/>
          </w:rPr>
          <w:t>2.1</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Кредит</w:t>
        </w:r>
        <w:r w:rsidR="005844C1" w:rsidRPr="00895819">
          <w:rPr>
            <w:noProof/>
            <w:webHidden/>
            <w:lang w:val="sr-Cyrl-CS"/>
          </w:rPr>
          <w:tab/>
        </w:r>
      </w:hyperlink>
    </w:p>
    <w:p w14:paraId="19C0E82B" w14:textId="10A83D09" w:rsidR="005844C1" w:rsidRPr="00895819" w:rsidRDefault="00000000">
      <w:pPr>
        <w:pStyle w:val="TOC2"/>
        <w:rPr>
          <w:rFonts w:asciiTheme="minorHAnsi" w:eastAsiaTheme="minorEastAsia" w:hAnsiTheme="minorHAnsi" w:cstheme="minorBidi"/>
          <w:noProof/>
          <w:szCs w:val="22"/>
          <w:lang w:val="sr-Cyrl-CS"/>
        </w:rPr>
      </w:pPr>
      <w:hyperlink w:anchor="_Toc135947125" w:history="1">
        <w:r w:rsidR="005844C1" w:rsidRPr="00895819">
          <w:rPr>
            <w:rStyle w:val="Hyperlink"/>
            <w:noProof/>
            <w:lang w:val="sr-Cyrl-CS"/>
          </w:rPr>
          <w:t>2.2</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Сврха</w:t>
        </w:r>
        <w:r w:rsidR="005844C1" w:rsidRPr="00895819">
          <w:rPr>
            <w:noProof/>
            <w:webHidden/>
            <w:lang w:val="sr-Cyrl-CS"/>
          </w:rPr>
          <w:tab/>
        </w:r>
      </w:hyperlink>
    </w:p>
    <w:p w14:paraId="189772A5" w14:textId="213A4974" w:rsidR="005844C1" w:rsidRPr="00895819" w:rsidRDefault="00000000">
      <w:pPr>
        <w:pStyle w:val="TOC2"/>
        <w:rPr>
          <w:rFonts w:asciiTheme="minorHAnsi" w:eastAsiaTheme="minorEastAsia" w:hAnsiTheme="minorHAnsi" w:cstheme="minorBidi"/>
          <w:noProof/>
          <w:szCs w:val="22"/>
          <w:lang w:val="sr-Cyrl-CS"/>
        </w:rPr>
      </w:pPr>
      <w:hyperlink w:anchor="_Toc135947126" w:history="1">
        <w:r w:rsidR="005844C1" w:rsidRPr="00895819">
          <w:rPr>
            <w:rStyle w:val="Hyperlink"/>
            <w:noProof/>
            <w:lang w:val="sr-Cyrl-CS"/>
          </w:rPr>
          <w:t>2.3</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Одсуство одговорности</w:t>
        </w:r>
        <w:r w:rsidR="005844C1" w:rsidRPr="00895819">
          <w:rPr>
            <w:noProof/>
            <w:webHidden/>
            <w:lang w:val="sr-Cyrl-CS"/>
          </w:rPr>
          <w:tab/>
        </w:r>
      </w:hyperlink>
    </w:p>
    <w:p w14:paraId="0515E030" w14:textId="5420B00C" w:rsidR="005844C1" w:rsidRPr="00895819" w:rsidRDefault="00000000">
      <w:pPr>
        <w:pStyle w:val="TOC2"/>
        <w:rPr>
          <w:rFonts w:asciiTheme="minorHAnsi" w:eastAsiaTheme="minorEastAsia" w:hAnsiTheme="minorHAnsi" w:cstheme="minorBidi"/>
          <w:noProof/>
          <w:szCs w:val="22"/>
          <w:lang w:val="sr-Cyrl-CS"/>
        </w:rPr>
      </w:pPr>
      <w:hyperlink w:anchor="_Toc135947127" w:history="1">
        <w:r w:rsidR="005844C1" w:rsidRPr="00895819">
          <w:rPr>
            <w:rStyle w:val="Hyperlink"/>
            <w:noProof/>
            <w:lang w:val="sr-Cyrl-CS"/>
          </w:rPr>
          <w:t>2.4</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Претходни услови</w:t>
        </w:r>
        <w:r w:rsidR="005844C1" w:rsidRPr="00895819">
          <w:rPr>
            <w:noProof/>
            <w:webHidden/>
            <w:lang w:val="sr-Cyrl-CS"/>
          </w:rPr>
          <w:tab/>
        </w:r>
      </w:hyperlink>
    </w:p>
    <w:p w14:paraId="3346466A" w14:textId="050E8C16" w:rsidR="005844C1" w:rsidRPr="00895819" w:rsidRDefault="00000000">
      <w:pPr>
        <w:pStyle w:val="TOC1"/>
        <w:rPr>
          <w:rFonts w:asciiTheme="minorHAnsi" w:eastAsiaTheme="minorEastAsia" w:hAnsiTheme="minorHAnsi" w:cstheme="minorBidi"/>
          <w:b w:val="0"/>
          <w:caps w:val="0"/>
          <w:noProof/>
          <w:sz w:val="22"/>
          <w:szCs w:val="22"/>
          <w:lang w:val="sr-Cyrl-CS"/>
        </w:rPr>
      </w:pPr>
      <w:hyperlink w:anchor="_Toc135947128" w:history="1">
        <w:r w:rsidR="005844C1" w:rsidRPr="00895819">
          <w:rPr>
            <w:rStyle w:val="Hyperlink"/>
            <w:noProof/>
            <w:lang w:val="sr-Cyrl-CS"/>
          </w:rPr>
          <w:t>3.</w:t>
        </w:r>
        <w:r w:rsidR="005844C1" w:rsidRPr="00895819">
          <w:rPr>
            <w:rFonts w:asciiTheme="minorHAnsi" w:eastAsiaTheme="minorEastAsia" w:hAnsiTheme="minorHAnsi" w:cstheme="minorBidi"/>
            <w:b w:val="0"/>
            <w:caps w:val="0"/>
            <w:noProof/>
            <w:sz w:val="22"/>
            <w:szCs w:val="22"/>
            <w:lang w:val="sr-Cyrl-CS"/>
          </w:rPr>
          <w:tab/>
        </w:r>
        <w:r w:rsidR="005844C1" w:rsidRPr="00895819">
          <w:rPr>
            <w:rStyle w:val="Hyperlink"/>
            <w:noProof/>
            <w:lang w:val="sr-Cyrl-CS"/>
          </w:rPr>
          <w:t>ПОВЛАЧЕЊЕ СРЕДСТАВА</w:t>
        </w:r>
        <w:r w:rsidR="005844C1" w:rsidRPr="00895819">
          <w:rPr>
            <w:noProof/>
            <w:webHidden/>
            <w:lang w:val="sr-Cyrl-CS"/>
          </w:rPr>
          <w:tab/>
        </w:r>
      </w:hyperlink>
    </w:p>
    <w:p w14:paraId="2A081418" w14:textId="1A20E5A9" w:rsidR="005844C1" w:rsidRPr="00895819" w:rsidRDefault="00000000">
      <w:pPr>
        <w:pStyle w:val="TOC2"/>
        <w:rPr>
          <w:rFonts w:asciiTheme="minorHAnsi" w:eastAsiaTheme="minorEastAsia" w:hAnsiTheme="minorHAnsi" w:cstheme="minorBidi"/>
          <w:noProof/>
          <w:szCs w:val="22"/>
          <w:lang w:val="sr-Cyrl-CS"/>
        </w:rPr>
      </w:pPr>
      <w:hyperlink w:anchor="_Toc135947129" w:history="1">
        <w:r w:rsidR="005844C1" w:rsidRPr="00895819">
          <w:rPr>
            <w:rStyle w:val="Hyperlink"/>
            <w:noProof/>
            <w:lang w:val="sr-Cyrl-CS"/>
          </w:rPr>
          <w:t>3.1</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Број повлачења</w:t>
        </w:r>
        <w:r w:rsidR="005844C1" w:rsidRPr="00895819">
          <w:rPr>
            <w:noProof/>
            <w:webHidden/>
            <w:lang w:val="sr-Cyrl-CS"/>
          </w:rPr>
          <w:tab/>
        </w:r>
      </w:hyperlink>
    </w:p>
    <w:p w14:paraId="12F7B06B" w14:textId="0522D1CC" w:rsidR="005844C1" w:rsidRPr="00895819" w:rsidRDefault="00000000">
      <w:pPr>
        <w:pStyle w:val="TOC2"/>
        <w:rPr>
          <w:rFonts w:asciiTheme="minorHAnsi" w:eastAsiaTheme="minorEastAsia" w:hAnsiTheme="minorHAnsi" w:cstheme="minorBidi"/>
          <w:noProof/>
          <w:szCs w:val="22"/>
          <w:lang w:val="sr-Cyrl-CS"/>
        </w:rPr>
      </w:pPr>
      <w:hyperlink w:anchor="_Toc135947130" w:history="1">
        <w:r w:rsidR="005844C1" w:rsidRPr="00895819">
          <w:rPr>
            <w:rStyle w:val="Hyperlink"/>
            <w:noProof/>
            <w:lang w:val="sr-Cyrl-CS"/>
          </w:rPr>
          <w:t>3.2</w:t>
        </w:r>
        <w:r w:rsidR="005844C1" w:rsidRPr="00895819">
          <w:rPr>
            <w:rFonts w:asciiTheme="minorHAnsi" w:eastAsiaTheme="minorEastAsia" w:hAnsiTheme="minorHAnsi" w:cstheme="minorBidi"/>
            <w:noProof/>
            <w:szCs w:val="22"/>
            <w:lang w:val="sr-Cyrl-CS"/>
          </w:rPr>
          <w:tab/>
        </w:r>
        <w:r w:rsidR="005B326E" w:rsidRPr="00895819">
          <w:rPr>
            <w:rStyle w:val="Hyperlink"/>
            <w:noProof/>
            <w:lang w:val="sr-Cyrl-CS"/>
          </w:rPr>
          <w:t>Захтев за П</w:t>
        </w:r>
        <w:r w:rsidR="005844C1" w:rsidRPr="00895819">
          <w:rPr>
            <w:rStyle w:val="Hyperlink"/>
            <w:noProof/>
            <w:lang w:val="sr-Cyrl-CS"/>
          </w:rPr>
          <w:t>овлачење средстава</w:t>
        </w:r>
        <w:r w:rsidR="005844C1" w:rsidRPr="00895819">
          <w:rPr>
            <w:noProof/>
            <w:webHidden/>
            <w:lang w:val="sr-Cyrl-CS"/>
          </w:rPr>
          <w:tab/>
        </w:r>
      </w:hyperlink>
    </w:p>
    <w:p w14:paraId="4337A83A" w14:textId="4798B739" w:rsidR="005844C1" w:rsidRPr="00895819" w:rsidRDefault="00000000">
      <w:pPr>
        <w:pStyle w:val="TOC2"/>
        <w:rPr>
          <w:rFonts w:asciiTheme="minorHAnsi" w:eastAsiaTheme="minorEastAsia" w:hAnsiTheme="minorHAnsi" w:cstheme="minorBidi"/>
          <w:noProof/>
          <w:szCs w:val="22"/>
          <w:lang w:val="sr-Cyrl-CS"/>
        </w:rPr>
      </w:pPr>
      <w:hyperlink w:anchor="_Toc135947131" w:history="1">
        <w:r w:rsidR="005844C1" w:rsidRPr="00895819">
          <w:rPr>
            <w:rStyle w:val="Hyperlink"/>
            <w:noProof/>
            <w:lang w:val="sr-Cyrl-CS"/>
          </w:rPr>
          <w:t>3.3</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Извршење плаћања</w:t>
        </w:r>
        <w:r w:rsidR="005844C1" w:rsidRPr="00895819">
          <w:rPr>
            <w:noProof/>
            <w:webHidden/>
            <w:lang w:val="sr-Cyrl-CS"/>
          </w:rPr>
          <w:tab/>
        </w:r>
      </w:hyperlink>
    </w:p>
    <w:p w14:paraId="493D8B1E" w14:textId="48B9E098" w:rsidR="005844C1" w:rsidRPr="00895819" w:rsidRDefault="00000000">
      <w:pPr>
        <w:pStyle w:val="TOC2"/>
        <w:rPr>
          <w:rFonts w:asciiTheme="minorHAnsi" w:eastAsiaTheme="minorEastAsia" w:hAnsiTheme="minorHAnsi" w:cstheme="minorBidi"/>
          <w:noProof/>
          <w:szCs w:val="22"/>
          <w:lang w:val="sr-Cyrl-CS"/>
        </w:rPr>
      </w:pPr>
      <w:hyperlink w:anchor="_Toc135947132" w:history="1">
        <w:r w:rsidR="005844C1" w:rsidRPr="00895819">
          <w:rPr>
            <w:rStyle w:val="Hyperlink"/>
            <w:noProof/>
            <w:lang w:val="sr-Cyrl-CS"/>
          </w:rPr>
          <w:t>3.4</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Методе исплате</w:t>
        </w:r>
        <w:r w:rsidR="005844C1" w:rsidRPr="00895819">
          <w:rPr>
            <w:noProof/>
            <w:webHidden/>
            <w:lang w:val="sr-Cyrl-CS"/>
          </w:rPr>
          <w:tab/>
        </w:r>
      </w:hyperlink>
    </w:p>
    <w:p w14:paraId="590ED3C4" w14:textId="1DEA0DB9" w:rsidR="005844C1" w:rsidRPr="00895819" w:rsidRDefault="00000000">
      <w:pPr>
        <w:pStyle w:val="TOC2"/>
        <w:rPr>
          <w:rFonts w:asciiTheme="minorHAnsi" w:eastAsiaTheme="minorEastAsia" w:hAnsiTheme="minorHAnsi" w:cstheme="minorBidi"/>
          <w:noProof/>
          <w:szCs w:val="22"/>
          <w:lang w:val="sr-Cyrl-CS"/>
        </w:rPr>
      </w:pPr>
      <w:hyperlink w:anchor="_Toc135947133" w:history="1">
        <w:r w:rsidR="005844C1" w:rsidRPr="00895819">
          <w:rPr>
            <w:rStyle w:val="Hyperlink"/>
            <w:noProof/>
            <w:lang w:val="sr-Cyrl-CS"/>
          </w:rPr>
          <w:t>3.5</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Рок за прво Повлачење средстава</w:t>
        </w:r>
        <w:r w:rsidR="005844C1" w:rsidRPr="00895819">
          <w:rPr>
            <w:noProof/>
            <w:webHidden/>
            <w:lang w:val="sr-Cyrl-CS"/>
          </w:rPr>
          <w:tab/>
        </w:r>
      </w:hyperlink>
    </w:p>
    <w:p w14:paraId="28DEE630" w14:textId="4C2D16D6" w:rsidR="005844C1" w:rsidRPr="00895819" w:rsidRDefault="00000000">
      <w:pPr>
        <w:pStyle w:val="TOC2"/>
        <w:rPr>
          <w:rFonts w:asciiTheme="minorHAnsi" w:eastAsiaTheme="minorEastAsia" w:hAnsiTheme="minorHAnsi" w:cstheme="minorBidi"/>
          <w:noProof/>
          <w:szCs w:val="22"/>
          <w:lang w:val="sr-Cyrl-CS"/>
        </w:rPr>
      </w:pPr>
      <w:hyperlink w:anchor="_Toc135947134" w:history="1">
        <w:r w:rsidR="005844C1" w:rsidRPr="00895819">
          <w:rPr>
            <w:rStyle w:val="Hyperlink"/>
            <w:noProof/>
            <w:lang w:val="sr-Cyrl-CS"/>
          </w:rPr>
          <w:t>3.6</w:t>
        </w:r>
        <w:r w:rsidR="005844C1" w:rsidRPr="00895819">
          <w:rPr>
            <w:rFonts w:asciiTheme="minorHAnsi" w:eastAsiaTheme="minorEastAsia" w:hAnsiTheme="minorHAnsi" w:cstheme="minorBidi"/>
            <w:noProof/>
            <w:szCs w:val="22"/>
            <w:lang w:val="sr-Cyrl-CS"/>
          </w:rPr>
          <w:tab/>
        </w:r>
        <w:r w:rsidR="005B326E" w:rsidRPr="00895819">
          <w:rPr>
            <w:rStyle w:val="Hyperlink"/>
            <w:noProof/>
            <w:lang w:val="sr-Cyrl-CS"/>
          </w:rPr>
          <w:t>Рок за П</w:t>
        </w:r>
        <w:r w:rsidR="005844C1" w:rsidRPr="00895819">
          <w:rPr>
            <w:rStyle w:val="Hyperlink"/>
            <w:noProof/>
            <w:lang w:val="sr-Cyrl-CS"/>
          </w:rPr>
          <w:t>овлачење средстава</w:t>
        </w:r>
        <w:r w:rsidR="005844C1" w:rsidRPr="00895819">
          <w:rPr>
            <w:noProof/>
            <w:webHidden/>
            <w:lang w:val="sr-Cyrl-CS"/>
          </w:rPr>
          <w:tab/>
        </w:r>
      </w:hyperlink>
    </w:p>
    <w:p w14:paraId="0A318D11" w14:textId="7D50EB28" w:rsidR="005844C1" w:rsidRPr="00895819" w:rsidRDefault="00000000">
      <w:pPr>
        <w:pStyle w:val="TOC1"/>
        <w:rPr>
          <w:rFonts w:asciiTheme="minorHAnsi" w:eastAsiaTheme="minorEastAsia" w:hAnsiTheme="minorHAnsi" w:cstheme="minorBidi"/>
          <w:b w:val="0"/>
          <w:caps w:val="0"/>
          <w:noProof/>
          <w:sz w:val="22"/>
          <w:szCs w:val="22"/>
          <w:lang w:val="sr-Cyrl-CS"/>
        </w:rPr>
      </w:pPr>
      <w:hyperlink w:anchor="_Toc135947135" w:history="1">
        <w:r w:rsidR="005844C1" w:rsidRPr="00895819">
          <w:rPr>
            <w:rStyle w:val="Hyperlink"/>
            <w:noProof/>
            <w:lang w:val="sr-Cyrl-CS"/>
          </w:rPr>
          <w:t>4.</w:t>
        </w:r>
        <w:r w:rsidR="005844C1" w:rsidRPr="00895819">
          <w:rPr>
            <w:rFonts w:asciiTheme="minorHAnsi" w:eastAsiaTheme="minorEastAsia" w:hAnsiTheme="minorHAnsi" w:cstheme="minorBidi"/>
            <w:b w:val="0"/>
            <w:caps w:val="0"/>
            <w:noProof/>
            <w:sz w:val="22"/>
            <w:szCs w:val="22"/>
            <w:lang w:val="sr-Cyrl-CS"/>
          </w:rPr>
          <w:tab/>
        </w:r>
        <w:r w:rsidR="005844C1" w:rsidRPr="00895819">
          <w:rPr>
            <w:rStyle w:val="Hyperlink"/>
            <w:noProof/>
            <w:lang w:val="sr-Cyrl-CS"/>
          </w:rPr>
          <w:t>КАМАТА</w:t>
        </w:r>
        <w:r w:rsidR="005844C1" w:rsidRPr="00895819">
          <w:rPr>
            <w:noProof/>
            <w:webHidden/>
            <w:lang w:val="sr-Cyrl-CS"/>
          </w:rPr>
          <w:tab/>
        </w:r>
      </w:hyperlink>
    </w:p>
    <w:p w14:paraId="29FD7F8C" w14:textId="245A6262" w:rsidR="005844C1" w:rsidRPr="00895819" w:rsidRDefault="00000000">
      <w:pPr>
        <w:pStyle w:val="TOC2"/>
        <w:rPr>
          <w:rFonts w:asciiTheme="minorHAnsi" w:eastAsiaTheme="minorEastAsia" w:hAnsiTheme="minorHAnsi" w:cstheme="minorBidi"/>
          <w:noProof/>
          <w:szCs w:val="22"/>
          <w:lang w:val="sr-Cyrl-CS"/>
        </w:rPr>
      </w:pPr>
      <w:hyperlink w:anchor="_Toc135947136" w:history="1">
        <w:r w:rsidR="005844C1" w:rsidRPr="00895819">
          <w:rPr>
            <w:rStyle w:val="Hyperlink"/>
            <w:noProof/>
            <w:lang w:val="sr-Cyrl-CS"/>
          </w:rPr>
          <w:t>4.1</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Каматна стопа</w:t>
        </w:r>
        <w:r w:rsidR="005844C1" w:rsidRPr="00895819">
          <w:rPr>
            <w:noProof/>
            <w:webHidden/>
            <w:lang w:val="sr-Cyrl-CS"/>
          </w:rPr>
          <w:tab/>
        </w:r>
      </w:hyperlink>
    </w:p>
    <w:p w14:paraId="7D12E470" w14:textId="3A7CFF07" w:rsidR="005844C1" w:rsidRPr="00895819" w:rsidRDefault="00000000">
      <w:pPr>
        <w:pStyle w:val="TOC2"/>
        <w:rPr>
          <w:rFonts w:asciiTheme="minorHAnsi" w:eastAsiaTheme="minorEastAsia" w:hAnsiTheme="minorHAnsi" w:cstheme="minorBidi"/>
          <w:noProof/>
          <w:szCs w:val="22"/>
          <w:lang w:val="sr-Cyrl-CS"/>
        </w:rPr>
      </w:pPr>
      <w:hyperlink w:anchor="_Toc135947137" w:history="1">
        <w:r w:rsidR="005844C1" w:rsidRPr="00895819">
          <w:rPr>
            <w:rStyle w:val="Hyperlink"/>
            <w:noProof/>
            <w:lang w:val="sr-Cyrl-CS"/>
          </w:rPr>
          <w:t>4.2</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Обрачун и плаћање камате</w:t>
        </w:r>
        <w:r w:rsidR="005844C1" w:rsidRPr="00895819">
          <w:rPr>
            <w:noProof/>
            <w:webHidden/>
            <w:lang w:val="sr-Cyrl-CS"/>
          </w:rPr>
          <w:tab/>
        </w:r>
      </w:hyperlink>
    </w:p>
    <w:p w14:paraId="58D2A0EF" w14:textId="68507693" w:rsidR="005844C1" w:rsidRPr="00895819" w:rsidRDefault="00000000">
      <w:pPr>
        <w:pStyle w:val="TOC2"/>
        <w:rPr>
          <w:rFonts w:asciiTheme="minorHAnsi" w:eastAsiaTheme="minorEastAsia" w:hAnsiTheme="minorHAnsi" w:cstheme="minorBidi"/>
          <w:noProof/>
          <w:szCs w:val="22"/>
          <w:lang w:val="sr-Cyrl-CS"/>
        </w:rPr>
      </w:pPr>
      <w:hyperlink w:anchor="_Toc135947138" w:history="1">
        <w:r w:rsidR="005844C1" w:rsidRPr="00895819">
          <w:rPr>
            <w:rStyle w:val="Hyperlink"/>
            <w:noProof/>
            <w:lang w:val="sr-Cyrl-CS"/>
          </w:rPr>
          <w:t>4.3</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Камата на доцњу и затезна камата</w:t>
        </w:r>
        <w:r w:rsidR="005844C1" w:rsidRPr="00895819">
          <w:rPr>
            <w:noProof/>
            <w:webHidden/>
            <w:lang w:val="sr-Cyrl-CS"/>
          </w:rPr>
          <w:tab/>
        </w:r>
      </w:hyperlink>
    </w:p>
    <w:p w14:paraId="2374E198" w14:textId="71E1C6BB" w:rsidR="005844C1" w:rsidRPr="00895819" w:rsidRDefault="00000000">
      <w:pPr>
        <w:pStyle w:val="TOC2"/>
        <w:rPr>
          <w:rFonts w:asciiTheme="minorHAnsi" w:eastAsiaTheme="minorEastAsia" w:hAnsiTheme="minorHAnsi" w:cstheme="minorBidi"/>
          <w:noProof/>
          <w:szCs w:val="22"/>
          <w:lang w:val="sr-Cyrl-CS"/>
        </w:rPr>
      </w:pPr>
      <w:hyperlink w:anchor="_Toc135947139" w:history="1">
        <w:r w:rsidR="005844C1" w:rsidRPr="00895819">
          <w:rPr>
            <w:rStyle w:val="Hyperlink"/>
            <w:noProof/>
            <w:lang w:val="sr-Cyrl-CS"/>
          </w:rPr>
          <w:t>4.4</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Информисање о Каматним стопама</w:t>
        </w:r>
        <w:r w:rsidR="005844C1" w:rsidRPr="00895819">
          <w:rPr>
            <w:noProof/>
            <w:webHidden/>
            <w:lang w:val="sr-Cyrl-CS"/>
          </w:rPr>
          <w:tab/>
        </w:r>
      </w:hyperlink>
    </w:p>
    <w:p w14:paraId="55FF45DB" w14:textId="7D91F242" w:rsidR="005844C1" w:rsidRPr="00895819" w:rsidRDefault="00000000">
      <w:pPr>
        <w:pStyle w:val="TOC2"/>
        <w:rPr>
          <w:rFonts w:asciiTheme="minorHAnsi" w:eastAsiaTheme="minorEastAsia" w:hAnsiTheme="minorHAnsi" w:cstheme="minorBidi"/>
          <w:noProof/>
          <w:szCs w:val="22"/>
          <w:lang w:val="sr-Cyrl-CS"/>
        </w:rPr>
      </w:pPr>
      <w:hyperlink w:anchor="_Toc135947140" w:history="1">
        <w:r w:rsidR="005844C1" w:rsidRPr="00895819">
          <w:rPr>
            <w:rStyle w:val="Hyperlink"/>
            <w:noProof/>
            <w:lang w:val="sr-Cyrl-CS"/>
          </w:rPr>
          <w:t>4.5</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Ефективна глобална стопа (Taux Effectif Global)</w:t>
        </w:r>
        <w:r w:rsidR="005844C1" w:rsidRPr="00895819">
          <w:rPr>
            <w:noProof/>
            <w:webHidden/>
            <w:lang w:val="sr-Cyrl-CS"/>
          </w:rPr>
          <w:tab/>
        </w:r>
      </w:hyperlink>
    </w:p>
    <w:p w14:paraId="3D27C0E5" w14:textId="6307D7C5" w:rsidR="005844C1" w:rsidRPr="00895819" w:rsidRDefault="00000000">
      <w:pPr>
        <w:pStyle w:val="TOC1"/>
        <w:rPr>
          <w:rFonts w:asciiTheme="minorHAnsi" w:eastAsiaTheme="minorEastAsia" w:hAnsiTheme="minorHAnsi" w:cstheme="minorBidi"/>
          <w:b w:val="0"/>
          <w:caps w:val="0"/>
          <w:noProof/>
          <w:sz w:val="22"/>
          <w:szCs w:val="22"/>
          <w:lang w:val="sr-Cyrl-CS"/>
        </w:rPr>
      </w:pPr>
      <w:hyperlink w:anchor="_Toc135947141" w:history="1">
        <w:r w:rsidR="005844C1" w:rsidRPr="00895819">
          <w:rPr>
            <w:rStyle w:val="Hyperlink"/>
            <w:noProof/>
            <w:lang w:val="sr-Cyrl-CS"/>
          </w:rPr>
          <w:t>5.</w:t>
        </w:r>
        <w:r w:rsidR="005844C1" w:rsidRPr="00895819">
          <w:rPr>
            <w:rFonts w:asciiTheme="minorHAnsi" w:eastAsiaTheme="minorEastAsia" w:hAnsiTheme="minorHAnsi" w:cstheme="minorBidi"/>
            <w:b w:val="0"/>
            <w:caps w:val="0"/>
            <w:noProof/>
            <w:sz w:val="22"/>
            <w:szCs w:val="22"/>
            <w:lang w:val="sr-Cyrl-CS"/>
          </w:rPr>
          <w:tab/>
        </w:r>
        <w:r w:rsidR="005844C1" w:rsidRPr="00895819">
          <w:rPr>
            <w:rStyle w:val="Hyperlink"/>
            <w:noProof/>
            <w:lang w:val="sr-Cyrl-CS"/>
          </w:rPr>
          <w:t>ИЗМЕНА ОБРАЧУНА КАМАТе</w:t>
        </w:r>
        <w:r w:rsidR="005844C1" w:rsidRPr="00895819">
          <w:rPr>
            <w:noProof/>
            <w:webHidden/>
            <w:lang w:val="sr-Cyrl-CS"/>
          </w:rPr>
          <w:tab/>
        </w:r>
      </w:hyperlink>
    </w:p>
    <w:p w14:paraId="391FDEF8" w14:textId="3EED7BE8" w:rsidR="005844C1" w:rsidRPr="00895819" w:rsidRDefault="00000000">
      <w:pPr>
        <w:pStyle w:val="TOC2"/>
        <w:rPr>
          <w:rFonts w:asciiTheme="minorHAnsi" w:eastAsiaTheme="minorEastAsia" w:hAnsiTheme="minorHAnsi" w:cstheme="minorBidi"/>
          <w:noProof/>
          <w:szCs w:val="22"/>
          <w:lang w:val="sr-Cyrl-CS"/>
        </w:rPr>
      </w:pPr>
      <w:hyperlink w:anchor="_Toc135947142" w:history="1">
        <w:r w:rsidR="005844C1" w:rsidRPr="00895819">
          <w:rPr>
            <w:rStyle w:val="Hyperlink"/>
            <w:noProof/>
            <w:lang w:val="sr-Cyrl-CS"/>
          </w:rPr>
          <w:t>5.1</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Поремећај тржишта</w:t>
        </w:r>
        <w:r w:rsidR="005844C1" w:rsidRPr="00895819">
          <w:rPr>
            <w:noProof/>
            <w:webHidden/>
            <w:lang w:val="sr-Cyrl-CS"/>
          </w:rPr>
          <w:tab/>
        </w:r>
      </w:hyperlink>
    </w:p>
    <w:p w14:paraId="16B99867" w14:textId="37B736DE" w:rsidR="005844C1" w:rsidRPr="00895819" w:rsidRDefault="00000000">
      <w:pPr>
        <w:pStyle w:val="TOC2"/>
        <w:rPr>
          <w:rFonts w:asciiTheme="minorHAnsi" w:eastAsiaTheme="minorEastAsia" w:hAnsiTheme="minorHAnsi" w:cstheme="minorBidi"/>
          <w:noProof/>
          <w:szCs w:val="22"/>
          <w:lang w:val="sr-Cyrl-CS"/>
        </w:rPr>
      </w:pPr>
      <w:hyperlink w:anchor="_Toc135947143" w:history="1">
        <w:r w:rsidR="005844C1" w:rsidRPr="00895819">
          <w:rPr>
            <w:rStyle w:val="Hyperlink"/>
            <w:noProof/>
            <w:lang w:val="sr-Cyrl-CS"/>
          </w:rPr>
          <w:t>5.2</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Замена Приказа каматне стопе</w:t>
        </w:r>
        <w:r w:rsidR="005844C1" w:rsidRPr="00895819">
          <w:rPr>
            <w:noProof/>
            <w:webHidden/>
            <w:lang w:val="sr-Cyrl-CS"/>
          </w:rPr>
          <w:tab/>
        </w:r>
      </w:hyperlink>
    </w:p>
    <w:p w14:paraId="691865C2" w14:textId="0AC0B659" w:rsidR="005844C1" w:rsidRPr="00895819" w:rsidRDefault="00000000">
      <w:pPr>
        <w:pStyle w:val="TOC1"/>
        <w:rPr>
          <w:rFonts w:asciiTheme="minorHAnsi" w:eastAsiaTheme="minorEastAsia" w:hAnsiTheme="minorHAnsi" w:cstheme="minorBidi"/>
          <w:b w:val="0"/>
          <w:caps w:val="0"/>
          <w:noProof/>
          <w:sz w:val="22"/>
          <w:szCs w:val="22"/>
          <w:lang w:val="sr-Cyrl-CS"/>
        </w:rPr>
      </w:pPr>
      <w:hyperlink w:anchor="_Toc135947144" w:history="1">
        <w:r w:rsidR="005844C1" w:rsidRPr="00895819">
          <w:rPr>
            <w:rStyle w:val="Hyperlink"/>
            <w:noProof/>
            <w:lang w:val="sr-Cyrl-CS"/>
          </w:rPr>
          <w:t>6.</w:t>
        </w:r>
        <w:r w:rsidR="005844C1" w:rsidRPr="00895819">
          <w:rPr>
            <w:rFonts w:asciiTheme="minorHAnsi" w:eastAsiaTheme="minorEastAsia" w:hAnsiTheme="minorHAnsi" w:cstheme="minorBidi"/>
            <w:b w:val="0"/>
            <w:caps w:val="0"/>
            <w:noProof/>
            <w:sz w:val="22"/>
            <w:szCs w:val="22"/>
            <w:lang w:val="sr-Cyrl-CS"/>
          </w:rPr>
          <w:tab/>
        </w:r>
        <w:r w:rsidR="005844C1" w:rsidRPr="00895819">
          <w:rPr>
            <w:rStyle w:val="Hyperlink"/>
            <w:noProof/>
            <w:lang w:val="sr-Cyrl-CS"/>
          </w:rPr>
          <w:t>Накнаде</w:t>
        </w:r>
        <w:r w:rsidR="005844C1" w:rsidRPr="00895819">
          <w:rPr>
            <w:noProof/>
            <w:webHidden/>
            <w:lang w:val="sr-Cyrl-CS"/>
          </w:rPr>
          <w:tab/>
        </w:r>
      </w:hyperlink>
    </w:p>
    <w:p w14:paraId="6804A21C" w14:textId="1E2023B0" w:rsidR="005844C1" w:rsidRPr="00895819" w:rsidRDefault="00000000">
      <w:pPr>
        <w:pStyle w:val="TOC2"/>
        <w:rPr>
          <w:rFonts w:asciiTheme="minorHAnsi" w:eastAsiaTheme="minorEastAsia" w:hAnsiTheme="minorHAnsi" w:cstheme="minorBidi"/>
          <w:noProof/>
          <w:szCs w:val="22"/>
          <w:lang w:val="sr-Cyrl-CS"/>
        </w:rPr>
      </w:pPr>
      <w:hyperlink w:anchor="_Toc135947145" w:history="1">
        <w:r w:rsidR="005844C1" w:rsidRPr="00895819">
          <w:rPr>
            <w:rStyle w:val="Hyperlink"/>
            <w:noProof/>
            <w:lang w:val="sr-Cyrl-CS"/>
          </w:rPr>
          <w:t>6.1</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Накнаде за ангажовање средстава</w:t>
        </w:r>
        <w:r w:rsidR="005844C1" w:rsidRPr="00895819">
          <w:rPr>
            <w:noProof/>
            <w:webHidden/>
            <w:lang w:val="sr-Cyrl-CS"/>
          </w:rPr>
          <w:tab/>
        </w:r>
      </w:hyperlink>
    </w:p>
    <w:p w14:paraId="14CBF5D3" w14:textId="5205E8FC" w:rsidR="005844C1" w:rsidRPr="00895819" w:rsidRDefault="00000000">
      <w:pPr>
        <w:pStyle w:val="TOC2"/>
        <w:rPr>
          <w:rFonts w:asciiTheme="minorHAnsi" w:eastAsiaTheme="minorEastAsia" w:hAnsiTheme="minorHAnsi" w:cstheme="minorBidi"/>
          <w:noProof/>
          <w:szCs w:val="22"/>
          <w:lang w:val="sr-Cyrl-CS"/>
        </w:rPr>
      </w:pPr>
      <w:hyperlink w:anchor="_Toc135947146" w:history="1">
        <w:r w:rsidR="005844C1" w:rsidRPr="00895819">
          <w:rPr>
            <w:rStyle w:val="Hyperlink"/>
            <w:noProof/>
            <w:lang w:val="sr-Cyrl-CS"/>
          </w:rPr>
          <w:t>6.2</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Приступна накнада</w:t>
        </w:r>
        <w:r w:rsidR="005844C1" w:rsidRPr="00895819">
          <w:rPr>
            <w:noProof/>
            <w:webHidden/>
            <w:lang w:val="sr-Cyrl-CS"/>
          </w:rPr>
          <w:tab/>
        </w:r>
      </w:hyperlink>
    </w:p>
    <w:p w14:paraId="6FA25779" w14:textId="47C7E16A" w:rsidR="005844C1" w:rsidRPr="00895819" w:rsidRDefault="00000000">
      <w:pPr>
        <w:pStyle w:val="TOC1"/>
        <w:rPr>
          <w:rFonts w:asciiTheme="minorHAnsi" w:eastAsiaTheme="minorEastAsia" w:hAnsiTheme="minorHAnsi" w:cstheme="minorBidi"/>
          <w:b w:val="0"/>
          <w:caps w:val="0"/>
          <w:noProof/>
          <w:sz w:val="22"/>
          <w:szCs w:val="22"/>
          <w:lang w:val="sr-Cyrl-CS"/>
        </w:rPr>
      </w:pPr>
      <w:hyperlink w:anchor="_Toc135947147" w:history="1">
        <w:r w:rsidR="005844C1" w:rsidRPr="00895819">
          <w:rPr>
            <w:rStyle w:val="Hyperlink"/>
            <w:noProof/>
            <w:lang w:val="sr-Cyrl-CS"/>
          </w:rPr>
          <w:t>7.</w:t>
        </w:r>
        <w:r w:rsidR="005844C1" w:rsidRPr="00895819">
          <w:rPr>
            <w:rFonts w:asciiTheme="minorHAnsi" w:eastAsiaTheme="minorEastAsia" w:hAnsiTheme="minorHAnsi" w:cstheme="minorBidi"/>
            <w:b w:val="0"/>
            <w:caps w:val="0"/>
            <w:noProof/>
            <w:sz w:val="22"/>
            <w:szCs w:val="22"/>
            <w:lang w:val="sr-Cyrl-CS"/>
          </w:rPr>
          <w:tab/>
        </w:r>
        <w:r w:rsidR="005844C1" w:rsidRPr="00895819">
          <w:rPr>
            <w:rStyle w:val="Hyperlink"/>
            <w:noProof/>
            <w:lang w:val="sr-Cyrl-CS"/>
          </w:rPr>
          <w:t>ОТПЛАТА КРЕДИТА</w:t>
        </w:r>
        <w:r w:rsidR="005844C1" w:rsidRPr="00895819">
          <w:rPr>
            <w:noProof/>
            <w:webHidden/>
            <w:lang w:val="sr-Cyrl-CS"/>
          </w:rPr>
          <w:tab/>
        </w:r>
      </w:hyperlink>
    </w:p>
    <w:p w14:paraId="4202A329" w14:textId="5A1F7F7D" w:rsidR="005844C1" w:rsidRPr="00895819" w:rsidRDefault="00000000">
      <w:pPr>
        <w:pStyle w:val="TOC1"/>
        <w:rPr>
          <w:rFonts w:asciiTheme="minorHAnsi" w:eastAsiaTheme="minorEastAsia" w:hAnsiTheme="minorHAnsi" w:cstheme="minorBidi"/>
          <w:b w:val="0"/>
          <w:caps w:val="0"/>
          <w:noProof/>
          <w:sz w:val="22"/>
          <w:szCs w:val="22"/>
          <w:lang w:val="sr-Cyrl-CS"/>
        </w:rPr>
      </w:pPr>
      <w:hyperlink w:anchor="_Toc135947148" w:history="1">
        <w:r w:rsidR="005844C1" w:rsidRPr="00895819">
          <w:rPr>
            <w:rStyle w:val="Hyperlink"/>
            <w:noProof/>
            <w:lang w:val="sr-Cyrl-CS"/>
          </w:rPr>
          <w:t>8.</w:t>
        </w:r>
        <w:r w:rsidR="005844C1" w:rsidRPr="00895819">
          <w:rPr>
            <w:rFonts w:asciiTheme="minorHAnsi" w:eastAsiaTheme="minorEastAsia" w:hAnsiTheme="minorHAnsi" w:cstheme="minorBidi"/>
            <w:b w:val="0"/>
            <w:caps w:val="0"/>
            <w:noProof/>
            <w:sz w:val="22"/>
            <w:szCs w:val="22"/>
            <w:lang w:val="sr-Cyrl-CS"/>
          </w:rPr>
          <w:tab/>
        </w:r>
        <w:r w:rsidR="005844C1" w:rsidRPr="00895819">
          <w:rPr>
            <w:rStyle w:val="Hyperlink"/>
            <w:noProof/>
            <w:lang w:val="sr-Cyrl-CS"/>
          </w:rPr>
          <w:t>ПРЕВРЕМЕНА ОТПЛАТА И ОТКАЗИВАЊЕ КРЕДИТА</w:t>
        </w:r>
        <w:r w:rsidR="005844C1" w:rsidRPr="00895819">
          <w:rPr>
            <w:noProof/>
            <w:webHidden/>
            <w:lang w:val="sr-Cyrl-CS"/>
          </w:rPr>
          <w:tab/>
        </w:r>
      </w:hyperlink>
    </w:p>
    <w:p w14:paraId="7A3A2C70" w14:textId="056AD267" w:rsidR="005844C1" w:rsidRPr="00895819" w:rsidRDefault="00000000">
      <w:pPr>
        <w:pStyle w:val="TOC2"/>
        <w:rPr>
          <w:rFonts w:asciiTheme="minorHAnsi" w:eastAsiaTheme="minorEastAsia" w:hAnsiTheme="minorHAnsi" w:cstheme="minorBidi"/>
          <w:noProof/>
          <w:szCs w:val="22"/>
          <w:lang w:val="sr-Cyrl-CS"/>
        </w:rPr>
      </w:pPr>
      <w:hyperlink w:anchor="_Toc135947149" w:history="1">
        <w:r w:rsidR="005844C1" w:rsidRPr="00895819">
          <w:rPr>
            <w:rStyle w:val="Hyperlink"/>
            <w:noProof/>
            <w:lang w:val="sr-Cyrl-CS"/>
          </w:rPr>
          <w:t>8.1</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Добровољна превремена отплата Кредита</w:t>
        </w:r>
        <w:r w:rsidR="005844C1" w:rsidRPr="00895819">
          <w:rPr>
            <w:noProof/>
            <w:webHidden/>
            <w:lang w:val="sr-Cyrl-CS"/>
          </w:rPr>
          <w:tab/>
        </w:r>
      </w:hyperlink>
    </w:p>
    <w:p w14:paraId="24C7CF02" w14:textId="6E1673C9" w:rsidR="005844C1" w:rsidRPr="00895819" w:rsidRDefault="00000000">
      <w:pPr>
        <w:pStyle w:val="TOC2"/>
        <w:rPr>
          <w:rFonts w:asciiTheme="minorHAnsi" w:eastAsiaTheme="minorEastAsia" w:hAnsiTheme="minorHAnsi" w:cstheme="minorBidi"/>
          <w:noProof/>
          <w:szCs w:val="22"/>
          <w:lang w:val="sr-Cyrl-CS"/>
        </w:rPr>
      </w:pPr>
      <w:hyperlink w:anchor="_Toc135947150" w:history="1">
        <w:r w:rsidR="005844C1" w:rsidRPr="00895819">
          <w:rPr>
            <w:rStyle w:val="Hyperlink"/>
            <w:noProof/>
            <w:lang w:val="sr-Cyrl-CS"/>
          </w:rPr>
          <w:t>8.2</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Обавезна превремена отплата Кредита</w:t>
        </w:r>
        <w:r w:rsidR="005844C1" w:rsidRPr="00895819">
          <w:rPr>
            <w:noProof/>
            <w:webHidden/>
            <w:lang w:val="sr-Cyrl-CS"/>
          </w:rPr>
          <w:tab/>
        </w:r>
      </w:hyperlink>
    </w:p>
    <w:p w14:paraId="205D3F31" w14:textId="66B06E95" w:rsidR="005844C1" w:rsidRPr="00895819" w:rsidRDefault="00000000">
      <w:pPr>
        <w:pStyle w:val="TOC2"/>
        <w:rPr>
          <w:rFonts w:asciiTheme="minorHAnsi" w:eastAsiaTheme="minorEastAsia" w:hAnsiTheme="minorHAnsi" w:cstheme="minorBidi"/>
          <w:noProof/>
          <w:szCs w:val="22"/>
          <w:lang w:val="sr-Cyrl-CS"/>
        </w:rPr>
      </w:pPr>
      <w:hyperlink w:anchor="_Toc135947151" w:history="1">
        <w:r w:rsidR="005844C1" w:rsidRPr="00895819">
          <w:rPr>
            <w:rStyle w:val="Hyperlink"/>
            <w:noProof/>
            <w:lang w:val="sr-Cyrl-CS"/>
          </w:rPr>
          <w:t>8.3</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Отказивање од стране Зајмопримца</w:t>
        </w:r>
        <w:r w:rsidR="005844C1" w:rsidRPr="00895819">
          <w:rPr>
            <w:noProof/>
            <w:webHidden/>
            <w:lang w:val="sr-Cyrl-CS"/>
          </w:rPr>
          <w:tab/>
        </w:r>
      </w:hyperlink>
    </w:p>
    <w:p w14:paraId="344E0EDF" w14:textId="2AAC8A38" w:rsidR="005844C1" w:rsidRPr="00895819" w:rsidRDefault="00000000">
      <w:pPr>
        <w:pStyle w:val="TOC2"/>
        <w:rPr>
          <w:rFonts w:asciiTheme="minorHAnsi" w:eastAsiaTheme="minorEastAsia" w:hAnsiTheme="minorHAnsi" w:cstheme="minorBidi"/>
          <w:noProof/>
          <w:szCs w:val="22"/>
          <w:lang w:val="sr-Cyrl-CS"/>
        </w:rPr>
      </w:pPr>
      <w:hyperlink w:anchor="_Toc135947152" w:history="1">
        <w:r w:rsidR="005844C1" w:rsidRPr="00895819">
          <w:rPr>
            <w:rStyle w:val="Hyperlink"/>
            <w:noProof/>
            <w:lang w:val="sr-Cyrl-CS"/>
          </w:rPr>
          <w:t>8.4</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Отказивање од стране Зајмодавца</w:t>
        </w:r>
        <w:r w:rsidR="005844C1" w:rsidRPr="00895819">
          <w:rPr>
            <w:noProof/>
            <w:webHidden/>
            <w:lang w:val="sr-Cyrl-CS"/>
          </w:rPr>
          <w:tab/>
        </w:r>
      </w:hyperlink>
    </w:p>
    <w:p w14:paraId="319D5336" w14:textId="2DE1D68C" w:rsidR="005844C1" w:rsidRPr="00895819" w:rsidRDefault="00000000">
      <w:pPr>
        <w:pStyle w:val="TOC2"/>
        <w:rPr>
          <w:rFonts w:asciiTheme="minorHAnsi" w:eastAsiaTheme="minorEastAsia" w:hAnsiTheme="minorHAnsi" w:cstheme="minorBidi"/>
          <w:noProof/>
          <w:szCs w:val="22"/>
          <w:lang w:val="sr-Cyrl-CS"/>
        </w:rPr>
      </w:pPr>
      <w:hyperlink w:anchor="_Toc135947153" w:history="1">
        <w:r w:rsidR="005844C1" w:rsidRPr="00895819">
          <w:rPr>
            <w:rStyle w:val="Hyperlink"/>
            <w:noProof/>
            <w:lang w:val="sr-Cyrl-CS"/>
          </w:rPr>
          <w:t>8.5</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Ограничења</w:t>
        </w:r>
        <w:r w:rsidR="005844C1" w:rsidRPr="00895819">
          <w:rPr>
            <w:noProof/>
            <w:webHidden/>
            <w:lang w:val="sr-Cyrl-CS"/>
          </w:rPr>
          <w:tab/>
        </w:r>
      </w:hyperlink>
    </w:p>
    <w:p w14:paraId="7B8DFC0E" w14:textId="4BF07241" w:rsidR="005844C1" w:rsidRPr="00895819" w:rsidRDefault="00000000">
      <w:pPr>
        <w:pStyle w:val="TOC1"/>
        <w:rPr>
          <w:rFonts w:asciiTheme="minorHAnsi" w:eastAsiaTheme="minorEastAsia" w:hAnsiTheme="minorHAnsi" w:cstheme="minorBidi"/>
          <w:b w:val="0"/>
          <w:caps w:val="0"/>
          <w:noProof/>
          <w:sz w:val="22"/>
          <w:szCs w:val="22"/>
          <w:lang w:val="sr-Cyrl-CS"/>
        </w:rPr>
      </w:pPr>
      <w:hyperlink w:anchor="_Toc135947154" w:history="1">
        <w:r w:rsidR="005844C1" w:rsidRPr="00895819">
          <w:rPr>
            <w:rStyle w:val="Hyperlink"/>
            <w:noProof/>
            <w:lang w:val="sr-Cyrl-CS"/>
          </w:rPr>
          <w:t>9.</w:t>
        </w:r>
        <w:r w:rsidR="005844C1" w:rsidRPr="00895819">
          <w:rPr>
            <w:rFonts w:asciiTheme="minorHAnsi" w:eastAsiaTheme="minorEastAsia" w:hAnsiTheme="minorHAnsi" w:cstheme="minorBidi"/>
            <w:b w:val="0"/>
            <w:caps w:val="0"/>
            <w:noProof/>
            <w:sz w:val="22"/>
            <w:szCs w:val="22"/>
            <w:lang w:val="sr-Cyrl-CS"/>
          </w:rPr>
          <w:tab/>
        </w:r>
        <w:r w:rsidR="005844C1" w:rsidRPr="00895819">
          <w:rPr>
            <w:rStyle w:val="Hyperlink"/>
            <w:noProof/>
            <w:lang w:val="sr-Cyrl-CS"/>
          </w:rPr>
          <w:t>ДОДАТНЕ ОБАВЕЗЕ ПЛАЋАЊА</w:t>
        </w:r>
        <w:r w:rsidR="005844C1" w:rsidRPr="00895819">
          <w:rPr>
            <w:noProof/>
            <w:webHidden/>
            <w:lang w:val="sr-Cyrl-CS"/>
          </w:rPr>
          <w:tab/>
        </w:r>
      </w:hyperlink>
    </w:p>
    <w:p w14:paraId="110BA332" w14:textId="625C06B2" w:rsidR="005844C1" w:rsidRPr="00895819" w:rsidRDefault="00000000">
      <w:pPr>
        <w:pStyle w:val="TOC2"/>
        <w:rPr>
          <w:rFonts w:asciiTheme="minorHAnsi" w:eastAsiaTheme="minorEastAsia" w:hAnsiTheme="minorHAnsi" w:cstheme="minorBidi"/>
          <w:noProof/>
          <w:szCs w:val="22"/>
          <w:lang w:val="sr-Cyrl-CS"/>
        </w:rPr>
      </w:pPr>
      <w:hyperlink w:anchor="_Toc135947155" w:history="1">
        <w:r w:rsidR="005844C1" w:rsidRPr="00895819">
          <w:rPr>
            <w:rStyle w:val="Hyperlink"/>
            <w:noProof/>
            <w:lang w:val="sr-Cyrl-CS"/>
          </w:rPr>
          <w:t>9.1</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Трошкови и расходи</w:t>
        </w:r>
        <w:r w:rsidR="005844C1" w:rsidRPr="00895819">
          <w:rPr>
            <w:noProof/>
            <w:webHidden/>
            <w:lang w:val="sr-Cyrl-CS"/>
          </w:rPr>
          <w:tab/>
        </w:r>
      </w:hyperlink>
    </w:p>
    <w:p w14:paraId="06805D41" w14:textId="7F79C7C2" w:rsidR="005844C1" w:rsidRPr="00895819" w:rsidRDefault="00000000">
      <w:pPr>
        <w:pStyle w:val="TOC2"/>
        <w:rPr>
          <w:rFonts w:asciiTheme="minorHAnsi" w:eastAsiaTheme="minorEastAsia" w:hAnsiTheme="minorHAnsi" w:cstheme="minorBidi"/>
          <w:noProof/>
          <w:szCs w:val="22"/>
          <w:lang w:val="sr-Cyrl-CS"/>
        </w:rPr>
      </w:pPr>
      <w:hyperlink w:anchor="_Toc135947156" w:history="1">
        <w:r w:rsidR="005844C1" w:rsidRPr="00895819">
          <w:rPr>
            <w:rStyle w:val="Hyperlink"/>
            <w:noProof/>
            <w:lang w:val="sr-Cyrl-CS"/>
          </w:rPr>
          <w:t>9.2</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Обештећење за отказивање Кредита</w:t>
        </w:r>
        <w:r w:rsidR="005844C1" w:rsidRPr="00895819">
          <w:rPr>
            <w:noProof/>
            <w:webHidden/>
            <w:lang w:val="sr-Cyrl-CS"/>
          </w:rPr>
          <w:tab/>
        </w:r>
      </w:hyperlink>
    </w:p>
    <w:p w14:paraId="058640E9" w14:textId="7DF1494C" w:rsidR="005844C1" w:rsidRPr="00895819" w:rsidRDefault="00000000">
      <w:pPr>
        <w:pStyle w:val="TOC2"/>
        <w:rPr>
          <w:rFonts w:asciiTheme="minorHAnsi" w:eastAsiaTheme="minorEastAsia" w:hAnsiTheme="minorHAnsi" w:cstheme="minorBidi"/>
          <w:noProof/>
          <w:szCs w:val="22"/>
          <w:lang w:val="sr-Cyrl-CS"/>
        </w:rPr>
      </w:pPr>
      <w:hyperlink w:anchor="_Toc135947157" w:history="1">
        <w:r w:rsidR="005844C1" w:rsidRPr="00895819">
          <w:rPr>
            <w:rStyle w:val="Hyperlink"/>
            <w:noProof/>
            <w:lang w:val="sr-Cyrl-CS"/>
          </w:rPr>
          <w:t>9.3</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Обештећење за превремену отплату Кредита</w:t>
        </w:r>
        <w:r w:rsidR="005844C1" w:rsidRPr="00895819">
          <w:rPr>
            <w:noProof/>
            <w:webHidden/>
            <w:lang w:val="sr-Cyrl-CS"/>
          </w:rPr>
          <w:tab/>
        </w:r>
      </w:hyperlink>
    </w:p>
    <w:p w14:paraId="0A74EA43" w14:textId="2C95D123" w:rsidR="005844C1" w:rsidRPr="00895819" w:rsidRDefault="00000000">
      <w:pPr>
        <w:pStyle w:val="TOC2"/>
        <w:rPr>
          <w:rFonts w:asciiTheme="minorHAnsi" w:eastAsiaTheme="minorEastAsia" w:hAnsiTheme="minorHAnsi" w:cstheme="minorBidi"/>
          <w:noProof/>
          <w:szCs w:val="22"/>
          <w:lang w:val="sr-Cyrl-CS"/>
        </w:rPr>
      </w:pPr>
      <w:hyperlink w:anchor="_Toc135947158" w:history="1">
        <w:r w:rsidR="005844C1" w:rsidRPr="00895819">
          <w:rPr>
            <w:rStyle w:val="Hyperlink"/>
            <w:noProof/>
            <w:lang w:val="sr-Cyrl-CS"/>
          </w:rPr>
          <w:t>9.4</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Порези и накнаде</w:t>
        </w:r>
        <w:r w:rsidR="005844C1" w:rsidRPr="00895819">
          <w:rPr>
            <w:noProof/>
            <w:webHidden/>
            <w:lang w:val="sr-Cyrl-CS"/>
          </w:rPr>
          <w:tab/>
        </w:r>
      </w:hyperlink>
    </w:p>
    <w:p w14:paraId="424BC7FC" w14:textId="0A84EE2E" w:rsidR="005844C1" w:rsidRPr="00895819" w:rsidRDefault="00000000">
      <w:pPr>
        <w:pStyle w:val="TOC2"/>
        <w:rPr>
          <w:rFonts w:asciiTheme="minorHAnsi" w:eastAsiaTheme="minorEastAsia" w:hAnsiTheme="minorHAnsi" w:cstheme="minorBidi"/>
          <w:noProof/>
          <w:szCs w:val="22"/>
          <w:lang w:val="sr-Cyrl-CS"/>
        </w:rPr>
      </w:pPr>
      <w:hyperlink w:anchor="_Toc135947159" w:history="1">
        <w:r w:rsidR="005844C1" w:rsidRPr="00895819">
          <w:rPr>
            <w:rStyle w:val="Hyperlink"/>
            <w:noProof/>
            <w:lang w:val="sr-Cyrl-CS"/>
          </w:rPr>
          <w:t>9.5</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Додатни трошкови</w:t>
        </w:r>
        <w:r w:rsidR="005844C1" w:rsidRPr="00895819">
          <w:rPr>
            <w:noProof/>
            <w:webHidden/>
            <w:lang w:val="sr-Cyrl-CS"/>
          </w:rPr>
          <w:tab/>
        </w:r>
      </w:hyperlink>
    </w:p>
    <w:p w14:paraId="7043D880" w14:textId="28B2129C" w:rsidR="005844C1" w:rsidRPr="00895819" w:rsidRDefault="00000000">
      <w:pPr>
        <w:pStyle w:val="TOC2"/>
        <w:rPr>
          <w:rFonts w:asciiTheme="minorHAnsi" w:eastAsiaTheme="minorEastAsia" w:hAnsiTheme="minorHAnsi" w:cstheme="minorBidi"/>
          <w:noProof/>
          <w:szCs w:val="22"/>
          <w:lang w:val="sr-Cyrl-CS"/>
        </w:rPr>
      </w:pPr>
      <w:hyperlink w:anchor="_Toc135947160" w:history="1">
        <w:r w:rsidR="005844C1" w:rsidRPr="00895819">
          <w:rPr>
            <w:rStyle w:val="Hyperlink"/>
            <w:noProof/>
            <w:lang w:val="sr-Cyrl-CS"/>
          </w:rPr>
          <w:t>9.6</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Валутно обештећење</w:t>
        </w:r>
        <w:r w:rsidR="005844C1" w:rsidRPr="00895819">
          <w:rPr>
            <w:noProof/>
            <w:webHidden/>
            <w:lang w:val="sr-Cyrl-CS"/>
          </w:rPr>
          <w:tab/>
        </w:r>
      </w:hyperlink>
    </w:p>
    <w:p w14:paraId="75D58B0D" w14:textId="5280B17A" w:rsidR="005844C1" w:rsidRPr="00895819" w:rsidRDefault="00000000">
      <w:pPr>
        <w:pStyle w:val="TOC2"/>
        <w:rPr>
          <w:rFonts w:asciiTheme="minorHAnsi" w:eastAsiaTheme="minorEastAsia" w:hAnsiTheme="minorHAnsi" w:cstheme="minorBidi"/>
          <w:noProof/>
          <w:szCs w:val="22"/>
          <w:lang w:val="sr-Cyrl-CS"/>
        </w:rPr>
      </w:pPr>
      <w:hyperlink w:anchor="_Toc135947161" w:history="1">
        <w:r w:rsidR="005844C1" w:rsidRPr="00895819">
          <w:rPr>
            <w:rStyle w:val="Hyperlink"/>
            <w:noProof/>
            <w:lang w:val="sr-Cyrl-CS"/>
          </w:rPr>
          <w:t>9.7</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Датуми доспећа</w:t>
        </w:r>
        <w:r w:rsidR="005844C1" w:rsidRPr="00895819">
          <w:rPr>
            <w:noProof/>
            <w:webHidden/>
            <w:lang w:val="sr-Cyrl-CS"/>
          </w:rPr>
          <w:tab/>
        </w:r>
      </w:hyperlink>
    </w:p>
    <w:p w14:paraId="1C4468F0" w14:textId="2E25881D" w:rsidR="005844C1" w:rsidRPr="00895819" w:rsidRDefault="00000000">
      <w:pPr>
        <w:pStyle w:val="TOC1"/>
        <w:rPr>
          <w:rFonts w:asciiTheme="minorHAnsi" w:eastAsiaTheme="minorEastAsia" w:hAnsiTheme="minorHAnsi" w:cstheme="minorBidi"/>
          <w:b w:val="0"/>
          <w:caps w:val="0"/>
          <w:noProof/>
          <w:sz w:val="22"/>
          <w:szCs w:val="22"/>
          <w:lang w:val="sr-Cyrl-CS"/>
        </w:rPr>
      </w:pPr>
      <w:hyperlink w:anchor="_Toc135947162" w:history="1">
        <w:r w:rsidR="005844C1" w:rsidRPr="00895819">
          <w:rPr>
            <w:rStyle w:val="Hyperlink"/>
            <w:noProof/>
            <w:lang w:val="sr-Cyrl-CS"/>
          </w:rPr>
          <w:t>10.</w:t>
        </w:r>
        <w:r w:rsidR="005844C1" w:rsidRPr="00895819">
          <w:rPr>
            <w:rFonts w:asciiTheme="minorHAnsi" w:eastAsiaTheme="minorEastAsia" w:hAnsiTheme="minorHAnsi" w:cstheme="minorBidi"/>
            <w:b w:val="0"/>
            <w:caps w:val="0"/>
            <w:noProof/>
            <w:sz w:val="22"/>
            <w:szCs w:val="22"/>
            <w:lang w:val="sr-Cyrl-CS"/>
          </w:rPr>
          <w:tab/>
        </w:r>
        <w:r w:rsidR="005844C1" w:rsidRPr="00895819">
          <w:rPr>
            <w:rStyle w:val="Hyperlink"/>
            <w:noProof/>
            <w:lang w:val="sr-Cyrl-CS"/>
          </w:rPr>
          <w:t>ИЗЈАВЕ И ГАРАНЦИЈЕ</w:t>
        </w:r>
        <w:r w:rsidR="005844C1" w:rsidRPr="00895819">
          <w:rPr>
            <w:noProof/>
            <w:webHidden/>
            <w:lang w:val="sr-Cyrl-CS"/>
          </w:rPr>
          <w:tab/>
        </w:r>
      </w:hyperlink>
    </w:p>
    <w:p w14:paraId="077A725E" w14:textId="70E37E80" w:rsidR="005844C1" w:rsidRPr="00895819" w:rsidRDefault="00000000">
      <w:pPr>
        <w:pStyle w:val="TOC2"/>
        <w:rPr>
          <w:rFonts w:asciiTheme="minorHAnsi" w:eastAsiaTheme="minorEastAsia" w:hAnsiTheme="minorHAnsi" w:cstheme="minorBidi"/>
          <w:noProof/>
          <w:szCs w:val="22"/>
          <w:lang w:val="sr-Cyrl-CS"/>
        </w:rPr>
      </w:pPr>
      <w:hyperlink w:anchor="_Toc135947163" w:history="1">
        <w:r w:rsidR="005844C1" w:rsidRPr="00895819">
          <w:rPr>
            <w:rStyle w:val="Hyperlink"/>
            <w:noProof/>
            <w:lang w:val="sr-Cyrl-CS"/>
          </w:rPr>
          <w:t>10.1</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Овлашћења и надлежности</w:t>
        </w:r>
        <w:r w:rsidR="005844C1" w:rsidRPr="00895819">
          <w:rPr>
            <w:noProof/>
            <w:webHidden/>
            <w:lang w:val="sr-Cyrl-CS"/>
          </w:rPr>
          <w:tab/>
        </w:r>
      </w:hyperlink>
    </w:p>
    <w:p w14:paraId="7F8235F2" w14:textId="6278D6A8" w:rsidR="005844C1" w:rsidRPr="00895819" w:rsidRDefault="00000000">
      <w:pPr>
        <w:pStyle w:val="TOC2"/>
        <w:rPr>
          <w:rFonts w:asciiTheme="minorHAnsi" w:eastAsiaTheme="minorEastAsia" w:hAnsiTheme="minorHAnsi" w:cstheme="minorBidi"/>
          <w:noProof/>
          <w:szCs w:val="22"/>
          <w:lang w:val="sr-Cyrl-CS"/>
        </w:rPr>
      </w:pPr>
      <w:hyperlink w:anchor="_Toc135947164" w:history="1">
        <w:r w:rsidR="005844C1" w:rsidRPr="00895819">
          <w:rPr>
            <w:rStyle w:val="Hyperlink"/>
            <w:noProof/>
            <w:lang w:val="sr-Cyrl-CS"/>
          </w:rPr>
          <w:t>10.2</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Ваљаност и прихватљивост у сврхе доказивања</w:t>
        </w:r>
        <w:r w:rsidR="005844C1" w:rsidRPr="00895819">
          <w:rPr>
            <w:noProof/>
            <w:webHidden/>
            <w:lang w:val="sr-Cyrl-CS"/>
          </w:rPr>
          <w:tab/>
        </w:r>
      </w:hyperlink>
    </w:p>
    <w:p w14:paraId="415C6ECA" w14:textId="4D7B73C9" w:rsidR="005844C1" w:rsidRPr="00895819" w:rsidRDefault="00000000">
      <w:pPr>
        <w:pStyle w:val="TOC2"/>
        <w:rPr>
          <w:rFonts w:asciiTheme="minorHAnsi" w:eastAsiaTheme="minorEastAsia" w:hAnsiTheme="minorHAnsi" w:cstheme="minorBidi"/>
          <w:noProof/>
          <w:szCs w:val="22"/>
          <w:lang w:val="sr-Cyrl-CS"/>
        </w:rPr>
      </w:pPr>
      <w:hyperlink w:anchor="_Toc135947165" w:history="1">
        <w:r w:rsidR="005844C1" w:rsidRPr="00895819">
          <w:rPr>
            <w:rStyle w:val="Hyperlink"/>
            <w:noProof/>
            <w:lang w:val="sr-Cyrl-CS"/>
          </w:rPr>
          <w:t>10.3</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Обавезе</w:t>
        </w:r>
        <w:r w:rsidR="005844C1" w:rsidRPr="00895819">
          <w:rPr>
            <w:noProof/>
            <w:webHidden/>
            <w:lang w:val="sr-Cyrl-CS"/>
          </w:rPr>
          <w:tab/>
        </w:r>
      </w:hyperlink>
    </w:p>
    <w:p w14:paraId="12130830" w14:textId="1415D597" w:rsidR="005844C1" w:rsidRPr="00895819" w:rsidRDefault="00000000">
      <w:pPr>
        <w:pStyle w:val="TOC2"/>
        <w:rPr>
          <w:rFonts w:asciiTheme="minorHAnsi" w:eastAsiaTheme="minorEastAsia" w:hAnsiTheme="minorHAnsi" w:cstheme="minorBidi"/>
          <w:noProof/>
          <w:szCs w:val="22"/>
          <w:lang w:val="sr-Cyrl-CS"/>
        </w:rPr>
      </w:pPr>
      <w:hyperlink w:anchor="_Toc135947166" w:history="1">
        <w:r w:rsidR="005844C1" w:rsidRPr="00895819">
          <w:rPr>
            <w:rStyle w:val="Hyperlink"/>
            <w:noProof/>
            <w:lang w:val="sr-Cyrl-CS"/>
          </w:rPr>
          <w:t>10.4</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Ослобођење од такси за упис или регистрацију</w:t>
        </w:r>
        <w:r w:rsidR="005844C1" w:rsidRPr="00895819">
          <w:rPr>
            <w:noProof/>
            <w:webHidden/>
            <w:lang w:val="sr-Cyrl-CS"/>
          </w:rPr>
          <w:tab/>
        </w:r>
      </w:hyperlink>
    </w:p>
    <w:p w14:paraId="7F2DD3E1" w14:textId="067590E8" w:rsidR="005844C1" w:rsidRPr="00895819" w:rsidRDefault="00000000">
      <w:pPr>
        <w:pStyle w:val="TOC2"/>
        <w:rPr>
          <w:rFonts w:asciiTheme="minorHAnsi" w:eastAsiaTheme="minorEastAsia" w:hAnsiTheme="minorHAnsi" w:cstheme="minorBidi"/>
          <w:noProof/>
          <w:szCs w:val="22"/>
          <w:lang w:val="sr-Cyrl-CS"/>
        </w:rPr>
      </w:pPr>
      <w:hyperlink w:anchor="_Toc135947167" w:history="1">
        <w:r w:rsidR="005844C1" w:rsidRPr="00895819">
          <w:rPr>
            <w:rStyle w:val="Hyperlink"/>
            <w:noProof/>
            <w:lang w:val="sr-Cyrl-CS"/>
          </w:rPr>
          <w:t>10.5</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Пренос средстава</w:t>
        </w:r>
        <w:r w:rsidR="005844C1" w:rsidRPr="00895819">
          <w:rPr>
            <w:noProof/>
            <w:webHidden/>
            <w:lang w:val="sr-Cyrl-CS"/>
          </w:rPr>
          <w:tab/>
        </w:r>
      </w:hyperlink>
    </w:p>
    <w:p w14:paraId="1C2652A8" w14:textId="6744B5B2" w:rsidR="005844C1" w:rsidRPr="00895819" w:rsidRDefault="00000000">
      <w:pPr>
        <w:pStyle w:val="TOC2"/>
        <w:rPr>
          <w:rFonts w:asciiTheme="minorHAnsi" w:eastAsiaTheme="minorEastAsia" w:hAnsiTheme="minorHAnsi" w:cstheme="minorBidi"/>
          <w:noProof/>
          <w:szCs w:val="22"/>
          <w:lang w:val="sr-Cyrl-CS"/>
        </w:rPr>
      </w:pPr>
      <w:hyperlink w:anchor="_Toc135947168" w:history="1">
        <w:r w:rsidR="005844C1" w:rsidRPr="00895819">
          <w:rPr>
            <w:rStyle w:val="Hyperlink"/>
            <w:noProof/>
            <w:lang w:val="sr-Cyrl-CS"/>
          </w:rPr>
          <w:t>10.6</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Одсуство сукоба са другим обавезама</w:t>
        </w:r>
        <w:r w:rsidR="005844C1" w:rsidRPr="00895819">
          <w:rPr>
            <w:noProof/>
            <w:webHidden/>
            <w:lang w:val="sr-Cyrl-CS"/>
          </w:rPr>
          <w:tab/>
        </w:r>
      </w:hyperlink>
    </w:p>
    <w:p w14:paraId="053DAA83" w14:textId="51FB6E51" w:rsidR="005844C1" w:rsidRPr="00895819" w:rsidRDefault="00000000">
      <w:pPr>
        <w:pStyle w:val="TOC2"/>
        <w:rPr>
          <w:rFonts w:asciiTheme="minorHAnsi" w:eastAsiaTheme="minorEastAsia" w:hAnsiTheme="minorHAnsi" w:cstheme="minorBidi"/>
          <w:noProof/>
          <w:szCs w:val="22"/>
          <w:lang w:val="sr-Cyrl-CS"/>
        </w:rPr>
      </w:pPr>
      <w:hyperlink w:anchor="_Toc135947169" w:history="1">
        <w:r w:rsidR="005844C1" w:rsidRPr="00895819">
          <w:rPr>
            <w:rStyle w:val="Hyperlink"/>
            <w:noProof/>
            <w:lang w:val="sr-Cyrl-CS"/>
          </w:rPr>
          <w:t>10.7</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Меродавно право и извршење</w:t>
        </w:r>
        <w:r w:rsidR="005844C1" w:rsidRPr="00895819">
          <w:rPr>
            <w:noProof/>
            <w:webHidden/>
            <w:lang w:val="sr-Cyrl-CS"/>
          </w:rPr>
          <w:tab/>
        </w:r>
      </w:hyperlink>
    </w:p>
    <w:p w14:paraId="29C30EE6" w14:textId="35C3EE8C" w:rsidR="005844C1" w:rsidRPr="00895819" w:rsidRDefault="00000000">
      <w:pPr>
        <w:pStyle w:val="TOC2"/>
        <w:rPr>
          <w:rFonts w:asciiTheme="minorHAnsi" w:eastAsiaTheme="minorEastAsia" w:hAnsiTheme="minorHAnsi" w:cstheme="minorBidi"/>
          <w:noProof/>
          <w:szCs w:val="22"/>
          <w:lang w:val="sr-Cyrl-CS"/>
        </w:rPr>
      </w:pPr>
      <w:hyperlink w:anchor="_Toc135947170" w:history="1">
        <w:r w:rsidR="005844C1" w:rsidRPr="00895819">
          <w:rPr>
            <w:rStyle w:val="Hyperlink"/>
            <w:noProof/>
            <w:lang w:val="sr-Cyrl-CS"/>
          </w:rPr>
          <w:t>10.8</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Одсуство неизвршења обавеза</w:t>
        </w:r>
        <w:r w:rsidR="005844C1" w:rsidRPr="00895819">
          <w:rPr>
            <w:noProof/>
            <w:webHidden/>
            <w:lang w:val="sr-Cyrl-CS"/>
          </w:rPr>
          <w:tab/>
        </w:r>
      </w:hyperlink>
    </w:p>
    <w:p w14:paraId="3B1F66F2" w14:textId="38A33186" w:rsidR="005844C1" w:rsidRPr="00895819" w:rsidRDefault="00000000">
      <w:pPr>
        <w:pStyle w:val="TOC2"/>
        <w:rPr>
          <w:rFonts w:asciiTheme="minorHAnsi" w:eastAsiaTheme="minorEastAsia" w:hAnsiTheme="minorHAnsi" w:cstheme="minorBidi"/>
          <w:noProof/>
          <w:szCs w:val="22"/>
          <w:lang w:val="sr-Cyrl-CS"/>
        </w:rPr>
      </w:pPr>
      <w:hyperlink w:anchor="_Toc135947171" w:history="1">
        <w:r w:rsidR="005844C1" w:rsidRPr="00895819">
          <w:rPr>
            <w:rStyle w:val="Hyperlink"/>
            <w:noProof/>
            <w:lang w:val="sr-Cyrl-CS"/>
          </w:rPr>
          <w:t>10.9</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Одсуство информација које наводе у заблуду</w:t>
        </w:r>
        <w:r w:rsidR="005844C1" w:rsidRPr="00895819">
          <w:rPr>
            <w:noProof/>
            <w:webHidden/>
            <w:lang w:val="sr-Cyrl-CS"/>
          </w:rPr>
          <w:tab/>
        </w:r>
      </w:hyperlink>
    </w:p>
    <w:p w14:paraId="3EBD2024" w14:textId="67AFB227" w:rsidR="005844C1" w:rsidRPr="00895819" w:rsidRDefault="00000000">
      <w:pPr>
        <w:pStyle w:val="TOC2"/>
        <w:rPr>
          <w:rFonts w:asciiTheme="minorHAnsi" w:eastAsiaTheme="minorEastAsia" w:hAnsiTheme="minorHAnsi" w:cstheme="minorBidi"/>
          <w:noProof/>
          <w:szCs w:val="22"/>
          <w:lang w:val="sr-Cyrl-CS"/>
        </w:rPr>
      </w:pPr>
      <w:hyperlink w:anchor="_Toc135947172" w:history="1">
        <w:r w:rsidR="005844C1" w:rsidRPr="00895819">
          <w:rPr>
            <w:rStyle w:val="Hyperlink"/>
            <w:noProof/>
            <w:lang w:val="sr-Cyrl-CS"/>
          </w:rPr>
          <w:t>10.10</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Статус Pari Passu</w:t>
        </w:r>
        <w:r w:rsidR="005844C1" w:rsidRPr="00895819">
          <w:rPr>
            <w:noProof/>
            <w:webHidden/>
            <w:lang w:val="sr-Cyrl-CS"/>
          </w:rPr>
          <w:tab/>
        </w:r>
      </w:hyperlink>
    </w:p>
    <w:p w14:paraId="7886D0D4" w14:textId="5A525F27" w:rsidR="005844C1" w:rsidRPr="00895819" w:rsidRDefault="00000000">
      <w:pPr>
        <w:pStyle w:val="TOC2"/>
        <w:rPr>
          <w:rFonts w:asciiTheme="minorHAnsi" w:eastAsiaTheme="minorEastAsia" w:hAnsiTheme="minorHAnsi" w:cstheme="minorBidi"/>
          <w:noProof/>
          <w:szCs w:val="22"/>
          <w:lang w:val="sr-Cyrl-CS"/>
        </w:rPr>
      </w:pPr>
      <w:hyperlink w:anchor="_Toc135947173" w:history="1">
        <w:r w:rsidR="005844C1" w:rsidRPr="00895819">
          <w:rPr>
            <w:rStyle w:val="Hyperlink"/>
            <w:noProof/>
            <w:lang w:val="sr-Cyrl-CS"/>
          </w:rPr>
          <w:t>10.11</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Законито порекло средстава и Забрањене радње</w:t>
        </w:r>
        <w:r w:rsidR="005844C1" w:rsidRPr="00895819">
          <w:rPr>
            <w:noProof/>
            <w:webHidden/>
            <w:lang w:val="sr-Cyrl-CS"/>
          </w:rPr>
          <w:tab/>
        </w:r>
      </w:hyperlink>
    </w:p>
    <w:p w14:paraId="6706475B" w14:textId="251944F8" w:rsidR="005844C1" w:rsidRPr="00895819" w:rsidRDefault="00000000">
      <w:pPr>
        <w:pStyle w:val="TOC2"/>
        <w:rPr>
          <w:rFonts w:asciiTheme="minorHAnsi" w:eastAsiaTheme="minorEastAsia" w:hAnsiTheme="minorHAnsi" w:cstheme="minorBidi"/>
          <w:noProof/>
          <w:szCs w:val="22"/>
          <w:lang w:val="sr-Cyrl-CS"/>
        </w:rPr>
      </w:pPr>
      <w:hyperlink w:anchor="_Toc135947174" w:history="1">
        <w:r w:rsidR="005844C1" w:rsidRPr="00895819">
          <w:rPr>
            <w:rStyle w:val="Hyperlink"/>
            <w:noProof/>
            <w:lang w:val="sr-Cyrl-CS"/>
          </w:rPr>
          <w:t>10.12</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Одсуство значајних негативних последица</w:t>
        </w:r>
        <w:r w:rsidR="005844C1" w:rsidRPr="00895819">
          <w:rPr>
            <w:noProof/>
            <w:webHidden/>
            <w:lang w:val="sr-Cyrl-CS"/>
          </w:rPr>
          <w:tab/>
        </w:r>
      </w:hyperlink>
    </w:p>
    <w:p w14:paraId="76EC4F16" w14:textId="5577A3DA" w:rsidR="005844C1" w:rsidRPr="00895819" w:rsidRDefault="00000000">
      <w:pPr>
        <w:pStyle w:val="TOC2"/>
        <w:rPr>
          <w:rFonts w:asciiTheme="minorHAnsi" w:eastAsiaTheme="minorEastAsia" w:hAnsiTheme="minorHAnsi" w:cstheme="minorBidi"/>
          <w:noProof/>
          <w:szCs w:val="22"/>
          <w:lang w:val="sr-Cyrl-CS"/>
        </w:rPr>
      </w:pPr>
      <w:hyperlink w:anchor="_Toc135947175" w:history="1">
        <w:r w:rsidR="005844C1" w:rsidRPr="00895819">
          <w:rPr>
            <w:rStyle w:val="Hyperlink"/>
            <w:noProof/>
            <w:lang w:val="sr-Cyrl-CS"/>
          </w:rPr>
          <w:t>10.13</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Одрицање од имунитета</w:t>
        </w:r>
        <w:r w:rsidR="005844C1" w:rsidRPr="00895819">
          <w:rPr>
            <w:noProof/>
            <w:webHidden/>
            <w:lang w:val="sr-Cyrl-CS"/>
          </w:rPr>
          <w:tab/>
        </w:r>
      </w:hyperlink>
    </w:p>
    <w:p w14:paraId="62A307CF" w14:textId="69D5C027" w:rsidR="005844C1" w:rsidRPr="00895819" w:rsidRDefault="00000000">
      <w:pPr>
        <w:pStyle w:val="TOC2"/>
        <w:rPr>
          <w:rFonts w:asciiTheme="minorHAnsi" w:eastAsiaTheme="minorEastAsia" w:hAnsiTheme="minorHAnsi" w:cstheme="minorBidi"/>
          <w:noProof/>
          <w:szCs w:val="22"/>
          <w:lang w:val="sr-Cyrl-CS"/>
        </w:rPr>
      </w:pPr>
      <w:hyperlink w:anchor="_Toc135947176" w:history="1">
        <w:r w:rsidR="005844C1" w:rsidRPr="00895819">
          <w:rPr>
            <w:rStyle w:val="Hyperlink"/>
            <w:noProof/>
            <w:lang w:val="sr-Cyrl-CS"/>
          </w:rPr>
          <w:t>10.14</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Списак активности искључених из Оквира расхода</w:t>
        </w:r>
        <w:r w:rsidR="005844C1" w:rsidRPr="00895819">
          <w:rPr>
            <w:noProof/>
            <w:webHidden/>
            <w:lang w:val="sr-Cyrl-CS"/>
          </w:rPr>
          <w:tab/>
        </w:r>
      </w:hyperlink>
    </w:p>
    <w:p w14:paraId="236F841E" w14:textId="48398FD4" w:rsidR="005844C1" w:rsidRPr="00895819" w:rsidRDefault="00000000">
      <w:pPr>
        <w:pStyle w:val="TOC2"/>
        <w:rPr>
          <w:rFonts w:asciiTheme="minorHAnsi" w:eastAsiaTheme="minorEastAsia" w:hAnsiTheme="minorHAnsi" w:cstheme="minorBidi"/>
          <w:noProof/>
          <w:szCs w:val="22"/>
          <w:lang w:val="sr-Cyrl-CS"/>
        </w:rPr>
      </w:pPr>
      <w:hyperlink w:anchor="_Toc135947177" w:history="1">
        <w:r w:rsidR="005844C1" w:rsidRPr="00895819">
          <w:rPr>
            <w:rStyle w:val="Hyperlink"/>
            <w:noProof/>
            <w:lang w:val="sr-Cyrl-CS"/>
          </w:rPr>
          <w:t>10.15</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Набавка</w:t>
        </w:r>
        <w:r w:rsidR="005844C1" w:rsidRPr="00895819">
          <w:rPr>
            <w:noProof/>
            <w:webHidden/>
            <w:lang w:val="sr-Cyrl-CS"/>
          </w:rPr>
          <w:tab/>
        </w:r>
      </w:hyperlink>
    </w:p>
    <w:p w14:paraId="082C264E" w14:textId="7F112AED" w:rsidR="005844C1" w:rsidRPr="00895819" w:rsidRDefault="00000000">
      <w:pPr>
        <w:pStyle w:val="TOC1"/>
        <w:rPr>
          <w:rFonts w:asciiTheme="minorHAnsi" w:eastAsiaTheme="minorEastAsia" w:hAnsiTheme="minorHAnsi" w:cstheme="minorBidi"/>
          <w:b w:val="0"/>
          <w:caps w:val="0"/>
          <w:noProof/>
          <w:sz w:val="22"/>
          <w:szCs w:val="22"/>
          <w:lang w:val="sr-Cyrl-CS"/>
        </w:rPr>
      </w:pPr>
      <w:hyperlink w:anchor="_Toc135947178" w:history="1">
        <w:r w:rsidR="005844C1" w:rsidRPr="00895819">
          <w:rPr>
            <w:rStyle w:val="Hyperlink"/>
            <w:noProof/>
            <w:lang w:val="sr-Cyrl-CS"/>
          </w:rPr>
          <w:t>11.</w:t>
        </w:r>
        <w:r w:rsidR="005844C1" w:rsidRPr="00895819">
          <w:rPr>
            <w:rFonts w:asciiTheme="minorHAnsi" w:eastAsiaTheme="minorEastAsia" w:hAnsiTheme="minorHAnsi" w:cstheme="minorBidi"/>
            <w:b w:val="0"/>
            <w:caps w:val="0"/>
            <w:noProof/>
            <w:sz w:val="22"/>
            <w:szCs w:val="22"/>
            <w:lang w:val="sr-Cyrl-CS"/>
          </w:rPr>
          <w:tab/>
        </w:r>
        <w:r w:rsidR="005844C1" w:rsidRPr="00895819">
          <w:rPr>
            <w:rStyle w:val="Hyperlink"/>
            <w:noProof/>
            <w:lang w:val="sr-Cyrl-CS"/>
          </w:rPr>
          <w:t>ОБАВЕЗЕ</w:t>
        </w:r>
        <w:r w:rsidR="005844C1" w:rsidRPr="00895819">
          <w:rPr>
            <w:noProof/>
            <w:webHidden/>
            <w:lang w:val="sr-Cyrl-CS"/>
          </w:rPr>
          <w:tab/>
        </w:r>
      </w:hyperlink>
    </w:p>
    <w:p w14:paraId="20C622AE" w14:textId="50A8B657" w:rsidR="005844C1" w:rsidRPr="00895819" w:rsidRDefault="00000000">
      <w:pPr>
        <w:pStyle w:val="TOC2"/>
        <w:rPr>
          <w:rFonts w:asciiTheme="minorHAnsi" w:eastAsiaTheme="minorEastAsia" w:hAnsiTheme="minorHAnsi" w:cstheme="minorBidi"/>
          <w:noProof/>
          <w:szCs w:val="22"/>
          <w:lang w:val="sr-Cyrl-CS"/>
        </w:rPr>
      </w:pPr>
      <w:hyperlink w:anchor="_Toc135947179" w:history="1">
        <w:r w:rsidR="005844C1" w:rsidRPr="00895819">
          <w:rPr>
            <w:rStyle w:val="Hyperlink"/>
            <w:noProof/>
            <w:lang w:val="sr-Cyrl-CS"/>
          </w:rPr>
          <w:t>11.1</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Поштовање закона, прописа и обавеза</w:t>
        </w:r>
        <w:r w:rsidR="005844C1" w:rsidRPr="00895819">
          <w:rPr>
            <w:noProof/>
            <w:webHidden/>
            <w:lang w:val="sr-Cyrl-CS"/>
          </w:rPr>
          <w:tab/>
        </w:r>
      </w:hyperlink>
    </w:p>
    <w:p w14:paraId="6C2D245B" w14:textId="73680557" w:rsidR="005844C1" w:rsidRPr="00895819" w:rsidRDefault="00000000">
      <w:pPr>
        <w:pStyle w:val="TOC2"/>
        <w:rPr>
          <w:rFonts w:asciiTheme="minorHAnsi" w:eastAsiaTheme="minorEastAsia" w:hAnsiTheme="minorHAnsi" w:cstheme="minorBidi"/>
          <w:noProof/>
          <w:szCs w:val="22"/>
          <w:lang w:val="sr-Cyrl-CS"/>
        </w:rPr>
      </w:pPr>
      <w:hyperlink w:anchor="_Toc135947180" w:history="1">
        <w:r w:rsidR="005844C1" w:rsidRPr="00895819">
          <w:rPr>
            <w:rStyle w:val="Hyperlink"/>
            <w:noProof/>
            <w:lang w:val="sr-Cyrl-CS"/>
          </w:rPr>
          <w:t>11.2</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Овлашћења</w:t>
        </w:r>
        <w:r w:rsidR="005844C1" w:rsidRPr="00895819">
          <w:rPr>
            <w:noProof/>
            <w:webHidden/>
            <w:lang w:val="sr-Cyrl-CS"/>
          </w:rPr>
          <w:tab/>
        </w:r>
      </w:hyperlink>
    </w:p>
    <w:p w14:paraId="1AD8AB46" w14:textId="78A1BD5C" w:rsidR="005844C1" w:rsidRPr="00895819" w:rsidRDefault="00000000">
      <w:pPr>
        <w:pStyle w:val="TOC2"/>
        <w:rPr>
          <w:rFonts w:asciiTheme="minorHAnsi" w:eastAsiaTheme="minorEastAsia" w:hAnsiTheme="minorHAnsi" w:cstheme="minorBidi"/>
          <w:noProof/>
          <w:szCs w:val="22"/>
          <w:lang w:val="sr-Cyrl-CS"/>
        </w:rPr>
      </w:pPr>
      <w:hyperlink w:anchor="_Toc135947181" w:history="1">
        <w:r w:rsidR="005844C1" w:rsidRPr="00895819">
          <w:rPr>
            <w:rStyle w:val="Hyperlink"/>
            <w:noProof/>
            <w:lang w:val="sr-Cyrl-CS"/>
          </w:rPr>
          <w:t>11.3</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Документа везана за Операцију</w:t>
        </w:r>
        <w:r w:rsidR="005844C1" w:rsidRPr="00895819">
          <w:rPr>
            <w:noProof/>
            <w:webHidden/>
            <w:lang w:val="sr-Cyrl-CS"/>
          </w:rPr>
          <w:tab/>
        </w:r>
      </w:hyperlink>
    </w:p>
    <w:p w14:paraId="052F6BC8" w14:textId="6FEA5BD8" w:rsidR="005844C1" w:rsidRPr="00895819" w:rsidRDefault="00000000">
      <w:pPr>
        <w:pStyle w:val="TOC2"/>
        <w:rPr>
          <w:rFonts w:asciiTheme="minorHAnsi" w:eastAsiaTheme="minorEastAsia" w:hAnsiTheme="minorHAnsi" w:cstheme="minorBidi"/>
          <w:noProof/>
          <w:szCs w:val="22"/>
          <w:lang w:val="sr-Cyrl-CS"/>
        </w:rPr>
      </w:pPr>
      <w:hyperlink w:anchor="_Toc135947182" w:history="1">
        <w:r w:rsidR="005844C1" w:rsidRPr="00895819">
          <w:rPr>
            <w:rStyle w:val="Hyperlink"/>
            <w:noProof/>
            <w:lang w:val="sr-Cyrl-CS"/>
          </w:rPr>
          <w:t>11.4</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Имплементација и одржавање Операције</w:t>
        </w:r>
        <w:r w:rsidR="005844C1" w:rsidRPr="00895819">
          <w:rPr>
            <w:noProof/>
            <w:webHidden/>
            <w:lang w:val="sr-Cyrl-CS"/>
          </w:rPr>
          <w:tab/>
        </w:r>
      </w:hyperlink>
    </w:p>
    <w:p w14:paraId="074698D9" w14:textId="0CD25D31" w:rsidR="005844C1" w:rsidRPr="00895819" w:rsidRDefault="00000000">
      <w:pPr>
        <w:pStyle w:val="TOC2"/>
        <w:rPr>
          <w:rFonts w:asciiTheme="minorHAnsi" w:eastAsiaTheme="minorEastAsia" w:hAnsiTheme="minorHAnsi" w:cstheme="minorBidi"/>
          <w:noProof/>
          <w:szCs w:val="22"/>
          <w:lang w:val="sr-Cyrl-CS"/>
        </w:rPr>
      </w:pPr>
      <w:hyperlink w:anchor="_Toc135947183" w:history="1">
        <w:r w:rsidR="005844C1" w:rsidRPr="00895819">
          <w:rPr>
            <w:rStyle w:val="Hyperlink"/>
            <w:noProof/>
            <w:lang w:val="sr-Cyrl-CS"/>
          </w:rPr>
          <w:t>11.5</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Одговорност у области животне средине и социјалних питања</w:t>
        </w:r>
        <w:r w:rsidR="005844C1" w:rsidRPr="00895819">
          <w:rPr>
            <w:noProof/>
            <w:webHidden/>
            <w:lang w:val="sr-Cyrl-CS"/>
          </w:rPr>
          <w:tab/>
        </w:r>
      </w:hyperlink>
    </w:p>
    <w:p w14:paraId="3A62715C" w14:textId="7D4DCDAE" w:rsidR="005844C1" w:rsidRPr="00895819" w:rsidRDefault="00000000">
      <w:pPr>
        <w:pStyle w:val="TOC2"/>
        <w:rPr>
          <w:rFonts w:asciiTheme="minorHAnsi" w:eastAsiaTheme="minorEastAsia" w:hAnsiTheme="minorHAnsi" w:cstheme="minorBidi"/>
          <w:noProof/>
          <w:szCs w:val="22"/>
          <w:lang w:val="sr-Cyrl-CS"/>
        </w:rPr>
      </w:pPr>
      <w:hyperlink w:anchor="_Toc135947184" w:history="1">
        <w:r w:rsidR="005844C1" w:rsidRPr="00895819">
          <w:rPr>
            <w:rStyle w:val="Hyperlink"/>
            <w:noProof/>
            <w:lang w:val="sr-Cyrl-CS"/>
          </w:rPr>
          <w:t>11.6</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Додатно финансирање</w:t>
        </w:r>
        <w:r w:rsidR="005844C1" w:rsidRPr="00895819">
          <w:rPr>
            <w:noProof/>
            <w:webHidden/>
            <w:lang w:val="sr-Cyrl-CS"/>
          </w:rPr>
          <w:tab/>
        </w:r>
      </w:hyperlink>
    </w:p>
    <w:p w14:paraId="6DA3968F" w14:textId="2CD884D9" w:rsidR="005844C1" w:rsidRPr="00895819" w:rsidRDefault="00000000">
      <w:pPr>
        <w:pStyle w:val="TOC2"/>
        <w:rPr>
          <w:rFonts w:asciiTheme="minorHAnsi" w:eastAsiaTheme="minorEastAsia" w:hAnsiTheme="minorHAnsi" w:cstheme="minorBidi"/>
          <w:noProof/>
          <w:szCs w:val="22"/>
          <w:lang w:val="sr-Cyrl-CS"/>
        </w:rPr>
      </w:pPr>
      <w:hyperlink w:anchor="_Toc135947185" w:history="1">
        <w:r w:rsidR="005844C1" w:rsidRPr="00895819">
          <w:rPr>
            <w:rStyle w:val="Hyperlink"/>
            <w:noProof/>
            <w:lang w:val="sr-Cyrl-CS"/>
          </w:rPr>
          <w:t>11.7</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Статус pari passu</w:t>
        </w:r>
        <w:r w:rsidR="005844C1" w:rsidRPr="00895819">
          <w:rPr>
            <w:noProof/>
            <w:webHidden/>
            <w:lang w:val="sr-Cyrl-CS"/>
          </w:rPr>
          <w:tab/>
        </w:r>
      </w:hyperlink>
    </w:p>
    <w:p w14:paraId="37D3D85F" w14:textId="096D3D65" w:rsidR="005844C1" w:rsidRPr="00895819" w:rsidRDefault="00000000">
      <w:pPr>
        <w:pStyle w:val="TOC2"/>
        <w:rPr>
          <w:rFonts w:asciiTheme="minorHAnsi" w:eastAsiaTheme="minorEastAsia" w:hAnsiTheme="minorHAnsi" w:cstheme="minorBidi"/>
          <w:noProof/>
          <w:szCs w:val="22"/>
          <w:lang w:val="sr-Cyrl-CS"/>
        </w:rPr>
      </w:pPr>
      <w:hyperlink w:anchor="_Toc135947186" w:history="1">
        <w:r w:rsidR="005844C1" w:rsidRPr="00895819">
          <w:rPr>
            <w:rStyle w:val="Hyperlink"/>
            <w:noProof/>
            <w:lang w:val="sr-Cyrl-CS"/>
          </w:rPr>
          <w:t>11.8</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Надзор</w:t>
        </w:r>
        <w:r w:rsidR="005844C1" w:rsidRPr="00895819">
          <w:rPr>
            <w:noProof/>
            <w:webHidden/>
            <w:lang w:val="sr-Cyrl-CS"/>
          </w:rPr>
          <w:tab/>
        </w:r>
      </w:hyperlink>
    </w:p>
    <w:p w14:paraId="5520880E" w14:textId="3ED906E3" w:rsidR="005844C1" w:rsidRPr="00895819" w:rsidRDefault="00000000">
      <w:pPr>
        <w:pStyle w:val="TOC2"/>
        <w:rPr>
          <w:rFonts w:asciiTheme="minorHAnsi" w:eastAsiaTheme="minorEastAsia" w:hAnsiTheme="minorHAnsi" w:cstheme="minorBidi"/>
          <w:noProof/>
          <w:szCs w:val="22"/>
          <w:lang w:val="sr-Cyrl-CS"/>
        </w:rPr>
      </w:pPr>
      <w:hyperlink w:anchor="_Toc135947187" w:history="1">
        <w:r w:rsidR="005844C1" w:rsidRPr="00895819">
          <w:rPr>
            <w:rStyle w:val="Hyperlink"/>
            <w:noProof/>
            <w:lang w:val="sr-Cyrl-CS"/>
          </w:rPr>
          <w:t>11.9</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Евалуација Операције</w:t>
        </w:r>
        <w:r w:rsidR="005844C1" w:rsidRPr="00895819">
          <w:rPr>
            <w:noProof/>
            <w:webHidden/>
            <w:lang w:val="sr-Cyrl-CS"/>
          </w:rPr>
          <w:tab/>
        </w:r>
      </w:hyperlink>
    </w:p>
    <w:p w14:paraId="5C106F3B" w14:textId="26E9F8F9" w:rsidR="005844C1" w:rsidRPr="00895819" w:rsidRDefault="00000000">
      <w:pPr>
        <w:pStyle w:val="TOC2"/>
        <w:rPr>
          <w:rFonts w:asciiTheme="minorHAnsi" w:eastAsiaTheme="minorEastAsia" w:hAnsiTheme="minorHAnsi" w:cstheme="minorBidi"/>
          <w:noProof/>
          <w:szCs w:val="22"/>
          <w:lang w:val="sr-Cyrl-CS"/>
        </w:rPr>
      </w:pPr>
      <w:hyperlink w:anchor="_Toc135947188" w:history="1">
        <w:r w:rsidR="005844C1" w:rsidRPr="00895819">
          <w:rPr>
            <w:rStyle w:val="Hyperlink"/>
            <w:noProof/>
            <w:lang w:val="sr-Cyrl-CS"/>
          </w:rPr>
          <w:t>11.10</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Списак финансијских санкција и ембарга</w:t>
        </w:r>
        <w:r w:rsidR="005844C1" w:rsidRPr="00895819">
          <w:rPr>
            <w:noProof/>
            <w:webHidden/>
            <w:lang w:val="sr-Cyrl-CS"/>
          </w:rPr>
          <w:tab/>
        </w:r>
      </w:hyperlink>
    </w:p>
    <w:p w14:paraId="7D8804B8" w14:textId="79013F5F" w:rsidR="005844C1" w:rsidRPr="00895819" w:rsidRDefault="00000000">
      <w:pPr>
        <w:pStyle w:val="TOC2"/>
        <w:rPr>
          <w:rFonts w:asciiTheme="minorHAnsi" w:eastAsiaTheme="minorEastAsia" w:hAnsiTheme="minorHAnsi" w:cstheme="minorBidi"/>
          <w:noProof/>
          <w:szCs w:val="22"/>
          <w:lang w:val="sr-Cyrl-CS"/>
        </w:rPr>
      </w:pPr>
      <w:hyperlink w:anchor="_Toc135947189" w:history="1">
        <w:r w:rsidR="005844C1" w:rsidRPr="00895819">
          <w:rPr>
            <w:rStyle w:val="Hyperlink"/>
            <w:noProof/>
            <w:lang w:val="sr-Cyrl-CS"/>
          </w:rPr>
          <w:t>11.11</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Законито порекло, уздржавање од Забрањених радњи</w:t>
        </w:r>
        <w:r w:rsidR="005844C1" w:rsidRPr="00895819">
          <w:rPr>
            <w:noProof/>
            <w:webHidden/>
            <w:lang w:val="sr-Cyrl-CS"/>
          </w:rPr>
          <w:tab/>
        </w:r>
      </w:hyperlink>
    </w:p>
    <w:p w14:paraId="662A0253" w14:textId="3FE91453" w:rsidR="005844C1" w:rsidRPr="00895819" w:rsidRDefault="00000000">
      <w:pPr>
        <w:pStyle w:val="TOC2"/>
        <w:rPr>
          <w:rFonts w:asciiTheme="minorHAnsi" w:eastAsiaTheme="minorEastAsia" w:hAnsiTheme="minorHAnsi" w:cstheme="minorBidi"/>
          <w:noProof/>
          <w:szCs w:val="22"/>
          <w:lang w:val="sr-Cyrl-CS"/>
        </w:rPr>
      </w:pPr>
      <w:hyperlink w:anchor="_Toc135947190" w:history="1">
        <w:r w:rsidR="005844C1" w:rsidRPr="00895819">
          <w:rPr>
            <w:rStyle w:val="Hyperlink"/>
            <w:noProof/>
            <w:lang w:val="sr-Cyrl-CS"/>
          </w:rPr>
          <w:t>11.12</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Истрага</w:t>
        </w:r>
        <w:r w:rsidR="005844C1" w:rsidRPr="00895819">
          <w:rPr>
            <w:noProof/>
            <w:webHidden/>
            <w:lang w:val="sr-Cyrl-CS"/>
          </w:rPr>
          <w:tab/>
        </w:r>
      </w:hyperlink>
    </w:p>
    <w:p w14:paraId="74A8112D" w14:textId="6BBD94E2" w:rsidR="005844C1" w:rsidRPr="00895819" w:rsidRDefault="00000000">
      <w:pPr>
        <w:pStyle w:val="TOC2"/>
        <w:rPr>
          <w:rFonts w:asciiTheme="minorHAnsi" w:eastAsiaTheme="minorEastAsia" w:hAnsiTheme="minorHAnsi" w:cstheme="minorBidi"/>
          <w:noProof/>
          <w:szCs w:val="22"/>
          <w:lang w:val="sr-Cyrl-CS"/>
        </w:rPr>
      </w:pPr>
      <w:hyperlink w:anchor="_Toc135947191" w:history="1">
        <w:r w:rsidR="005844C1" w:rsidRPr="00895819">
          <w:rPr>
            <w:rStyle w:val="Hyperlink"/>
            <w:noProof/>
            <w:lang w:val="sr-Cyrl-CS"/>
          </w:rPr>
          <w:t>11.13</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Видљивост и комуникација</w:t>
        </w:r>
        <w:r w:rsidR="005844C1" w:rsidRPr="00895819">
          <w:rPr>
            <w:noProof/>
            <w:webHidden/>
            <w:lang w:val="sr-Cyrl-CS"/>
          </w:rPr>
          <w:tab/>
        </w:r>
      </w:hyperlink>
    </w:p>
    <w:p w14:paraId="6EA7E22E" w14:textId="63058F0C" w:rsidR="005844C1" w:rsidRPr="00895819" w:rsidRDefault="00000000">
      <w:pPr>
        <w:pStyle w:val="TOC2"/>
        <w:rPr>
          <w:rFonts w:asciiTheme="minorHAnsi" w:eastAsiaTheme="minorEastAsia" w:hAnsiTheme="minorHAnsi" w:cstheme="minorBidi"/>
          <w:noProof/>
          <w:szCs w:val="22"/>
          <w:lang w:val="sr-Cyrl-CS"/>
        </w:rPr>
      </w:pPr>
      <w:hyperlink w:anchor="_Toc135947192" w:history="1">
        <w:r w:rsidR="005844C1" w:rsidRPr="00895819">
          <w:rPr>
            <w:rStyle w:val="Hyperlink"/>
            <w:noProof/>
            <w:lang w:val="sr-Cyrl-CS"/>
          </w:rPr>
          <w:t>11.14</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Наменски рачун</w:t>
        </w:r>
        <w:r w:rsidR="005844C1" w:rsidRPr="00895819">
          <w:rPr>
            <w:noProof/>
            <w:webHidden/>
            <w:lang w:val="sr-Cyrl-CS"/>
          </w:rPr>
          <w:tab/>
        </w:r>
      </w:hyperlink>
    </w:p>
    <w:p w14:paraId="399D0236" w14:textId="674D9D64" w:rsidR="005844C1" w:rsidRPr="00895819" w:rsidRDefault="00000000">
      <w:pPr>
        <w:pStyle w:val="TOC2"/>
        <w:rPr>
          <w:rFonts w:asciiTheme="minorHAnsi" w:eastAsiaTheme="minorEastAsia" w:hAnsiTheme="minorHAnsi" w:cstheme="minorBidi"/>
          <w:noProof/>
          <w:szCs w:val="22"/>
          <w:lang w:val="sr-Cyrl-CS"/>
        </w:rPr>
      </w:pPr>
      <w:hyperlink w:anchor="_Toc135947193" w:history="1">
        <w:r w:rsidR="005844C1" w:rsidRPr="00895819">
          <w:rPr>
            <w:rStyle w:val="Hyperlink"/>
            <w:noProof/>
            <w:lang w:val="sr-Cyrl-CS"/>
          </w:rPr>
          <w:t>11.15</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Набавке</w:t>
        </w:r>
        <w:r w:rsidR="005844C1" w:rsidRPr="00895819">
          <w:rPr>
            <w:noProof/>
            <w:webHidden/>
            <w:lang w:val="sr-Cyrl-CS"/>
          </w:rPr>
          <w:tab/>
        </w:r>
      </w:hyperlink>
    </w:p>
    <w:p w14:paraId="576AA310" w14:textId="279C03F5" w:rsidR="005844C1" w:rsidRPr="00895819" w:rsidRDefault="00000000">
      <w:pPr>
        <w:pStyle w:val="TOC2"/>
        <w:rPr>
          <w:rFonts w:asciiTheme="minorHAnsi" w:eastAsiaTheme="minorEastAsia" w:hAnsiTheme="minorHAnsi" w:cstheme="minorBidi"/>
          <w:noProof/>
          <w:szCs w:val="22"/>
          <w:lang w:val="sr-Cyrl-CS"/>
        </w:rPr>
      </w:pPr>
      <w:hyperlink w:anchor="_Toc135947194" w:history="1">
        <w:r w:rsidR="005844C1" w:rsidRPr="00895819">
          <w:rPr>
            <w:rStyle w:val="Hyperlink"/>
            <w:noProof/>
            <w:lang w:val="sr-Cyrl-CS"/>
          </w:rPr>
          <w:t>11.16</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Аранжмани везани за имплементацију</w:t>
        </w:r>
        <w:r w:rsidR="005844C1" w:rsidRPr="00895819">
          <w:rPr>
            <w:noProof/>
            <w:webHidden/>
            <w:lang w:val="sr-Cyrl-CS"/>
          </w:rPr>
          <w:tab/>
        </w:r>
      </w:hyperlink>
    </w:p>
    <w:p w14:paraId="30FE87A9" w14:textId="2750A6CC" w:rsidR="005844C1" w:rsidRPr="00895819" w:rsidRDefault="00000000">
      <w:pPr>
        <w:pStyle w:val="TOC1"/>
        <w:rPr>
          <w:rFonts w:asciiTheme="minorHAnsi" w:eastAsiaTheme="minorEastAsia" w:hAnsiTheme="minorHAnsi" w:cstheme="minorBidi"/>
          <w:b w:val="0"/>
          <w:caps w:val="0"/>
          <w:noProof/>
          <w:sz w:val="22"/>
          <w:szCs w:val="22"/>
          <w:lang w:val="sr-Cyrl-CS"/>
        </w:rPr>
      </w:pPr>
      <w:hyperlink w:anchor="_Toc135947195" w:history="1">
        <w:r w:rsidR="005844C1" w:rsidRPr="00895819">
          <w:rPr>
            <w:rStyle w:val="Hyperlink"/>
            <w:noProof/>
            <w:lang w:val="sr-Cyrl-CS"/>
          </w:rPr>
          <w:t>12.</w:t>
        </w:r>
        <w:r w:rsidR="005844C1" w:rsidRPr="00895819">
          <w:rPr>
            <w:rFonts w:asciiTheme="minorHAnsi" w:eastAsiaTheme="minorEastAsia" w:hAnsiTheme="minorHAnsi" w:cstheme="minorBidi"/>
            <w:b w:val="0"/>
            <w:caps w:val="0"/>
            <w:noProof/>
            <w:sz w:val="22"/>
            <w:szCs w:val="22"/>
            <w:lang w:val="sr-Cyrl-CS"/>
          </w:rPr>
          <w:tab/>
        </w:r>
        <w:r w:rsidR="005844C1" w:rsidRPr="00895819">
          <w:rPr>
            <w:rStyle w:val="Hyperlink"/>
            <w:noProof/>
            <w:lang w:val="sr-Cyrl-CS"/>
          </w:rPr>
          <w:t>ОБАВЕЗЕ У ПОГЛЕДУ ИНФОРМИСАЊА</w:t>
        </w:r>
        <w:r w:rsidR="005844C1" w:rsidRPr="00895819">
          <w:rPr>
            <w:noProof/>
            <w:webHidden/>
            <w:lang w:val="sr-Cyrl-CS"/>
          </w:rPr>
          <w:tab/>
        </w:r>
      </w:hyperlink>
    </w:p>
    <w:p w14:paraId="2FA738FC" w14:textId="5C1B9CF3" w:rsidR="005844C1" w:rsidRPr="00895819" w:rsidRDefault="00000000">
      <w:pPr>
        <w:pStyle w:val="TOC2"/>
        <w:rPr>
          <w:rFonts w:asciiTheme="minorHAnsi" w:eastAsiaTheme="minorEastAsia" w:hAnsiTheme="minorHAnsi" w:cstheme="minorBidi"/>
          <w:noProof/>
          <w:szCs w:val="22"/>
          <w:lang w:val="sr-Cyrl-CS"/>
        </w:rPr>
      </w:pPr>
      <w:hyperlink w:anchor="_Toc135947196" w:history="1">
        <w:r w:rsidR="005844C1" w:rsidRPr="00895819">
          <w:rPr>
            <w:rStyle w:val="Hyperlink"/>
            <w:noProof/>
            <w:lang w:val="sr-Cyrl-CS"/>
          </w:rPr>
          <w:t>12.1</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Финансијске информације</w:t>
        </w:r>
        <w:r w:rsidR="005844C1" w:rsidRPr="00895819">
          <w:rPr>
            <w:noProof/>
            <w:webHidden/>
            <w:lang w:val="sr-Cyrl-CS"/>
          </w:rPr>
          <w:tab/>
        </w:r>
      </w:hyperlink>
    </w:p>
    <w:p w14:paraId="3D41E62D" w14:textId="2A610300" w:rsidR="005844C1" w:rsidRPr="00895819" w:rsidRDefault="00000000">
      <w:pPr>
        <w:pStyle w:val="TOC2"/>
        <w:rPr>
          <w:rFonts w:asciiTheme="minorHAnsi" w:eastAsiaTheme="minorEastAsia" w:hAnsiTheme="minorHAnsi" w:cstheme="minorBidi"/>
          <w:noProof/>
          <w:szCs w:val="22"/>
          <w:lang w:val="sr-Cyrl-CS"/>
        </w:rPr>
      </w:pPr>
      <w:hyperlink w:anchor="_Toc135947197" w:history="1">
        <w:r w:rsidR="005844C1" w:rsidRPr="00895819">
          <w:rPr>
            <w:rStyle w:val="Hyperlink"/>
            <w:noProof/>
            <w:lang w:val="sr-Cyrl-CS"/>
          </w:rPr>
          <w:t>12.2</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Имплементација Операције</w:t>
        </w:r>
        <w:r w:rsidR="005844C1" w:rsidRPr="00895819">
          <w:rPr>
            <w:noProof/>
            <w:webHidden/>
            <w:lang w:val="sr-Cyrl-CS"/>
          </w:rPr>
          <w:tab/>
        </w:r>
      </w:hyperlink>
    </w:p>
    <w:p w14:paraId="242822E4" w14:textId="66BCDFFA" w:rsidR="005844C1" w:rsidRPr="00895819" w:rsidRDefault="00000000">
      <w:pPr>
        <w:pStyle w:val="TOC2"/>
        <w:rPr>
          <w:rFonts w:asciiTheme="minorHAnsi" w:eastAsiaTheme="minorEastAsia" w:hAnsiTheme="minorHAnsi" w:cstheme="minorBidi"/>
          <w:noProof/>
          <w:szCs w:val="22"/>
          <w:lang w:val="sr-Cyrl-CS"/>
        </w:rPr>
      </w:pPr>
      <w:hyperlink w:anchor="_Toc135947198" w:history="1">
        <w:r w:rsidR="005844C1" w:rsidRPr="00895819">
          <w:rPr>
            <w:rStyle w:val="Hyperlink"/>
            <w:noProof/>
            <w:lang w:val="sr-Cyrl-CS"/>
          </w:rPr>
          <w:t>12.3</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Извештај о напретку</w:t>
        </w:r>
        <w:r w:rsidR="005844C1" w:rsidRPr="00895819">
          <w:rPr>
            <w:noProof/>
            <w:webHidden/>
            <w:lang w:val="sr-Cyrl-CS"/>
          </w:rPr>
          <w:tab/>
        </w:r>
      </w:hyperlink>
    </w:p>
    <w:p w14:paraId="32CF56CD" w14:textId="76E976DF" w:rsidR="005844C1" w:rsidRPr="00895819" w:rsidRDefault="00000000">
      <w:pPr>
        <w:pStyle w:val="TOC2"/>
        <w:rPr>
          <w:rFonts w:asciiTheme="minorHAnsi" w:eastAsiaTheme="minorEastAsia" w:hAnsiTheme="minorHAnsi" w:cstheme="minorBidi"/>
          <w:noProof/>
          <w:szCs w:val="22"/>
          <w:lang w:val="sr-Cyrl-CS"/>
        </w:rPr>
      </w:pPr>
      <w:hyperlink w:anchor="_Toc135947199" w:history="1">
        <w:r w:rsidR="005844C1" w:rsidRPr="00895819">
          <w:rPr>
            <w:rStyle w:val="Hyperlink"/>
            <w:noProof/>
            <w:lang w:val="sr-Cyrl-CS"/>
          </w:rPr>
          <w:t>12.4</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Суфинансирање</w:t>
        </w:r>
        <w:r w:rsidR="005844C1" w:rsidRPr="00895819">
          <w:rPr>
            <w:noProof/>
            <w:webHidden/>
            <w:lang w:val="sr-Cyrl-CS"/>
          </w:rPr>
          <w:tab/>
        </w:r>
      </w:hyperlink>
    </w:p>
    <w:p w14:paraId="5741C55F" w14:textId="23286A2E" w:rsidR="005844C1" w:rsidRPr="00895819" w:rsidRDefault="00000000">
      <w:pPr>
        <w:pStyle w:val="TOC2"/>
        <w:rPr>
          <w:rFonts w:asciiTheme="minorHAnsi" w:eastAsiaTheme="minorEastAsia" w:hAnsiTheme="minorHAnsi" w:cstheme="minorBidi"/>
          <w:noProof/>
          <w:szCs w:val="22"/>
          <w:lang w:val="sr-Cyrl-CS"/>
        </w:rPr>
      </w:pPr>
      <w:hyperlink w:anchor="_Toc135947200" w:history="1">
        <w:r w:rsidR="005844C1" w:rsidRPr="00895819">
          <w:rPr>
            <w:rStyle w:val="Hyperlink"/>
            <w:noProof/>
            <w:lang w:val="sr-Cyrl-CS"/>
          </w:rPr>
          <w:t>12.5</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Додатне информације</w:t>
        </w:r>
        <w:r w:rsidR="005844C1" w:rsidRPr="00895819">
          <w:rPr>
            <w:noProof/>
            <w:webHidden/>
            <w:lang w:val="sr-Cyrl-CS"/>
          </w:rPr>
          <w:tab/>
        </w:r>
      </w:hyperlink>
    </w:p>
    <w:p w14:paraId="113DB19E" w14:textId="607E2546" w:rsidR="005844C1" w:rsidRPr="00895819" w:rsidRDefault="00000000">
      <w:pPr>
        <w:pStyle w:val="TOC1"/>
        <w:rPr>
          <w:rFonts w:asciiTheme="minorHAnsi" w:eastAsiaTheme="minorEastAsia" w:hAnsiTheme="minorHAnsi" w:cstheme="minorBidi"/>
          <w:b w:val="0"/>
          <w:caps w:val="0"/>
          <w:noProof/>
          <w:sz w:val="22"/>
          <w:szCs w:val="22"/>
          <w:lang w:val="sr-Cyrl-CS"/>
        </w:rPr>
      </w:pPr>
      <w:hyperlink w:anchor="_Toc135947201" w:history="1">
        <w:r w:rsidR="005844C1" w:rsidRPr="00895819">
          <w:rPr>
            <w:rStyle w:val="Hyperlink"/>
            <w:noProof/>
            <w:lang w:val="sr-Cyrl-CS"/>
          </w:rPr>
          <w:t>13.</w:t>
        </w:r>
        <w:r w:rsidR="005844C1" w:rsidRPr="00895819">
          <w:rPr>
            <w:rFonts w:asciiTheme="minorHAnsi" w:eastAsiaTheme="minorEastAsia" w:hAnsiTheme="minorHAnsi" w:cstheme="minorBidi"/>
            <w:b w:val="0"/>
            <w:caps w:val="0"/>
            <w:noProof/>
            <w:sz w:val="22"/>
            <w:szCs w:val="22"/>
            <w:lang w:val="sr-Cyrl-CS"/>
          </w:rPr>
          <w:tab/>
        </w:r>
        <w:r w:rsidR="005844C1" w:rsidRPr="00895819">
          <w:rPr>
            <w:rStyle w:val="Hyperlink"/>
            <w:noProof/>
            <w:lang w:val="sr-Cyrl-CS"/>
          </w:rPr>
          <w:t>СЛУЧАЈ НЕИЗВРШЕЊА ОБАВЕЗА</w:t>
        </w:r>
        <w:r w:rsidR="005844C1" w:rsidRPr="00895819">
          <w:rPr>
            <w:noProof/>
            <w:webHidden/>
            <w:lang w:val="sr-Cyrl-CS"/>
          </w:rPr>
          <w:tab/>
        </w:r>
      </w:hyperlink>
    </w:p>
    <w:p w14:paraId="06D3C7A7" w14:textId="6268E1F8" w:rsidR="005844C1" w:rsidRPr="00895819" w:rsidRDefault="00000000">
      <w:pPr>
        <w:pStyle w:val="TOC2"/>
        <w:rPr>
          <w:rFonts w:asciiTheme="minorHAnsi" w:eastAsiaTheme="minorEastAsia" w:hAnsiTheme="minorHAnsi" w:cstheme="minorBidi"/>
          <w:noProof/>
          <w:szCs w:val="22"/>
          <w:lang w:val="sr-Cyrl-CS"/>
        </w:rPr>
      </w:pPr>
      <w:hyperlink w:anchor="_Toc135947202" w:history="1">
        <w:r w:rsidR="005844C1" w:rsidRPr="00895819">
          <w:rPr>
            <w:rStyle w:val="Hyperlink"/>
            <w:noProof/>
            <w:lang w:val="sr-Cyrl-CS"/>
          </w:rPr>
          <w:t>13.1</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Случај неизвршења обавеза</w:t>
        </w:r>
        <w:r w:rsidR="005844C1" w:rsidRPr="00895819">
          <w:rPr>
            <w:noProof/>
            <w:webHidden/>
            <w:lang w:val="sr-Cyrl-CS"/>
          </w:rPr>
          <w:tab/>
        </w:r>
      </w:hyperlink>
    </w:p>
    <w:p w14:paraId="059F0F90" w14:textId="6CB1C461" w:rsidR="005844C1" w:rsidRPr="00895819" w:rsidRDefault="00000000">
      <w:pPr>
        <w:pStyle w:val="TOC2"/>
        <w:rPr>
          <w:rFonts w:asciiTheme="minorHAnsi" w:eastAsiaTheme="minorEastAsia" w:hAnsiTheme="minorHAnsi" w:cstheme="minorBidi"/>
          <w:noProof/>
          <w:szCs w:val="22"/>
          <w:lang w:val="sr-Cyrl-CS"/>
        </w:rPr>
      </w:pPr>
      <w:hyperlink w:anchor="_Toc135947203" w:history="1">
        <w:r w:rsidR="005844C1" w:rsidRPr="00895819">
          <w:rPr>
            <w:rStyle w:val="Hyperlink"/>
            <w:noProof/>
            <w:lang w:val="sr-Cyrl-CS"/>
          </w:rPr>
          <w:t>13.2</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Превремена доспелост</w:t>
        </w:r>
        <w:r w:rsidR="005844C1" w:rsidRPr="00895819">
          <w:rPr>
            <w:noProof/>
            <w:webHidden/>
            <w:lang w:val="sr-Cyrl-CS"/>
          </w:rPr>
          <w:tab/>
        </w:r>
      </w:hyperlink>
    </w:p>
    <w:p w14:paraId="4224BC23" w14:textId="7AC79C8B" w:rsidR="005844C1" w:rsidRPr="00895819" w:rsidRDefault="00000000">
      <w:pPr>
        <w:pStyle w:val="TOC2"/>
        <w:rPr>
          <w:rFonts w:asciiTheme="minorHAnsi" w:eastAsiaTheme="minorEastAsia" w:hAnsiTheme="minorHAnsi" w:cstheme="minorBidi"/>
          <w:noProof/>
          <w:szCs w:val="22"/>
          <w:lang w:val="sr-Cyrl-CS"/>
        </w:rPr>
      </w:pPr>
      <w:hyperlink w:anchor="_Toc135947204" w:history="1">
        <w:r w:rsidR="005844C1" w:rsidRPr="00895819">
          <w:rPr>
            <w:rStyle w:val="Hyperlink"/>
            <w:noProof/>
            <w:lang w:val="sr-Cyrl-CS"/>
          </w:rPr>
          <w:t>13.3</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Обавештење о Случају неизвршења обавеза</w:t>
        </w:r>
        <w:r w:rsidR="005844C1" w:rsidRPr="00895819">
          <w:rPr>
            <w:noProof/>
            <w:webHidden/>
            <w:lang w:val="sr-Cyrl-CS"/>
          </w:rPr>
          <w:tab/>
        </w:r>
      </w:hyperlink>
    </w:p>
    <w:p w14:paraId="165266BB" w14:textId="56CD827F" w:rsidR="005844C1" w:rsidRPr="00895819" w:rsidRDefault="00000000">
      <w:pPr>
        <w:pStyle w:val="TOC1"/>
        <w:rPr>
          <w:rFonts w:asciiTheme="minorHAnsi" w:eastAsiaTheme="minorEastAsia" w:hAnsiTheme="minorHAnsi" w:cstheme="minorBidi"/>
          <w:b w:val="0"/>
          <w:caps w:val="0"/>
          <w:noProof/>
          <w:sz w:val="22"/>
          <w:szCs w:val="22"/>
          <w:lang w:val="sr-Cyrl-CS"/>
        </w:rPr>
      </w:pPr>
      <w:hyperlink w:anchor="_Toc135947205" w:history="1">
        <w:r w:rsidR="005844C1" w:rsidRPr="00895819">
          <w:rPr>
            <w:rStyle w:val="Hyperlink"/>
            <w:noProof/>
            <w:lang w:val="sr-Cyrl-CS"/>
          </w:rPr>
          <w:t>14.</w:t>
        </w:r>
        <w:r w:rsidR="005844C1" w:rsidRPr="00895819">
          <w:rPr>
            <w:rFonts w:asciiTheme="minorHAnsi" w:eastAsiaTheme="minorEastAsia" w:hAnsiTheme="minorHAnsi" w:cstheme="minorBidi"/>
            <w:b w:val="0"/>
            <w:caps w:val="0"/>
            <w:noProof/>
            <w:sz w:val="22"/>
            <w:szCs w:val="22"/>
            <w:lang w:val="sr-Cyrl-CS"/>
          </w:rPr>
          <w:tab/>
        </w:r>
        <w:r w:rsidR="005844C1" w:rsidRPr="00895819">
          <w:rPr>
            <w:rStyle w:val="Hyperlink"/>
            <w:noProof/>
            <w:lang w:val="sr-Cyrl-CS"/>
          </w:rPr>
          <w:t>УПРАВЉАЊЕ КРЕДИТОМ</w:t>
        </w:r>
        <w:r w:rsidR="005844C1" w:rsidRPr="00895819">
          <w:rPr>
            <w:noProof/>
            <w:webHidden/>
            <w:lang w:val="sr-Cyrl-CS"/>
          </w:rPr>
          <w:tab/>
        </w:r>
      </w:hyperlink>
    </w:p>
    <w:p w14:paraId="723BC981" w14:textId="251421AC" w:rsidR="005844C1" w:rsidRPr="00895819" w:rsidRDefault="00000000">
      <w:pPr>
        <w:pStyle w:val="TOC2"/>
        <w:rPr>
          <w:rFonts w:asciiTheme="minorHAnsi" w:eastAsiaTheme="minorEastAsia" w:hAnsiTheme="minorHAnsi" w:cstheme="minorBidi"/>
          <w:noProof/>
          <w:szCs w:val="22"/>
          <w:lang w:val="sr-Cyrl-CS"/>
        </w:rPr>
      </w:pPr>
      <w:hyperlink w:anchor="_Toc135947206" w:history="1">
        <w:r w:rsidR="005844C1" w:rsidRPr="00895819">
          <w:rPr>
            <w:rStyle w:val="Hyperlink"/>
            <w:noProof/>
            <w:lang w:val="sr-Cyrl-CS"/>
          </w:rPr>
          <w:t>14.1</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Плаћања</w:t>
        </w:r>
        <w:r w:rsidR="005844C1" w:rsidRPr="00895819">
          <w:rPr>
            <w:noProof/>
            <w:webHidden/>
            <w:lang w:val="sr-Cyrl-CS"/>
          </w:rPr>
          <w:tab/>
        </w:r>
      </w:hyperlink>
    </w:p>
    <w:p w14:paraId="7AAE5531" w14:textId="105C8DAB" w:rsidR="005844C1" w:rsidRPr="00895819" w:rsidRDefault="00000000">
      <w:pPr>
        <w:pStyle w:val="TOC2"/>
        <w:rPr>
          <w:rFonts w:asciiTheme="minorHAnsi" w:eastAsiaTheme="minorEastAsia" w:hAnsiTheme="minorHAnsi" w:cstheme="minorBidi"/>
          <w:noProof/>
          <w:szCs w:val="22"/>
          <w:lang w:val="sr-Cyrl-CS"/>
        </w:rPr>
      </w:pPr>
      <w:hyperlink w:anchor="_Toc135947207" w:history="1">
        <w:r w:rsidR="005844C1" w:rsidRPr="00895819">
          <w:rPr>
            <w:rStyle w:val="Hyperlink"/>
            <w:noProof/>
            <w:lang w:val="sr-Cyrl-CS"/>
          </w:rPr>
          <w:t>14.2</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Пребијање</w:t>
        </w:r>
        <w:r w:rsidR="005844C1" w:rsidRPr="00895819">
          <w:rPr>
            <w:noProof/>
            <w:webHidden/>
            <w:lang w:val="sr-Cyrl-CS"/>
          </w:rPr>
          <w:tab/>
        </w:r>
      </w:hyperlink>
    </w:p>
    <w:p w14:paraId="0D073868" w14:textId="49B385DA" w:rsidR="005844C1" w:rsidRPr="00895819" w:rsidRDefault="00000000">
      <w:pPr>
        <w:pStyle w:val="TOC2"/>
        <w:rPr>
          <w:rFonts w:asciiTheme="minorHAnsi" w:eastAsiaTheme="minorEastAsia" w:hAnsiTheme="minorHAnsi" w:cstheme="minorBidi"/>
          <w:noProof/>
          <w:szCs w:val="22"/>
          <w:lang w:val="sr-Cyrl-CS"/>
        </w:rPr>
      </w:pPr>
      <w:hyperlink w:anchor="_Toc135947208" w:history="1">
        <w:r w:rsidR="005844C1" w:rsidRPr="00895819">
          <w:rPr>
            <w:rStyle w:val="Hyperlink"/>
            <w:noProof/>
            <w:lang w:val="sr-Cyrl-CS"/>
          </w:rPr>
          <w:t>14.3</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Радни дани</w:t>
        </w:r>
        <w:r w:rsidR="005844C1" w:rsidRPr="00895819">
          <w:rPr>
            <w:noProof/>
            <w:webHidden/>
            <w:lang w:val="sr-Cyrl-CS"/>
          </w:rPr>
          <w:tab/>
        </w:r>
      </w:hyperlink>
    </w:p>
    <w:p w14:paraId="690BAE24" w14:textId="0722E6E6" w:rsidR="005844C1" w:rsidRPr="00895819" w:rsidRDefault="00000000">
      <w:pPr>
        <w:pStyle w:val="TOC2"/>
        <w:rPr>
          <w:rFonts w:asciiTheme="minorHAnsi" w:eastAsiaTheme="minorEastAsia" w:hAnsiTheme="minorHAnsi" w:cstheme="minorBidi"/>
          <w:noProof/>
          <w:szCs w:val="22"/>
          <w:lang w:val="sr-Cyrl-CS"/>
        </w:rPr>
      </w:pPr>
      <w:hyperlink w:anchor="_Toc135947209" w:history="1">
        <w:r w:rsidR="005844C1" w:rsidRPr="00895819">
          <w:rPr>
            <w:rStyle w:val="Hyperlink"/>
            <w:noProof/>
            <w:lang w:val="sr-Cyrl-CS"/>
          </w:rPr>
          <w:t>14.4</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Валута плаћања</w:t>
        </w:r>
        <w:r w:rsidR="005844C1" w:rsidRPr="00895819">
          <w:rPr>
            <w:noProof/>
            <w:webHidden/>
            <w:lang w:val="sr-Cyrl-CS"/>
          </w:rPr>
          <w:tab/>
        </w:r>
      </w:hyperlink>
    </w:p>
    <w:p w14:paraId="00249C69" w14:textId="6100ABD7" w:rsidR="005844C1" w:rsidRPr="00895819" w:rsidRDefault="00000000">
      <w:pPr>
        <w:pStyle w:val="TOC2"/>
        <w:rPr>
          <w:rFonts w:asciiTheme="minorHAnsi" w:eastAsiaTheme="minorEastAsia" w:hAnsiTheme="minorHAnsi" w:cstheme="minorBidi"/>
          <w:noProof/>
          <w:szCs w:val="22"/>
          <w:lang w:val="sr-Cyrl-CS"/>
        </w:rPr>
      </w:pPr>
      <w:hyperlink w:anchor="_Toc135947210" w:history="1">
        <w:r w:rsidR="005844C1" w:rsidRPr="00895819">
          <w:rPr>
            <w:rStyle w:val="Hyperlink"/>
            <w:noProof/>
            <w:lang w:val="sr-Cyrl-CS"/>
          </w:rPr>
          <w:t>14.5</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Конвенција о обрачуну броја дана</w:t>
        </w:r>
        <w:r w:rsidR="005844C1" w:rsidRPr="00895819">
          <w:rPr>
            <w:noProof/>
            <w:webHidden/>
            <w:lang w:val="sr-Cyrl-CS"/>
          </w:rPr>
          <w:tab/>
        </w:r>
      </w:hyperlink>
    </w:p>
    <w:p w14:paraId="179108E4" w14:textId="71CD5056" w:rsidR="005844C1" w:rsidRPr="00895819" w:rsidRDefault="00000000">
      <w:pPr>
        <w:pStyle w:val="TOC2"/>
        <w:rPr>
          <w:rFonts w:asciiTheme="minorHAnsi" w:eastAsiaTheme="minorEastAsia" w:hAnsiTheme="minorHAnsi" w:cstheme="minorBidi"/>
          <w:noProof/>
          <w:szCs w:val="22"/>
          <w:lang w:val="sr-Cyrl-CS"/>
        </w:rPr>
      </w:pPr>
      <w:hyperlink w:anchor="_Toc135947211" w:history="1">
        <w:r w:rsidR="005844C1" w:rsidRPr="00895819">
          <w:rPr>
            <w:rStyle w:val="Hyperlink"/>
            <w:noProof/>
            <w:lang w:val="sr-Cyrl-CS"/>
          </w:rPr>
          <w:t>14.6</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Место плаћања</w:t>
        </w:r>
        <w:r w:rsidR="005844C1" w:rsidRPr="00895819">
          <w:rPr>
            <w:noProof/>
            <w:webHidden/>
            <w:lang w:val="sr-Cyrl-CS"/>
          </w:rPr>
          <w:tab/>
        </w:r>
      </w:hyperlink>
    </w:p>
    <w:p w14:paraId="320ED4C5" w14:textId="6C8FEF65" w:rsidR="005844C1" w:rsidRPr="00895819" w:rsidRDefault="00000000">
      <w:pPr>
        <w:pStyle w:val="TOC2"/>
        <w:rPr>
          <w:rFonts w:asciiTheme="minorHAnsi" w:eastAsiaTheme="minorEastAsia" w:hAnsiTheme="minorHAnsi" w:cstheme="minorBidi"/>
          <w:noProof/>
          <w:szCs w:val="22"/>
          <w:lang w:val="sr-Cyrl-CS"/>
        </w:rPr>
      </w:pPr>
      <w:hyperlink w:anchor="_Toc135947212" w:history="1">
        <w:r w:rsidR="005844C1" w:rsidRPr="00895819">
          <w:rPr>
            <w:rStyle w:val="Hyperlink"/>
            <w:noProof/>
            <w:lang w:val="sr-Cyrl-CS"/>
          </w:rPr>
          <w:t>14.7</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Поремећај платног промета</w:t>
        </w:r>
        <w:r w:rsidR="005844C1" w:rsidRPr="00895819">
          <w:rPr>
            <w:noProof/>
            <w:webHidden/>
            <w:lang w:val="sr-Cyrl-CS"/>
          </w:rPr>
          <w:tab/>
        </w:r>
      </w:hyperlink>
    </w:p>
    <w:p w14:paraId="7E054569" w14:textId="68DFF524" w:rsidR="005844C1" w:rsidRPr="00895819" w:rsidRDefault="00000000">
      <w:pPr>
        <w:pStyle w:val="TOC1"/>
        <w:rPr>
          <w:rFonts w:asciiTheme="minorHAnsi" w:eastAsiaTheme="minorEastAsia" w:hAnsiTheme="minorHAnsi" w:cstheme="minorBidi"/>
          <w:b w:val="0"/>
          <w:caps w:val="0"/>
          <w:noProof/>
          <w:sz w:val="22"/>
          <w:szCs w:val="22"/>
          <w:lang w:val="sr-Cyrl-CS"/>
        </w:rPr>
      </w:pPr>
      <w:hyperlink w:anchor="_Toc135947213" w:history="1">
        <w:r w:rsidR="005844C1" w:rsidRPr="00895819">
          <w:rPr>
            <w:rStyle w:val="Hyperlink"/>
            <w:noProof/>
            <w:lang w:val="sr-Cyrl-CS"/>
          </w:rPr>
          <w:t>15.</w:t>
        </w:r>
        <w:r w:rsidR="005844C1" w:rsidRPr="00895819">
          <w:rPr>
            <w:rFonts w:asciiTheme="minorHAnsi" w:eastAsiaTheme="minorEastAsia" w:hAnsiTheme="minorHAnsi" w:cstheme="minorBidi"/>
            <w:b w:val="0"/>
            <w:caps w:val="0"/>
            <w:noProof/>
            <w:sz w:val="22"/>
            <w:szCs w:val="22"/>
            <w:lang w:val="sr-Cyrl-CS"/>
          </w:rPr>
          <w:tab/>
        </w:r>
        <w:r w:rsidR="005844C1" w:rsidRPr="00895819">
          <w:rPr>
            <w:rStyle w:val="Hyperlink"/>
            <w:noProof/>
            <w:lang w:val="sr-Cyrl-CS"/>
          </w:rPr>
          <w:t>РАЗНО</w:t>
        </w:r>
        <w:r w:rsidR="005844C1" w:rsidRPr="00895819">
          <w:rPr>
            <w:noProof/>
            <w:webHidden/>
            <w:lang w:val="sr-Cyrl-CS"/>
          </w:rPr>
          <w:tab/>
        </w:r>
      </w:hyperlink>
    </w:p>
    <w:p w14:paraId="2B44DA3C" w14:textId="72CC653B" w:rsidR="005844C1" w:rsidRPr="00895819" w:rsidRDefault="00000000">
      <w:pPr>
        <w:pStyle w:val="TOC2"/>
        <w:rPr>
          <w:rFonts w:asciiTheme="minorHAnsi" w:eastAsiaTheme="minorEastAsia" w:hAnsiTheme="minorHAnsi" w:cstheme="minorBidi"/>
          <w:noProof/>
          <w:szCs w:val="22"/>
          <w:lang w:val="sr-Cyrl-CS"/>
        </w:rPr>
      </w:pPr>
      <w:hyperlink w:anchor="_Toc135947214" w:history="1">
        <w:r w:rsidR="005844C1" w:rsidRPr="00895819">
          <w:rPr>
            <w:rStyle w:val="Hyperlink"/>
            <w:noProof/>
            <w:lang w:val="sr-Cyrl-CS"/>
          </w:rPr>
          <w:t>15.1</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Језик</w:t>
        </w:r>
        <w:r w:rsidR="005844C1" w:rsidRPr="00895819">
          <w:rPr>
            <w:noProof/>
            <w:webHidden/>
            <w:lang w:val="sr-Cyrl-CS"/>
          </w:rPr>
          <w:tab/>
        </w:r>
      </w:hyperlink>
    </w:p>
    <w:p w14:paraId="0B750AD7" w14:textId="26546BA4" w:rsidR="005844C1" w:rsidRPr="00895819" w:rsidRDefault="00000000">
      <w:pPr>
        <w:pStyle w:val="TOC2"/>
        <w:rPr>
          <w:rFonts w:asciiTheme="minorHAnsi" w:eastAsiaTheme="minorEastAsia" w:hAnsiTheme="minorHAnsi" w:cstheme="minorBidi"/>
          <w:noProof/>
          <w:szCs w:val="22"/>
          <w:lang w:val="sr-Cyrl-CS"/>
        </w:rPr>
      </w:pPr>
      <w:hyperlink w:anchor="_Toc135947215" w:history="1">
        <w:r w:rsidR="005844C1" w:rsidRPr="00895819">
          <w:rPr>
            <w:rStyle w:val="Hyperlink"/>
            <w:noProof/>
            <w:lang w:val="sr-Cyrl-CS"/>
          </w:rPr>
          <w:t>15.2</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Потврде и одлуке</w:t>
        </w:r>
        <w:r w:rsidR="005844C1" w:rsidRPr="00895819">
          <w:rPr>
            <w:noProof/>
            <w:webHidden/>
            <w:lang w:val="sr-Cyrl-CS"/>
          </w:rPr>
          <w:tab/>
        </w:r>
      </w:hyperlink>
    </w:p>
    <w:p w14:paraId="242D81D2" w14:textId="0FB238F0" w:rsidR="005844C1" w:rsidRPr="00895819" w:rsidRDefault="00000000">
      <w:pPr>
        <w:pStyle w:val="TOC2"/>
        <w:rPr>
          <w:rFonts w:asciiTheme="minorHAnsi" w:eastAsiaTheme="minorEastAsia" w:hAnsiTheme="minorHAnsi" w:cstheme="minorBidi"/>
          <w:noProof/>
          <w:szCs w:val="22"/>
          <w:lang w:val="sr-Cyrl-CS"/>
        </w:rPr>
      </w:pPr>
      <w:hyperlink w:anchor="_Toc135947216" w:history="1">
        <w:r w:rsidR="005844C1" w:rsidRPr="00895819">
          <w:rPr>
            <w:rStyle w:val="Hyperlink"/>
            <w:noProof/>
            <w:lang w:val="sr-Cyrl-CS"/>
          </w:rPr>
          <w:t>15.3</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Делимична ништавост</w:t>
        </w:r>
        <w:r w:rsidR="005844C1" w:rsidRPr="00895819">
          <w:rPr>
            <w:noProof/>
            <w:webHidden/>
            <w:lang w:val="sr-Cyrl-CS"/>
          </w:rPr>
          <w:tab/>
        </w:r>
      </w:hyperlink>
    </w:p>
    <w:p w14:paraId="00DA131C" w14:textId="433F182B" w:rsidR="005844C1" w:rsidRPr="00895819" w:rsidRDefault="00000000">
      <w:pPr>
        <w:pStyle w:val="TOC2"/>
        <w:rPr>
          <w:rFonts w:asciiTheme="minorHAnsi" w:eastAsiaTheme="minorEastAsia" w:hAnsiTheme="minorHAnsi" w:cstheme="minorBidi"/>
          <w:noProof/>
          <w:szCs w:val="22"/>
          <w:lang w:val="sr-Cyrl-CS"/>
        </w:rPr>
      </w:pPr>
      <w:hyperlink w:anchor="_Toc135947217" w:history="1">
        <w:r w:rsidR="005844C1" w:rsidRPr="00895819">
          <w:rPr>
            <w:rStyle w:val="Hyperlink"/>
            <w:noProof/>
            <w:lang w:val="sr-Cyrl-CS"/>
          </w:rPr>
          <w:t>15.4</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Неодрицање од права</w:t>
        </w:r>
        <w:r w:rsidR="005844C1" w:rsidRPr="00895819">
          <w:rPr>
            <w:noProof/>
            <w:webHidden/>
            <w:lang w:val="sr-Cyrl-CS"/>
          </w:rPr>
          <w:tab/>
        </w:r>
      </w:hyperlink>
    </w:p>
    <w:p w14:paraId="491BC707" w14:textId="668F0050" w:rsidR="005844C1" w:rsidRPr="00895819" w:rsidRDefault="00000000">
      <w:pPr>
        <w:pStyle w:val="TOC2"/>
        <w:rPr>
          <w:rFonts w:asciiTheme="minorHAnsi" w:eastAsiaTheme="minorEastAsia" w:hAnsiTheme="minorHAnsi" w:cstheme="minorBidi"/>
          <w:noProof/>
          <w:szCs w:val="22"/>
          <w:lang w:val="sr-Cyrl-CS"/>
        </w:rPr>
      </w:pPr>
      <w:hyperlink w:anchor="_Toc135947218" w:history="1">
        <w:r w:rsidR="005844C1" w:rsidRPr="00895819">
          <w:rPr>
            <w:rStyle w:val="Hyperlink"/>
            <w:noProof/>
            <w:lang w:val="sr-Cyrl-CS"/>
          </w:rPr>
          <w:t>15.5</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Уступање</w:t>
        </w:r>
        <w:r w:rsidR="005844C1" w:rsidRPr="00895819">
          <w:rPr>
            <w:noProof/>
            <w:webHidden/>
            <w:lang w:val="sr-Cyrl-CS"/>
          </w:rPr>
          <w:tab/>
        </w:r>
      </w:hyperlink>
    </w:p>
    <w:p w14:paraId="49AF37AD" w14:textId="170BDCF9" w:rsidR="005844C1" w:rsidRPr="00895819" w:rsidRDefault="00000000">
      <w:pPr>
        <w:pStyle w:val="TOC2"/>
        <w:rPr>
          <w:rFonts w:asciiTheme="minorHAnsi" w:eastAsiaTheme="minorEastAsia" w:hAnsiTheme="minorHAnsi" w:cstheme="minorBidi"/>
          <w:noProof/>
          <w:szCs w:val="22"/>
          <w:lang w:val="sr-Cyrl-CS"/>
        </w:rPr>
      </w:pPr>
      <w:hyperlink w:anchor="_Toc135947219" w:history="1">
        <w:r w:rsidR="005844C1" w:rsidRPr="00895819">
          <w:rPr>
            <w:rStyle w:val="Hyperlink"/>
            <w:noProof/>
            <w:lang w:val="sr-Cyrl-CS"/>
          </w:rPr>
          <w:t>15.6</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Правно дејство</w:t>
        </w:r>
        <w:r w:rsidR="005844C1" w:rsidRPr="00895819">
          <w:rPr>
            <w:noProof/>
            <w:webHidden/>
            <w:lang w:val="sr-Cyrl-CS"/>
          </w:rPr>
          <w:tab/>
        </w:r>
      </w:hyperlink>
    </w:p>
    <w:p w14:paraId="61F7CEDF" w14:textId="3D29031D" w:rsidR="005844C1" w:rsidRPr="00895819" w:rsidRDefault="00000000">
      <w:pPr>
        <w:pStyle w:val="TOC2"/>
        <w:rPr>
          <w:rFonts w:asciiTheme="minorHAnsi" w:eastAsiaTheme="minorEastAsia" w:hAnsiTheme="minorHAnsi" w:cstheme="minorBidi"/>
          <w:noProof/>
          <w:szCs w:val="22"/>
          <w:lang w:val="sr-Cyrl-CS"/>
        </w:rPr>
      </w:pPr>
      <w:hyperlink w:anchor="_Toc135947220" w:history="1">
        <w:r w:rsidR="005844C1" w:rsidRPr="00895819">
          <w:rPr>
            <w:rStyle w:val="Hyperlink"/>
            <w:noProof/>
            <w:lang w:val="sr-Cyrl-CS"/>
          </w:rPr>
          <w:t>15.7</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Целовитост Уговора</w:t>
        </w:r>
        <w:r w:rsidR="005844C1" w:rsidRPr="00895819">
          <w:rPr>
            <w:noProof/>
            <w:webHidden/>
            <w:lang w:val="sr-Cyrl-CS"/>
          </w:rPr>
          <w:tab/>
        </w:r>
      </w:hyperlink>
    </w:p>
    <w:p w14:paraId="7AC837D8" w14:textId="69695463" w:rsidR="005844C1" w:rsidRPr="00895819" w:rsidRDefault="00000000">
      <w:pPr>
        <w:pStyle w:val="TOC2"/>
        <w:rPr>
          <w:rFonts w:asciiTheme="minorHAnsi" w:eastAsiaTheme="minorEastAsia" w:hAnsiTheme="minorHAnsi" w:cstheme="minorBidi"/>
          <w:noProof/>
          <w:szCs w:val="22"/>
          <w:lang w:val="sr-Cyrl-CS"/>
        </w:rPr>
      </w:pPr>
      <w:hyperlink w:anchor="_Toc135947221" w:history="1">
        <w:r w:rsidR="005844C1" w:rsidRPr="00895819">
          <w:rPr>
            <w:rStyle w:val="Hyperlink"/>
            <w:noProof/>
            <w:lang w:val="sr-Cyrl-CS"/>
          </w:rPr>
          <w:t>15.8</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Измене и допуне</w:t>
        </w:r>
        <w:r w:rsidR="005844C1" w:rsidRPr="00895819">
          <w:rPr>
            <w:noProof/>
            <w:webHidden/>
            <w:lang w:val="sr-Cyrl-CS"/>
          </w:rPr>
          <w:tab/>
        </w:r>
      </w:hyperlink>
    </w:p>
    <w:p w14:paraId="6E135CD1" w14:textId="08D7468A" w:rsidR="005844C1" w:rsidRPr="00895819" w:rsidRDefault="00000000">
      <w:pPr>
        <w:pStyle w:val="TOC2"/>
        <w:rPr>
          <w:rFonts w:asciiTheme="minorHAnsi" w:eastAsiaTheme="minorEastAsia" w:hAnsiTheme="minorHAnsi" w:cstheme="minorBidi"/>
          <w:noProof/>
          <w:szCs w:val="22"/>
          <w:lang w:val="sr-Cyrl-CS"/>
        </w:rPr>
      </w:pPr>
      <w:hyperlink w:anchor="_Toc135947222" w:history="1">
        <w:r w:rsidR="005844C1" w:rsidRPr="00895819">
          <w:rPr>
            <w:rStyle w:val="Hyperlink"/>
            <w:noProof/>
            <w:lang w:val="sr-Cyrl-CS"/>
          </w:rPr>
          <w:t>15.9</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Поверљивост – Обелодањивање информација</w:t>
        </w:r>
        <w:r w:rsidR="005844C1" w:rsidRPr="00895819">
          <w:rPr>
            <w:noProof/>
            <w:webHidden/>
            <w:lang w:val="sr-Cyrl-CS"/>
          </w:rPr>
          <w:tab/>
        </w:r>
      </w:hyperlink>
    </w:p>
    <w:p w14:paraId="77DCA7CC" w14:textId="45B9D72D" w:rsidR="005844C1" w:rsidRPr="00895819" w:rsidRDefault="00000000">
      <w:pPr>
        <w:pStyle w:val="TOC2"/>
        <w:rPr>
          <w:rFonts w:asciiTheme="minorHAnsi" w:eastAsiaTheme="minorEastAsia" w:hAnsiTheme="minorHAnsi" w:cstheme="minorBidi"/>
          <w:noProof/>
          <w:szCs w:val="22"/>
          <w:lang w:val="sr-Cyrl-CS"/>
        </w:rPr>
      </w:pPr>
      <w:hyperlink w:anchor="_Toc135947223" w:history="1">
        <w:r w:rsidR="005844C1" w:rsidRPr="00895819">
          <w:rPr>
            <w:rStyle w:val="Hyperlink"/>
            <w:noProof/>
            <w:lang w:val="sr-Cyrl-CS"/>
          </w:rPr>
          <w:t>15.10</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Застарелост</w:t>
        </w:r>
        <w:r w:rsidR="005844C1" w:rsidRPr="00895819">
          <w:rPr>
            <w:noProof/>
            <w:webHidden/>
            <w:lang w:val="sr-Cyrl-CS"/>
          </w:rPr>
          <w:tab/>
        </w:r>
      </w:hyperlink>
    </w:p>
    <w:p w14:paraId="671E3046" w14:textId="0580B849" w:rsidR="005844C1" w:rsidRPr="00895819" w:rsidRDefault="00000000">
      <w:pPr>
        <w:pStyle w:val="TOC2"/>
        <w:rPr>
          <w:rFonts w:asciiTheme="minorHAnsi" w:eastAsiaTheme="minorEastAsia" w:hAnsiTheme="minorHAnsi" w:cstheme="minorBidi"/>
          <w:noProof/>
          <w:szCs w:val="22"/>
          <w:lang w:val="sr-Cyrl-CS"/>
        </w:rPr>
      </w:pPr>
      <w:hyperlink w:anchor="_Toc135947224" w:history="1">
        <w:r w:rsidR="005844C1" w:rsidRPr="00895819">
          <w:rPr>
            <w:rStyle w:val="Hyperlink"/>
            <w:noProof/>
            <w:lang w:val="sr-Cyrl-CS"/>
          </w:rPr>
          <w:t>15.11</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Промењене околности</w:t>
        </w:r>
        <w:r w:rsidR="005844C1" w:rsidRPr="00895819">
          <w:rPr>
            <w:noProof/>
            <w:webHidden/>
            <w:lang w:val="sr-Cyrl-CS"/>
          </w:rPr>
          <w:tab/>
        </w:r>
      </w:hyperlink>
    </w:p>
    <w:p w14:paraId="0C2ECE51" w14:textId="362A8151" w:rsidR="005844C1" w:rsidRPr="00895819" w:rsidRDefault="00000000">
      <w:pPr>
        <w:pStyle w:val="TOC1"/>
        <w:rPr>
          <w:rFonts w:asciiTheme="minorHAnsi" w:eastAsiaTheme="minorEastAsia" w:hAnsiTheme="minorHAnsi" w:cstheme="minorBidi"/>
          <w:b w:val="0"/>
          <w:caps w:val="0"/>
          <w:noProof/>
          <w:sz w:val="22"/>
          <w:szCs w:val="22"/>
          <w:lang w:val="sr-Cyrl-CS"/>
        </w:rPr>
      </w:pPr>
      <w:hyperlink w:anchor="_Toc135947225" w:history="1">
        <w:r w:rsidR="005844C1" w:rsidRPr="00895819">
          <w:rPr>
            <w:rStyle w:val="Hyperlink"/>
            <w:noProof/>
            <w:lang w:val="sr-Cyrl-CS"/>
          </w:rPr>
          <w:t>16.</w:t>
        </w:r>
        <w:r w:rsidR="005844C1" w:rsidRPr="00895819">
          <w:rPr>
            <w:rFonts w:asciiTheme="minorHAnsi" w:eastAsiaTheme="minorEastAsia" w:hAnsiTheme="minorHAnsi" w:cstheme="minorBidi"/>
            <w:b w:val="0"/>
            <w:caps w:val="0"/>
            <w:noProof/>
            <w:sz w:val="22"/>
            <w:szCs w:val="22"/>
            <w:lang w:val="sr-Cyrl-CS"/>
          </w:rPr>
          <w:tab/>
        </w:r>
        <w:r w:rsidR="005844C1" w:rsidRPr="00895819">
          <w:rPr>
            <w:rStyle w:val="Hyperlink"/>
            <w:noProof/>
            <w:lang w:val="sr-Cyrl-CS"/>
          </w:rPr>
          <w:t>ОБАВЕШТЕЊА</w:t>
        </w:r>
        <w:r w:rsidR="005844C1" w:rsidRPr="00895819">
          <w:rPr>
            <w:noProof/>
            <w:webHidden/>
            <w:lang w:val="sr-Cyrl-CS"/>
          </w:rPr>
          <w:tab/>
        </w:r>
      </w:hyperlink>
    </w:p>
    <w:p w14:paraId="7AADA794" w14:textId="17AFCE21" w:rsidR="005844C1" w:rsidRPr="00895819" w:rsidRDefault="00000000">
      <w:pPr>
        <w:pStyle w:val="TOC2"/>
        <w:rPr>
          <w:rFonts w:asciiTheme="minorHAnsi" w:eastAsiaTheme="minorEastAsia" w:hAnsiTheme="minorHAnsi" w:cstheme="minorBidi"/>
          <w:noProof/>
          <w:szCs w:val="22"/>
          <w:lang w:val="sr-Cyrl-CS"/>
        </w:rPr>
      </w:pPr>
      <w:hyperlink w:anchor="_Toc135947226" w:history="1">
        <w:r w:rsidR="005844C1" w:rsidRPr="00895819">
          <w:rPr>
            <w:rStyle w:val="Hyperlink"/>
            <w:noProof/>
            <w:lang w:val="sr-Cyrl-CS"/>
          </w:rPr>
          <w:t>16.1</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Писмена комуникација и адресе</w:t>
        </w:r>
        <w:r w:rsidR="005844C1" w:rsidRPr="00895819">
          <w:rPr>
            <w:noProof/>
            <w:webHidden/>
            <w:lang w:val="sr-Cyrl-CS"/>
          </w:rPr>
          <w:tab/>
        </w:r>
      </w:hyperlink>
    </w:p>
    <w:p w14:paraId="7302D4C5" w14:textId="4E838953" w:rsidR="005844C1" w:rsidRPr="00895819" w:rsidRDefault="00000000">
      <w:pPr>
        <w:pStyle w:val="TOC2"/>
        <w:rPr>
          <w:rFonts w:asciiTheme="minorHAnsi" w:eastAsiaTheme="minorEastAsia" w:hAnsiTheme="minorHAnsi" w:cstheme="minorBidi"/>
          <w:noProof/>
          <w:szCs w:val="22"/>
          <w:lang w:val="sr-Cyrl-CS"/>
        </w:rPr>
      </w:pPr>
      <w:hyperlink w:anchor="_Toc135947227" w:history="1">
        <w:r w:rsidR="005844C1" w:rsidRPr="00895819">
          <w:rPr>
            <w:rStyle w:val="Hyperlink"/>
            <w:noProof/>
            <w:lang w:val="sr-Cyrl-CS"/>
          </w:rPr>
          <w:t>16.2</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Достава</w:t>
        </w:r>
        <w:r w:rsidR="005844C1" w:rsidRPr="00895819">
          <w:rPr>
            <w:noProof/>
            <w:webHidden/>
            <w:lang w:val="sr-Cyrl-CS"/>
          </w:rPr>
          <w:tab/>
        </w:r>
      </w:hyperlink>
    </w:p>
    <w:p w14:paraId="4EA97B15" w14:textId="27381DFB" w:rsidR="005844C1" w:rsidRPr="00895819" w:rsidRDefault="00000000">
      <w:pPr>
        <w:pStyle w:val="TOC2"/>
        <w:rPr>
          <w:rFonts w:asciiTheme="minorHAnsi" w:eastAsiaTheme="minorEastAsia" w:hAnsiTheme="minorHAnsi" w:cstheme="minorBidi"/>
          <w:noProof/>
          <w:szCs w:val="22"/>
          <w:lang w:val="sr-Cyrl-CS"/>
        </w:rPr>
      </w:pPr>
      <w:hyperlink w:anchor="_Toc135947228" w:history="1">
        <w:r w:rsidR="005844C1" w:rsidRPr="00895819">
          <w:rPr>
            <w:rStyle w:val="Hyperlink"/>
            <w:noProof/>
            <w:lang w:val="sr-Cyrl-CS"/>
          </w:rPr>
          <w:t>16.3</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Електронска комуникација</w:t>
        </w:r>
        <w:r w:rsidR="005844C1" w:rsidRPr="00895819">
          <w:rPr>
            <w:noProof/>
            <w:webHidden/>
            <w:lang w:val="sr-Cyrl-CS"/>
          </w:rPr>
          <w:tab/>
        </w:r>
      </w:hyperlink>
    </w:p>
    <w:p w14:paraId="56E3B5A9" w14:textId="2EE2DE15" w:rsidR="005844C1" w:rsidRPr="00895819" w:rsidRDefault="00000000">
      <w:pPr>
        <w:pStyle w:val="TOC1"/>
        <w:rPr>
          <w:rFonts w:asciiTheme="minorHAnsi" w:eastAsiaTheme="minorEastAsia" w:hAnsiTheme="minorHAnsi" w:cstheme="minorBidi"/>
          <w:b w:val="0"/>
          <w:caps w:val="0"/>
          <w:noProof/>
          <w:sz w:val="22"/>
          <w:szCs w:val="22"/>
          <w:lang w:val="sr-Cyrl-CS"/>
        </w:rPr>
      </w:pPr>
      <w:hyperlink w:anchor="_Toc135947229" w:history="1">
        <w:r w:rsidR="005844C1" w:rsidRPr="00895819">
          <w:rPr>
            <w:rStyle w:val="Hyperlink"/>
            <w:noProof/>
            <w:lang w:val="sr-Cyrl-CS"/>
          </w:rPr>
          <w:t>17.</w:t>
        </w:r>
        <w:r w:rsidR="005844C1" w:rsidRPr="00895819">
          <w:rPr>
            <w:rFonts w:asciiTheme="minorHAnsi" w:eastAsiaTheme="minorEastAsia" w:hAnsiTheme="minorHAnsi" w:cstheme="minorBidi"/>
            <w:b w:val="0"/>
            <w:caps w:val="0"/>
            <w:noProof/>
            <w:sz w:val="22"/>
            <w:szCs w:val="22"/>
            <w:lang w:val="sr-Cyrl-CS"/>
          </w:rPr>
          <w:tab/>
        </w:r>
        <w:r w:rsidR="005844C1" w:rsidRPr="00895819">
          <w:rPr>
            <w:rStyle w:val="Hyperlink"/>
            <w:noProof/>
            <w:lang w:val="sr-Cyrl-CS"/>
          </w:rPr>
          <w:t>МЕРОДАВНО ПРАВО, ИЗВРШЕЊЕ И ИЗБОР СЕДИШТА</w:t>
        </w:r>
        <w:r w:rsidR="005844C1" w:rsidRPr="00895819">
          <w:rPr>
            <w:noProof/>
            <w:webHidden/>
            <w:lang w:val="sr-Cyrl-CS"/>
          </w:rPr>
          <w:tab/>
        </w:r>
      </w:hyperlink>
    </w:p>
    <w:p w14:paraId="78BCF6D9" w14:textId="506E926F" w:rsidR="005844C1" w:rsidRPr="00895819" w:rsidRDefault="00000000">
      <w:pPr>
        <w:pStyle w:val="TOC2"/>
        <w:rPr>
          <w:rFonts w:asciiTheme="minorHAnsi" w:eastAsiaTheme="minorEastAsia" w:hAnsiTheme="minorHAnsi" w:cstheme="minorBidi"/>
          <w:noProof/>
          <w:szCs w:val="22"/>
          <w:lang w:val="sr-Cyrl-CS"/>
        </w:rPr>
      </w:pPr>
      <w:hyperlink w:anchor="_Toc135947230" w:history="1">
        <w:r w:rsidR="005844C1" w:rsidRPr="00895819">
          <w:rPr>
            <w:rStyle w:val="Hyperlink"/>
            <w:noProof/>
            <w:lang w:val="sr-Cyrl-CS"/>
          </w:rPr>
          <w:t>17.1</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Меродавно право</w:t>
        </w:r>
        <w:r w:rsidR="005844C1" w:rsidRPr="00895819">
          <w:rPr>
            <w:noProof/>
            <w:webHidden/>
            <w:lang w:val="sr-Cyrl-CS"/>
          </w:rPr>
          <w:tab/>
        </w:r>
      </w:hyperlink>
    </w:p>
    <w:p w14:paraId="0456D69A" w14:textId="3CF49F1D" w:rsidR="005844C1" w:rsidRPr="00895819" w:rsidRDefault="00000000">
      <w:pPr>
        <w:pStyle w:val="TOC2"/>
        <w:rPr>
          <w:rFonts w:asciiTheme="minorHAnsi" w:eastAsiaTheme="minorEastAsia" w:hAnsiTheme="minorHAnsi" w:cstheme="minorBidi"/>
          <w:noProof/>
          <w:szCs w:val="22"/>
          <w:lang w:val="sr-Cyrl-CS"/>
        </w:rPr>
      </w:pPr>
      <w:hyperlink w:anchor="_Toc135947231" w:history="1">
        <w:r w:rsidR="005844C1" w:rsidRPr="00895819">
          <w:rPr>
            <w:rStyle w:val="Hyperlink"/>
            <w:noProof/>
            <w:lang w:val="sr-Cyrl-CS"/>
          </w:rPr>
          <w:t>17.2</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Арбитража</w:t>
        </w:r>
        <w:r w:rsidR="005844C1" w:rsidRPr="00895819">
          <w:rPr>
            <w:noProof/>
            <w:webHidden/>
            <w:lang w:val="sr-Cyrl-CS"/>
          </w:rPr>
          <w:tab/>
        </w:r>
      </w:hyperlink>
    </w:p>
    <w:p w14:paraId="1273777D" w14:textId="0F88FFDE" w:rsidR="005844C1" w:rsidRPr="00895819" w:rsidRDefault="00000000">
      <w:pPr>
        <w:pStyle w:val="TOC2"/>
        <w:rPr>
          <w:rFonts w:asciiTheme="minorHAnsi" w:eastAsiaTheme="minorEastAsia" w:hAnsiTheme="minorHAnsi" w:cstheme="minorBidi"/>
          <w:noProof/>
          <w:szCs w:val="22"/>
          <w:lang w:val="sr-Cyrl-CS"/>
        </w:rPr>
      </w:pPr>
      <w:hyperlink w:anchor="_Toc135947232" w:history="1">
        <w:r w:rsidR="005844C1" w:rsidRPr="00895819">
          <w:rPr>
            <w:rStyle w:val="Hyperlink"/>
            <w:noProof/>
            <w:lang w:val="sr-Cyrl-CS"/>
          </w:rPr>
          <w:t>17.3</w:t>
        </w:r>
        <w:r w:rsidR="005844C1" w:rsidRPr="00895819">
          <w:rPr>
            <w:rFonts w:asciiTheme="minorHAnsi" w:eastAsiaTheme="minorEastAsia" w:hAnsiTheme="minorHAnsi" w:cstheme="minorBidi"/>
            <w:noProof/>
            <w:szCs w:val="22"/>
            <w:lang w:val="sr-Cyrl-CS"/>
          </w:rPr>
          <w:tab/>
        </w:r>
        <w:r w:rsidR="005844C1" w:rsidRPr="00895819">
          <w:rPr>
            <w:rStyle w:val="Hyperlink"/>
            <w:noProof/>
            <w:lang w:val="sr-Cyrl-CS"/>
          </w:rPr>
          <w:t>Уручење</w:t>
        </w:r>
        <w:r w:rsidR="005844C1" w:rsidRPr="00895819">
          <w:rPr>
            <w:noProof/>
            <w:webHidden/>
            <w:lang w:val="sr-Cyrl-CS"/>
          </w:rPr>
          <w:tab/>
        </w:r>
      </w:hyperlink>
    </w:p>
    <w:p w14:paraId="72BBA9F5" w14:textId="15CCA372" w:rsidR="005844C1" w:rsidRPr="00895819" w:rsidRDefault="00000000">
      <w:pPr>
        <w:pStyle w:val="TOC1"/>
        <w:rPr>
          <w:rFonts w:asciiTheme="minorHAnsi" w:eastAsiaTheme="minorEastAsia" w:hAnsiTheme="minorHAnsi" w:cstheme="minorBidi"/>
          <w:b w:val="0"/>
          <w:caps w:val="0"/>
          <w:noProof/>
          <w:sz w:val="22"/>
          <w:szCs w:val="22"/>
          <w:lang w:val="sr-Cyrl-CS"/>
        </w:rPr>
      </w:pPr>
      <w:hyperlink w:anchor="_Toc135947233" w:history="1">
        <w:r w:rsidR="005844C1" w:rsidRPr="00895819">
          <w:rPr>
            <w:rStyle w:val="Hyperlink"/>
            <w:noProof/>
            <w:lang w:val="sr-Cyrl-CS"/>
          </w:rPr>
          <w:t>18.</w:t>
        </w:r>
        <w:r w:rsidR="005844C1" w:rsidRPr="00895819">
          <w:rPr>
            <w:rFonts w:asciiTheme="minorHAnsi" w:eastAsiaTheme="minorEastAsia" w:hAnsiTheme="minorHAnsi" w:cstheme="minorBidi"/>
            <w:b w:val="0"/>
            <w:caps w:val="0"/>
            <w:noProof/>
            <w:sz w:val="22"/>
            <w:szCs w:val="22"/>
            <w:lang w:val="sr-Cyrl-CS"/>
          </w:rPr>
          <w:tab/>
        </w:r>
        <w:r w:rsidR="005844C1" w:rsidRPr="00895819">
          <w:rPr>
            <w:rStyle w:val="Hyperlink"/>
            <w:noProof/>
            <w:lang w:val="sr-Cyrl-CS"/>
          </w:rPr>
          <w:t>ТРАЈАЊЕ</w:t>
        </w:r>
        <w:r w:rsidR="005844C1" w:rsidRPr="00895819">
          <w:rPr>
            <w:noProof/>
            <w:webHidden/>
            <w:lang w:val="sr-Cyrl-CS"/>
          </w:rPr>
          <w:tab/>
        </w:r>
      </w:hyperlink>
    </w:p>
    <w:p w14:paraId="24741B02" w14:textId="77777777" w:rsidR="00B16F8D" w:rsidRPr="00895819" w:rsidRDefault="00B16F8D" w:rsidP="00B16F8D">
      <w:pPr>
        <w:rPr>
          <w:lang w:val="sr-Cyrl-CS"/>
        </w:rPr>
      </w:pPr>
      <w:r w:rsidRPr="00895819">
        <w:rPr>
          <w:lang w:val="sr-Cyrl-CS"/>
        </w:rPr>
        <w:fldChar w:fldCharType="end"/>
      </w:r>
    </w:p>
    <w:p w14:paraId="153CF113" w14:textId="66A6FDF1" w:rsidR="005148B5" w:rsidRPr="00895819" w:rsidRDefault="00B16F8D">
      <w:pPr>
        <w:pStyle w:val="TOC1"/>
        <w:rPr>
          <w:rFonts w:asciiTheme="minorHAnsi" w:eastAsiaTheme="minorEastAsia" w:hAnsiTheme="minorHAnsi" w:cstheme="minorBidi"/>
          <w:b w:val="0"/>
          <w:caps w:val="0"/>
          <w:sz w:val="22"/>
          <w:szCs w:val="22"/>
          <w:lang w:val="sr-Cyrl-CS"/>
        </w:rPr>
      </w:pPr>
      <w:r w:rsidRPr="00895819">
        <w:rPr>
          <w:lang w:val="sr-Cyrl-CS"/>
        </w:rPr>
        <w:fldChar w:fldCharType="begin"/>
      </w:r>
      <w:r w:rsidRPr="00895819">
        <w:rPr>
          <w:lang w:val="sr-Cyrl-CS"/>
        </w:rPr>
        <w:instrText xml:space="preserve"> TOC \h \z \t "Schhead;1" </w:instrText>
      </w:r>
      <w:r w:rsidRPr="00895819">
        <w:rPr>
          <w:lang w:val="sr-Cyrl-CS"/>
        </w:rPr>
        <w:fldChar w:fldCharType="separate"/>
      </w:r>
      <w:hyperlink w:anchor="_Toc129873699" w:history="1">
        <w:r w:rsidR="00201107" w:rsidRPr="00895819">
          <w:rPr>
            <w:rStyle w:val="Hyperlink"/>
            <w:lang w:val="sr-Cyrl-CS"/>
          </w:rPr>
          <w:t>ПРИЛОГ</w:t>
        </w:r>
        <w:r w:rsidR="005148B5" w:rsidRPr="00895819">
          <w:rPr>
            <w:rStyle w:val="Hyperlink"/>
            <w:lang w:val="sr-Cyrl-CS"/>
          </w:rPr>
          <w:t xml:space="preserve"> 1A – </w:t>
        </w:r>
        <w:r w:rsidR="00201107" w:rsidRPr="00895819">
          <w:rPr>
            <w:rStyle w:val="Hyperlink"/>
            <w:lang w:val="sr-Cyrl-CS"/>
          </w:rPr>
          <w:t>ДЕФИНИЦИЈЕ</w:t>
        </w:r>
        <w:r w:rsidR="005148B5" w:rsidRPr="00895819">
          <w:rPr>
            <w:webHidden/>
            <w:lang w:val="sr-Cyrl-CS"/>
          </w:rPr>
          <w:tab/>
        </w:r>
      </w:hyperlink>
    </w:p>
    <w:p w14:paraId="5DF9151B" w14:textId="421BE6E7" w:rsidR="005148B5" w:rsidRPr="00895819" w:rsidRDefault="00000000">
      <w:pPr>
        <w:pStyle w:val="TOC1"/>
        <w:rPr>
          <w:rFonts w:asciiTheme="minorHAnsi" w:eastAsiaTheme="minorEastAsia" w:hAnsiTheme="minorHAnsi" w:cstheme="minorBidi"/>
          <w:b w:val="0"/>
          <w:caps w:val="0"/>
          <w:sz w:val="22"/>
          <w:szCs w:val="22"/>
          <w:lang w:val="sr-Cyrl-CS"/>
        </w:rPr>
      </w:pPr>
      <w:hyperlink w:anchor="_Toc129873700" w:history="1">
        <w:r w:rsidR="00201107" w:rsidRPr="00895819">
          <w:rPr>
            <w:rStyle w:val="Hyperlink"/>
            <w:lang w:val="sr-Cyrl-CS"/>
          </w:rPr>
          <w:t>прилог</w:t>
        </w:r>
        <w:r w:rsidR="007E135D" w:rsidRPr="00895819">
          <w:rPr>
            <w:rStyle w:val="Hyperlink"/>
            <w:lang w:val="sr-Cyrl-CS"/>
          </w:rPr>
          <w:t xml:space="preserve"> 1Б</w:t>
        </w:r>
        <w:r w:rsidR="005148B5" w:rsidRPr="00895819">
          <w:rPr>
            <w:rStyle w:val="Hyperlink"/>
            <w:lang w:val="sr-Cyrl-CS"/>
          </w:rPr>
          <w:t xml:space="preserve"> - </w:t>
        </w:r>
        <w:r w:rsidR="00201107" w:rsidRPr="00895819">
          <w:rPr>
            <w:rStyle w:val="Hyperlink"/>
            <w:lang w:val="sr-Cyrl-CS"/>
          </w:rPr>
          <w:t>ТУМАЧЕЊЕ</w:t>
        </w:r>
        <w:r w:rsidR="005148B5" w:rsidRPr="00895819">
          <w:rPr>
            <w:webHidden/>
            <w:lang w:val="sr-Cyrl-CS"/>
          </w:rPr>
          <w:tab/>
        </w:r>
      </w:hyperlink>
    </w:p>
    <w:p w14:paraId="37AB9748" w14:textId="65D409BB" w:rsidR="005148B5" w:rsidRPr="00895819" w:rsidRDefault="00000000">
      <w:pPr>
        <w:pStyle w:val="TOC1"/>
        <w:rPr>
          <w:rFonts w:asciiTheme="minorHAnsi" w:eastAsiaTheme="minorEastAsia" w:hAnsiTheme="minorHAnsi" w:cstheme="minorBidi"/>
          <w:b w:val="0"/>
          <w:caps w:val="0"/>
          <w:sz w:val="22"/>
          <w:szCs w:val="22"/>
          <w:lang w:val="sr-Cyrl-CS"/>
        </w:rPr>
      </w:pPr>
      <w:hyperlink w:anchor="_Toc129873701" w:history="1">
        <w:r w:rsidR="00201107" w:rsidRPr="00895819">
          <w:rPr>
            <w:rStyle w:val="Hyperlink"/>
            <w:lang w:val="sr-Cyrl-CS"/>
          </w:rPr>
          <w:t>прилог</w:t>
        </w:r>
        <w:r w:rsidR="005148B5" w:rsidRPr="00895819">
          <w:rPr>
            <w:rStyle w:val="Hyperlink"/>
            <w:lang w:val="sr-Cyrl-CS"/>
          </w:rPr>
          <w:t xml:space="preserve"> 2 </w:t>
        </w:r>
        <w:r w:rsidR="00201107" w:rsidRPr="00895819">
          <w:rPr>
            <w:rStyle w:val="Hyperlink"/>
            <w:lang w:val="sr-Cyrl-CS"/>
          </w:rPr>
          <w:t>–</w:t>
        </w:r>
        <w:r w:rsidR="005148B5" w:rsidRPr="00895819">
          <w:rPr>
            <w:rStyle w:val="Hyperlink"/>
            <w:lang w:val="sr-Cyrl-CS"/>
          </w:rPr>
          <w:t xml:space="preserve"> </w:t>
        </w:r>
        <w:r w:rsidR="00201107" w:rsidRPr="00895819">
          <w:rPr>
            <w:rStyle w:val="Hyperlink"/>
            <w:lang w:val="sr-Cyrl-CS"/>
          </w:rPr>
          <w:t>ОПИС ОПЕРАЦИЈЕ</w:t>
        </w:r>
        <w:r w:rsidR="005148B5" w:rsidRPr="00895819">
          <w:rPr>
            <w:webHidden/>
            <w:lang w:val="sr-Cyrl-CS"/>
          </w:rPr>
          <w:tab/>
        </w:r>
      </w:hyperlink>
    </w:p>
    <w:p w14:paraId="4CD78344" w14:textId="74284849" w:rsidR="005148B5" w:rsidRPr="00895819" w:rsidRDefault="00000000">
      <w:pPr>
        <w:pStyle w:val="TOC1"/>
        <w:rPr>
          <w:rFonts w:asciiTheme="minorHAnsi" w:eastAsiaTheme="minorEastAsia" w:hAnsiTheme="minorHAnsi" w:cstheme="minorBidi"/>
          <w:b w:val="0"/>
          <w:caps w:val="0"/>
          <w:sz w:val="22"/>
          <w:szCs w:val="22"/>
          <w:lang w:val="sr-Cyrl-CS"/>
        </w:rPr>
      </w:pPr>
      <w:hyperlink w:anchor="_Toc129873702" w:history="1">
        <w:r w:rsidR="00201107" w:rsidRPr="00895819">
          <w:rPr>
            <w:rStyle w:val="Hyperlink"/>
            <w:lang w:val="sr-Cyrl-CS"/>
          </w:rPr>
          <w:t>ПРИЛОГ</w:t>
        </w:r>
        <w:r w:rsidR="007E135D" w:rsidRPr="00895819">
          <w:rPr>
            <w:rStyle w:val="Hyperlink"/>
            <w:lang w:val="sr-Cyrl-CS"/>
          </w:rPr>
          <w:t xml:space="preserve"> 3А</w:t>
        </w:r>
        <w:r w:rsidR="005148B5" w:rsidRPr="00895819">
          <w:rPr>
            <w:rStyle w:val="Hyperlink"/>
            <w:lang w:val="sr-Cyrl-CS"/>
          </w:rPr>
          <w:t xml:space="preserve"> </w:t>
        </w:r>
        <w:r w:rsidR="00201107" w:rsidRPr="00895819">
          <w:rPr>
            <w:rStyle w:val="Hyperlink"/>
            <w:lang w:val="sr-Cyrl-CS"/>
          </w:rPr>
          <w:t>–</w:t>
        </w:r>
        <w:r w:rsidR="005148B5" w:rsidRPr="00895819">
          <w:rPr>
            <w:rStyle w:val="Hyperlink"/>
            <w:lang w:val="sr-Cyrl-CS"/>
          </w:rPr>
          <w:t xml:space="preserve"> </w:t>
        </w:r>
        <w:r w:rsidR="00201107" w:rsidRPr="00895819">
          <w:rPr>
            <w:rStyle w:val="Hyperlink"/>
            <w:lang w:val="sr-Cyrl-CS"/>
          </w:rPr>
          <w:t>ПЛАН ФИНАНСИРАЊА</w:t>
        </w:r>
        <w:r w:rsidR="005148B5" w:rsidRPr="00895819">
          <w:rPr>
            <w:webHidden/>
            <w:lang w:val="sr-Cyrl-CS"/>
          </w:rPr>
          <w:tab/>
        </w:r>
      </w:hyperlink>
    </w:p>
    <w:p w14:paraId="02D3A6F1" w14:textId="78965693" w:rsidR="005148B5" w:rsidRPr="00895819" w:rsidRDefault="00000000">
      <w:pPr>
        <w:pStyle w:val="TOC1"/>
        <w:rPr>
          <w:rFonts w:asciiTheme="minorHAnsi" w:eastAsiaTheme="minorEastAsia" w:hAnsiTheme="minorHAnsi" w:cstheme="minorBidi"/>
          <w:b w:val="0"/>
          <w:caps w:val="0"/>
          <w:sz w:val="22"/>
          <w:szCs w:val="22"/>
          <w:lang w:val="sr-Cyrl-CS"/>
        </w:rPr>
      </w:pPr>
      <w:hyperlink w:anchor="_Toc129873703" w:history="1">
        <w:r w:rsidR="00201107" w:rsidRPr="00895819">
          <w:rPr>
            <w:rStyle w:val="Hyperlink"/>
            <w:lang w:val="sr-Cyrl-CS"/>
          </w:rPr>
          <w:t>ПРИЛОГ</w:t>
        </w:r>
        <w:r w:rsidR="007E135D" w:rsidRPr="00895819">
          <w:rPr>
            <w:rStyle w:val="Hyperlink"/>
            <w:lang w:val="sr-Cyrl-CS"/>
          </w:rPr>
          <w:t xml:space="preserve"> 3Б</w:t>
        </w:r>
        <w:r w:rsidR="005148B5" w:rsidRPr="00895819">
          <w:rPr>
            <w:rStyle w:val="Hyperlink"/>
            <w:lang w:val="sr-Cyrl-CS"/>
          </w:rPr>
          <w:t xml:space="preserve"> – </w:t>
        </w:r>
        <w:r w:rsidR="00201107" w:rsidRPr="00895819">
          <w:rPr>
            <w:rStyle w:val="Hyperlink"/>
            <w:lang w:val="sr-Cyrl-CS"/>
          </w:rPr>
          <w:t>ОКВИР Р</w:t>
        </w:r>
        <w:r w:rsidR="00FD45DD" w:rsidRPr="00895819">
          <w:rPr>
            <w:rStyle w:val="Hyperlink"/>
            <w:lang w:val="sr-Cyrl-CS"/>
          </w:rPr>
          <w:t>АСХОДА</w:t>
        </w:r>
        <w:r w:rsidR="005148B5" w:rsidRPr="00895819">
          <w:rPr>
            <w:webHidden/>
            <w:lang w:val="sr-Cyrl-CS"/>
          </w:rPr>
          <w:tab/>
        </w:r>
      </w:hyperlink>
    </w:p>
    <w:p w14:paraId="0CB819DC" w14:textId="4EA02F98" w:rsidR="005148B5" w:rsidRPr="00895819" w:rsidRDefault="00000000">
      <w:pPr>
        <w:pStyle w:val="TOC1"/>
        <w:rPr>
          <w:rFonts w:asciiTheme="minorHAnsi" w:eastAsiaTheme="minorEastAsia" w:hAnsiTheme="minorHAnsi" w:cstheme="minorBidi"/>
          <w:b w:val="0"/>
          <w:caps w:val="0"/>
          <w:sz w:val="22"/>
          <w:szCs w:val="22"/>
          <w:lang w:val="sr-Cyrl-CS"/>
        </w:rPr>
      </w:pPr>
      <w:hyperlink w:anchor="_Toc129873704" w:history="1">
        <w:r w:rsidR="00201107" w:rsidRPr="00895819">
          <w:rPr>
            <w:rStyle w:val="Hyperlink"/>
            <w:lang w:val="sr-Cyrl-CS"/>
          </w:rPr>
          <w:t>ПРИЛОГ</w:t>
        </w:r>
        <w:r w:rsidR="007E135D" w:rsidRPr="00895819">
          <w:rPr>
            <w:rStyle w:val="Hyperlink"/>
            <w:lang w:val="sr-Cyrl-CS"/>
          </w:rPr>
          <w:t xml:space="preserve"> 3Ц</w:t>
        </w:r>
        <w:r w:rsidR="005148B5" w:rsidRPr="00895819">
          <w:rPr>
            <w:rStyle w:val="Hyperlink"/>
            <w:lang w:val="sr-Cyrl-CS"/>
          </w:rPr>
          <w:t xml:space="preserve"> – </w:t>
        </w:r>
        <w:r w:rsidR="00FD45DD" w:rsidRPr="00895819">
          <w:rPr>
            <w:rStyle w:val="Hyperlink"/>
            <w:lang w:val="sr-Cyrl-CS"/>
          </w:rPr>
          <w:t>ОКВИР РЕЗУЛТАТА</w:t>
        </w:r>
        <w:r w:rsidR="005148B5" w:rsidRPr="00895819">
          <w:rPr>
            <w:webHidden/>
            <w:lang w:val="sr-Cyrl-CS"/>
          </w:rPr>
          <w:tab/>
        </w:r>
      </w:hyperlink>
    </w:p>
    <w:p w14:paraId="0DC4CA25" w14:textId="57C3DC62" w:rsidR="005148B5" w:rsidRPr="00895819" w:rsidRDefault="00000000">
      <w:pPr>
        <w:pStyle w:val="TOC1"/>
        <w:rPr>
          <w:rFonts w:asciiTheme="minorHAnsi" w:eastAsiaTheme="minorEastAsia" w:hAnsiTheme="minorHAnsi" w:cstheme="minorBidi"/>
          <w:b w:val="0"/>
          <w:caps w:val="0"/>
          <w:sz w:val="22"/>
          <w:szCs w:val="22"/>
          <w:lang w:val="sr-Cyrl-CS"/>
        </w:rPr>
      </w:pPr>
      <w:hyperlink w:anchor="_Toc129873705" w:history="1">
        <w:r w:rsidR="00201107" w:rsidRPr="00895819">
          <w:rPr>
            <w:rStyle w:val="Hyperlink"/>
            <w:lang w:val="sr-Cyrl-CS"/>
          </w:rPr>
          <w:t>ПРИЛОГ</w:t>
        </w:r>
        <w:r w:rsidR="007E135D" w:rsidRPr="00895819">
          <w:rPr>
            <w:rStyle w:val="Hyperlink"/>
            <w:lang w:val="sr-Cyrl-CS"/>
          </w:rPr>
          <w:t xml:space="preserve"> 3Д</w:t>
        </w:r>
        <w:r w:rsidR="005148B5" w:rsidRPr="00895819">
          <w:rPr>
            <w:rStyle w:val="Hyperlink"/>
            <w:lang w:val="sr-Cyrl-CS"/>
          </w:rPr>
          <w:t xml:space="preserve"> – </w:t>
        </w:r>
        <w:r w:rsidR="00FD45DD" w:rsidRPr="00895819">
          <w:rPr>
            <w:rStyle w:val="Hyperlink"/>
            <w:lang w:val="sr-Cyrl-CS"/>
          </w:rPr>
          <w:t>ПЛАН АНГАЖОВАЊА У ОБ</w:t>
        </w:r>
        <w:r w:rsidR="008A39C5" w:rsidRPr="00895819">
          <w:rPr>
            <w:rStyle w:val="Hyperlink"/>
            <w:lang w:val="sr-Cyrl-CS"/>
          </w:rPr>
          <w:t>ла</w:t>
        </w:r>
        <w:r w:rsidR="00FD45DD" w:rsidRPr="00895819">
          <w:rPr>
            <w:rStyle w:val="Hyperlink"/>
            <w:lang w:val="sr-Cyrl-CS"/>
          </w:rPr>
          <w:t>СТИ ЖИВОТНЕ СРЕДИНЕ И СОЦИЈАЛНИХ ПИТАЊА</w:t>
        </w:r>
        <w:r w:rsidR="005148B5" w:rsidRPr="00895819">
          <w:rPr>
            <w:webHidden/>
            <w:lang w:val="sr-Cyrl-CS"/>
          </w:rPr>
          <w:tab/>
        </w:r>
      </w:hyperlink>
    </w:p>
    <w:p w14:paraId="518BA0E8" w14:textId="2502F71D" w:rsidR="005148B5" w:rsidRPr="00895819" w:rsidRDefault="00000000">
      <w:pPr>
        <w:pStyle w:val="TOC1"/>
        <w:rPr>
          <w:rFonts w:asciiTheme="minorHAnsi" w:eastAsiaTheme="minorEastAsia" w:hAnsiTheme="minorHAnsi" w:cstheme="minorBidi"/>
          <w:b w:val="0"/>
          <w:caps w:val="0"/>
          <w:sz w:val="22"/>
          <w:szCs w:val="22"/>
          <w:lang w:val="sr-Cyrl-CS"/>
        </w:rPr>
      </w:pPr>
      <w:hyperlink w:anchor="_Toc129873706" w:history="1">
        <w:r w:rsidR="00201107" w:rsidRPr="00895819">
          <w:rPr>
            <w:rStyle w:val="Hyperlink"/>
            <w:lang w:val="sr-Cyrl-CS"/>
          </w:rPr>
          <w:t>ПРИЛОГ</w:t>
        </w:r>
        <w:r w:rsidR="005148B5" w:rsidRPr="00895819">
          <w:rPr>
            <w:rStyle w:val="Hyperlink"/>
            <w:lang w:val="sr-Cyrl-CS"/>
          </w:rPr>
          <w:t xml:space="preserve"> 4 </w:t>
        </w:r>
        <w:r w:rsidR="00FD45DD" w:rsidRPr="00895819">
          <w:rPr>
            <w:rStyle w:val="Hyperlink"/>
            <w:lang w:val="sr-Cyrl-CS"/>
          </w:rPr>
          <w:t>–</w:t>
        </w:r>
        <w:r w:rsidR="005148B5" w:rsidRPr="00895819">
          <w:rPr>
            <w:rStyle w:val="Hyperlink"/>
            <w:lang w:val="sr-Cyrl-CS"/>
          </w:rPr>
          <w:t xml:space="preserve"> </w:t>
        </w:r>
        <w:r w:rsidR="00FD45DD" w:rsidRPr="00895819">
          <w:rPr>
            <w:rStyle w:val="Hyperlink"/>
            <w:lang w:val="sr-Cyrl-CS"/>
          </w:rPr>
          <w:t>ПРЕТХОДНИ УСЛОВИ</w:t>
        </w:r>
        <w:r w:rsidR="005148B5" w:rsidRPr="00895819">
          <w:rPr>
            <w:webHidden/>
            <w:lang w:val="sr-Cyrl-CS"/>
          </w:rPr>
          <w:tab/>
        </w:r>
      </w:hyperlink>
    </w:p>
    <w:p w14:paraId="74A8CD11" w14:textId="2488A9D2" w:rsidR="005148B5" w:rsidRPr="00895819" w:rsidRDefault="00000000">
      <w:pPr>
        <w:pStyle w:val="TOC1"/>
        <w:rPr>
          <w:rFonts w:asciiTheme="minorHAnsi" w:eastAsiaTheme="minorEastAsia" w:hAnsiTheme="minorHAnsi" w:cstheme="minorBidi"/>
          <w:b w:val="0"/>
          <w:caps w:val="0"/>
          <w:sz w:val="22"/>
          <w:szCs w:val="22"/>
          <w:lang w:val="sr-Cyrl-CS"/>
        </w:rPr>
      </w:pPr>
      <w:hyperlink w:anchor="_Toc129873707" w:history="1">
        <w:r w:rsidR="00201107" w:rsidRPr="00895819">
          <w:rPr>
            <w:rStyle w:val="Hyperlink"/>
            <w:lang w:val="sr-Cyrl-CS"/>
          </w:rPr>
          <w:t>ПРИЛОГ</w:t>
        </w:r>
        <w:r w:rsidR="005148B5" w:rsidRPr="00895819">
          <w:rPr>
            <w:rStyle w:val="Hyperlink"/>
            <w:lang w:val="sr-Cyrl-CS"/>
          </w:rPr>
          <w:t xml:space="preserve"> 5A </w:t>
        </w:r>
        <w:r w:rsidR="00FD45DD" w:rsidRPr="00895819">
          <w:rPr>
            <w:rStyle w:val="Hyperlink"/>
            <w:lang w:val="sr-Cyrl-CS"/>
          </w:rPr>
          <w:t>–</w:t>
        </w:r>
        <w:r w:rsidR="005148B5" w:rsidRPr="00895819">
          <w:rPr>
            <w:rStyle w:val="Hyperlink"/>
            <w:lang w:val="sr-Cyrl-CS"/>
          </w:rPr>
          <w:t xml:space="preserve"> </w:t>
        </w:r>
        <w:r w:rsidR="0014395A" w:rsidRPr="00895819">
          <w:rPr>
            <w:rStyle w:val="Hyperlink"/>
            <w:lang w:val="sr-Cyrl-CS"/>
          </w:rPr>
          <w:t xml:space="preserve">ОБРАЗАЦ </w:t>
        </w:r>
        <w:r w:rsidR="00FD45DD" w:rsidRPr="00895819">
          <w:rPr>
            <w:rStyle w:val="Hyperlink"/>
            <w:lang w:val="sr-Cyrl-CS"/>
          </w:rPr>
          <w:t>ЗАХТЕВ</w:t>
        </w:r>
        <w:r w:rsidR="0014395A" w:rsidRPr="00895819">
          <w:rPr>
            <w:rStyle w:val="Hyperlink"/>
            <w:lang w:val="sr-Cyrl-CS"/>
          </w:rPr>
          <w:t>А</w:t>
        </w:r>
        <w:r w:rsidR="00FD45DD" w:rsidRPr="00895819">
          <w:rPr>
            <w:rStyle w:val="Hyperlink"/>
            <w:lang w:val="sr-Cyrl-CS"/>
          </w:rPr>
          <w:t xml:space="preserve"> ЗА ПОВЛАЧЕЊЕ СРЕДСТАВА</w:t>
        </w:r>
        <w:r w:rsidR="005148B5" w:rsidRPr="00895819">
          <w:rPr>
            <w:webHidden/>
            <w:lang w:val="sr-Cyrl-CS"/>
          </w:rPr>
          <w:tab/>
        </w:r>
      </w:hyperlink>
    </w:p>
    <w:p w14:paraId="0ACFF32D" w14:textId="4ACE6634" w:rsidR="005148B5" w:rsidRPr="00895819" w:rsidRDefault="00000000">
      <w:pPr>
        <w:pStyle w:val="TOC1"/>
        <w:rPr>
          <w:rFonts w:asciiTheme="minorHAnsi" w:eastAsiaTheme="minorEastAsia" w:hAnsiTheme="minorHAnsi" w:cstheme="minorBidi"/>
          <w:b w:val="0"/>
          <w:caps w:val="0"/>
          <w:sz w:val="22"/>
          <w:szCs w:val="22"/>
          <w:lang w:val="sr-Cyrl-CS"/>
        </w:rPr>
      </w:pPr>
      <w:hyperlink w:anchor="_Toc129873708" w:history="1">
        <w:r w:rsidR="00201107" w:rsidRPr="00895819">
          <w:rPr>
            <w:rStyle w:val="Hyperlink"/>
            <w:lang w:val="sr-Cyrl-CS"/>
          </w:rPr>
          <w:t>ПРИЛОГ</w:t>
        </w:r>
        <w:r w:rsidR="007E135D" w:rsidRPr="00895819">
          <w:rPr>
            <w:rStyle w:val="Hyperlink"/>
            <w:lang w:val="sr-Cyrl-CS"/>
          </w:rPr>
          <w:t xml:space="preserve"> 5Б</w:t>
        </w:r>
        <w:r w:rsidR="005148B5" w:rsidRPr="00895819">
          <w:rPr>
            <w:rStyle w:val="Hyperlink"/>
            <w:lang w:val="sr-Cyrl-CS"/>
          </w:rPr>
          <w:t xml:space="preserve"> </w:t>
        </w:r>
        <w:r w:rsidR="00FD45DD" w:rsidRPr="00895819">
          <w:rPr>
            <w:rStyle w:val="Hyperlink"/>
            <w:lang w:val="sr-Cyrl-CS"/>
          </w:rPr>
          <w:t>–</w:t>
        </w:r>
        <w:r w:rsidR="005148B5" w:rsidRPr="00895819">
          <w:rPr>
            <w:rStyle w:val="Hyperlink"/>
            <w:lang w:val="sr-Cyrl-CS"/>
          </w:rPr>
          <w:t xml:space="preserve"> </w:t>
        </w:r>
        <w:r w:rsidR="0080710A" w:rsidRPr="00895819">
          <w:rPr>
            <w:lang w:val="sr-Cyrl-CS"/>
          </w:rPr>
          <w:t>ОБРАЗАЦ ПОТВРДЕ</w:t>
        </w:r>
        <w:r w:rsidR="00105171" w:rsidRPr="00895819">
          <w:rPr>
            <w:lang w:val="sr-Cyrl-CS"/>
          </w:rPr>
          <w:t xml:space="preserve"> за ПОВЛАЧЕЊе</w:t>
        </w:r>
        <w:r w:rsidR="0080710A" w:rsidRPr="00895819">
          <w:rPr>
            <w:lang w:val="sr-Cyrl-CS"/>
          </w:rPr>
          <w:t xml:space="preserve"> СРЕДСТАВА И СТОПЕ</w:t>
        </w:r>
        <w:r w:rsidR="005148B5" w:rsidRPr="00895819">
          <w:rPr>
            <w:webHidden/>
            <w:lang w:val="sr-Cyrl-CS"/>
          </w:rPr>
          <w:tab/>
        </w:r>
      </w:hyperlink>
    </w:p>
    <w:p w14:paraId="66B0AB56" w14:textId="3A0E8CC5" w:rsidR="005148B5" w:rsidRPr="00895819" w:rsidRDefault="00000000">
      <w:pPr>
        <w:pStyle w:val="TOC1"/>
        <w:rPr>
          <w:rFonts w:asciiTheme="minorHAnsi" w:eastAsiaTheme="minorEastAsia" w:hAnsiTheme="minorHAnsi" w:cstheme="minorBidi"/>
          <w:b w:val="0"/>
          <w:caps w:val="0"/>
          <w:sz w:val="22"/>
          <w:szCs w:val="22"/>
          <w:lang w:val="sr-Cyrl-CS"/>
        </w:rPr>
      </w:pPr>
      <w:hyperlink w:anchor="_Toc129873709" w:history="1">
        <w:r w:rsidR="00201107" w:rsidRPr="00895819">
          <w:rPr>
            <w:rStyle w:val="Hyperlink"/>
            <w:lang w:val="sr-Cyrl-CS"/>
          </w:rPr>
          <w:t>ПРИЛОГ</w:t>
        </w:r>
        <w:r w:rsidR="007E135D" w:rsidRPr="00895819">
          <w:rPr>
            <w:rStyle w:val="Hyperlink"/>
            <w:lang w:val="sr-Cyrl-CS"/>
          </w:rPr>
          <w:t xml:space="preserve"> 5Ц</w:t>
        </w:r>
        <w:r w:rsidR="005148B5" w:rsidRPr="00895819">
          <w:rPr>
            <w:rStyle w:val="Hyperlink"/>
            <w:lang w:val="sr-Cyrl-CS"/>
          </w:rPr>
          <w:t xml:space="preserve"> </w:t>
        </w:r>
        <w:r w:rsidR="00FD45DD" w:rsidRPr="00895819">
          <w:rPr>
            <w:rStyle w:val="Hyperlink"/>
            <w:lang w:val="sr-Cyrl-CS"/>
          </w:rPr>
          <w:t>–</w:t>
        </w:r>
        <w:r w:rsidR="005148B5" w:rsidRPr="00895819">
          <w:rPr>
            <w:rStyle w:val="Hyperlink"/>
            <w:lang w:val="sr-Cyrl-CS"/>
          </w:rPr>
          <w:t xml:space="preserve"> </w:t>
        </w:r>
        <w:r w:rsidR="0014395A" w:rsidRPr="00895819">
          <w:rPr>
            <w:rStyle w:val="Hyperlink"/>
            <w:lang w:val="sr-Cyrl-CS"/>
          </w:rPr>
          <w:t xml:space="preserve">ОБРАЗАЦ ЗАХТЕВА </w:t>
        </w:r>
        <w:r w:rsidR="00FD45DD" w:rsidRPr="00895819">
          <w:rPr>
            <w:rStyle w:val="Hyperlink"/>
            <w:lang w:val="sr-Cyrl-CS"/>
          </w:rPr>
          <w:t>ЗА КОНВЕРЗИЈУ СТОПЕ</w:t>
        </w:r>
        <w:r w:rsidR="005148B5" w:rsidRPr="00895819">
          <w:rPr>
            <w:webHidden/>
            <w:lang w:val="sr-Cyrl-CS"/>
          </w:rPr>
          <w:tab/>
        </w:r>
      </w:hyperlink>
    </w:p>
    <w:p w14:paraId="22A9DF9B" w14:textId="1021E2E7" w:rsidR="005148B5" w:rsidRPr="00895819" w:rsidRDefault="00000000">
      <w:pPr>
        <w:pStyle w:val="TOC1"/>
        <w:rPr>
          <w:rFonts w:asciiTheme="minorHAnsi" w:eastAsiaTheme="minorEastAsia" w:hAnsiTheme="minorHAnsi" w:cstheme="minorBidi"/>
          <w:b w:val="0"/>
          <w:caps w:val="0"/>
          <w:sz w:val="22"/>
          <w:szCs w:val="22"/>
          <w:lang w:val="sr-Cyrl-CS"/>
        </w:rPr>
      </w:pPr>
      <w:hyperlink w:anchor="_Toc129873710" w:history="1">
        <w:r w:rsidR="00201107" w:rsidRPr="00895819">
          <w:rPr>
            <w:rStyle w:val="Hyperlink"/>
            <w:lang w:val="sr-Cyrl-CS"/>
          </w:rPr>
          <w:t>ПРИЛОГ</w:t>
        </w:r>
        <w:r w:rsidR="007E135D" w:rsidRPr="00895819">
          <w:rPr>
            <w:rStyle w:val="Hyperlink"/>
            <w:lang w:val="sr-Cyrl-CS"/>
          </w:rPr>
          <w:t xml:space="preserve"> 5Д</w:t>
        </w:r>
        <w:r w:rsidR="005148B5" w:rsidRPr="00895819">
          <w:rPr>
            <w:rStyle w:val="Hyperlink"/>
            <w:lang w:val="sr-Cyrl-CS"/>
          </w:rPr>
          <w:t xml:space="preserve"> </w:t>
        </w:r>
        <w:r w:rsidR="00FD45DD" w:rsidRPr="00895819">
          <w:rPr>
            <w:rStyle w:val="Hyperlink"/>
            <w:lang w:val="sr-Cyrl-CS"/>
          </w:rPr>
          <w:t>–</w:t>
        </w:r>
        <w:r w:rsidR="005148B5" w:rsidRPr="00895819">
          <w:rPr>
            <w:rStyle w:val="Hyperlink"/>
            <w:lang w:val="sr-Cyrl-CS"/>
          </w:rPr>
          <w:t xml:space="preserve"> </w:t>
        </w:r>
        <w:r w:rsidR="0014395A" w:rsidRPr="00895819">
          <w:rPr>
            <w:lang w:val="sr-Cyrl-CS"/>
          </w:rPr>
          <w:t xml:space="preserve">ОБРАЗАЦ </w:t>
        </w:r>
        <w:r w:rsidR="008E6C24" w:rsidRPr="00895819">
          <w:rPr>
            <w:lang w:val="sr-Cyrl-CS"/>
          </w:rPr>
          <w:t>ПОТВРДE За КОНВЕРЗИЈУ</w:t>
        </w:r>
        <w:r w:rsidR="0014395A" w:rsidRPr="00895819">
          <w:rPr>
            <w:lang w:val="sr-Cyrl-CS"/>
          </w:rPr>
          <w:t xml:space="preserve"> СТОПЕ</w:t>
        </w:r>
        <w:r w:rsidR="00FD45DD" w:rsidRPr="00895819">
          <w:rPr>
            <w:rStyle w:val="Hyperlink"/>
            <w:lang w:val="sr-Cyrl-CS"/>
          </w:rPr>
          <w:t xml:space="preserve"> </w:t>
        </w:r>
        <w:r w:rsidR="005148B5" w:rsidRPr="00895819">
          <w:rPr>
            <w:webHidden/>
            <w:lang w:val="sr-Cyrl-CS"/>
          </w:rPr>
          <w:tab/>
        </w:r>
      </w:hyperlink>
    </w:p>
    <w:p w14:paraId="69F3FD38" w14:textId="68C4BFA1" w:rsidR="005148B5" w:rsidRPr="00895819" w:rsidRDefault="00000000">
      <w:pPr>
        <w:pStyle w:val="TOC1"/>
        <w:rPr>
          <w:rFonts w:asciiTheme="minorHAnsi" w:eastAsiaTheme="minorEastAsia" w:hAnsiTheme="minorHAnsi" w:cstheme="minorBidi"/>
          <w:b w:val="0"/>
          <w:caps w:val="0"/>
          <w:sz w:val="22"/>
          <w:szCs w:val="22"/>
          <w:lang w:val="sr-Cyrl-CS"/>
        </w:rPr>
      </w:pPr>
      <w:hyperlink w:anchor="_Toc129873711" w:history="1">
        <w:r w:rsidR="00201107" w:rsidRPr="00895819">
          <w:rPr>
            <w:rStyle w:val="Hyperlink"/>
            <w:lang w:val="sr-Cyrl-CS"/>
          </w:rPr>
          <w:t>ПРИЛОГ</w:t>
        </w:r>
        <w:r w:rsidR="005148B5" w:rsidRPr="00895819">
          <w:rPr>
            <w:rStyle w:val="Hyperlink"/>
            <w:lang w:val="sr-Cyrl-CS"/>
          </w:rPr>
          <w:t xml:space="preserve"> 6 - </w:t>
        </w:r>
        <w:r w:rsidR="00FD45DD" w:rsidRPr="00895819">
          <w:rPr>
            <w:rStyle w:val="Hyperlink"/>
            <w:lang w:val="sr-Cyrl-CS"/>
          </w:rPr>
          <w:t>ИНФОРМАЦИЈЕ КОЈЕ СЕ МОГУ ОБЈАВИТИ НА ИНТЕРНЕТ СТРАНИЦИ ВЛАДЕ ФРАНЦУСКЕ И ИНТЕРНЕТ СТРАНИЦИ ЗАЈМО</w:t>
        </w:r>
        <w:r w:rsidR="00B108B7" w:rsidRPr="00895819">
          <w:rPr>
            <w:rStyle w:val="Hyperlink"/>
            <w:lang w:val="sr-Cyrl-CS"/>
          </w:rPr>
          <w:t>ДАВЦА</w:t>
        </w:r>
        <w:r w:rsidR="005148B5" w:rsidRPr="00895819">
          <w:rPr>
            <w:rStyle w:val="Hyperlink"/>
            <w:webHidden/>
            <w:lang w:val="sr-Cyrl-CS"/>
          </w:rPr>
          <w:tab/>
        </w:r>
      </w:hyperlink>
    </w:p>
    <w:p w14:paraId="50464B39" w14:textId="31E8305C" w:rsidR="005148B5" w:rsidRPr="00895819" w:rsidRDefault="00000000">
      <w:pPr>
        <w:pStyle w:val="TOC1"/>
        <w:rPr>
          <w:rFonts w:asciiTheme="minorHAnsi" w:eastAsiaTheme="minorEastAsia" w:hAnsiTheme="minorHAnsi" w:cstheme="minorBidi"/>
          <w:b w:val="0"/>
          <w:caps w:val="0"/>
          <w:sz w:val="22"/>
          <w:szCs w:val="22"/>
          <w:lang w:val="sr-Cyrl-CS"/>
        </w:rPr>
      </w:pPr>
      <w:hyperlink w:anchor="_Toc129873712" w:history="1">
        <w:r w:rsidR="00201107" w:rsidRPr="00895819">
          <w:rPr>
            <w:rStyle w:val="Hyperlink"/>
            <w:lang w:val="sr-Cyrl-CS"/>
          </w:rPr>
          <w:t>ПРИЛОГ</w:t>
        </w:r>
        <w:r w:rsidR="005148B5" w:rsidRPr="00895819">
          <w:rPr>
            <w:rStyle w:val="Hyperlink"/>
            <w:lang w:val="sr-Cyrl-CS"/>
          </w:rPr>
          <w:t xml:space="preserve"> 7 - </w:t>
        </w:r>
        <w:r w:rsidR="00FD45DD" w:rsidRPr="00895819">
          <w:rPr>
            <w:rStyle w:val="Hyperlink"/>
            <w:iCs/>
            <w:lang w:val="sr-Cyrl-CS"/>
          </w:rPr>
          <w:t>Нетаксативни списак документације о животнОЈ срединИ И СОЦИЈАЛНИМ ПИТАЊИМА чије објављивање Зајмопримац допушта у складу са ПРАВИЛНИКОМ о Жалбеном механизму у погледу животне средине и СОЦИЈАЛНИх ПИТАЊА</w:t>
        </w:r>
        <w:r w:rsidR="005148B5" w:rsidRPr="00895819">
          <w:rPr>
            <w:rStyle w:val="Hyperlink"/>
            <w:webHidden/>
            <w:lang w:val="sr-Cyrl-CS"/>
          </w:rPr>
          <w:tab/>
        </w:r>
      </w:hyperlink>
    </w:p>
    <w:p w14:paraId="33C0A98B" w14:textId="3394064D" w:rsidR="005148B5" w:rsidRPr="00895819" w:rsidRDefault="00000000">
      <w:pPr>
        <w:pStyle w:val="TOC1"/>
        <w:rPr>
          <w:rFonts w:asciiTheme="minorHAnsi" w:eastAsiaTheme="minorEastAsia" w:hAnsiTheme="minorHAnsi" w:cstheme="minorBidi"/>
          <w:b w:val="0"/>
          <w:caps w:val="0"/>
          <w:sz w:val="22"/>
          <w:szCs w:val="22"/>
          <w:lang w:val="sr-Cyrl-CS"/>
        </w:rPr>
      </w:pPr>
      <w:hyperlink w:anchor="_Toc129873713" w:history="1">
        <w:r w:rsidR="00201107" w:rsidRPr="00895819">
          <w:rPr>
            <w:rStyle w:val="Hyperlink"/>
            <w:lang w:val="sr-Cyrl-CS"/>
          </w:rPr>
          <w:t>ПРИЛОГ</w:t>
        </w:r>
        <w:r w:rsidR="005148B5" w:rsidRPr="00895819">
          <w:rPr>
            <w:rStyle w:val="Hyperlink"/>
            <w:lang w:val="sr-Cyrl-CS"/>
          </w:rPr>
          <w:t xml:space="preserve"> 8 – </w:t>
        </w:r>
        <w:r w:rsidR="00FD45DD" w:rsidRPr="00895819">
          <w:rPr>
            <w:rStyle w:val="Hyperlink"/>
            <w:lang w:val="sr-Cyrl-CS"/>
          </w:rPr>
          <w:t>ИЗЈАВА О ИНТЕГРИТЕТУ АФД-а</w:t>
        </w:r>
        <w:r w:rsidR="005148B5" w:rsidRPr="00895819">
          <w:rPr>
            <w:rStyle w:val="Hyperlink"/>
            <w:webHidden/>
            <w:lang w:val="sr-Cyrl-CS"/>
          </w:rPr>
          <w:tab/>
        </w:r>
      </w:hyperlink>
    </w:p>
    <w:p w14:paraId="0134F930" w14:textId="50C27962" w:rsidR="005148B5" w:rsidRPr="00895819" w:rsidRDefault="00000000">
      <w:pPr>
        <w:pStyle w:val="TOC1"/>
        <w:rPr>
          <w:rFonts w:asciiTheme="minorHAnsi" w:eastAsiaTheme="minorEastAsia" w:hAnsiTheme="minorHAnsi" w:cstheme="minorBidi"/>
          <w:b w:val="0"/>
          <w:caps w:val="0"/>
          <w:sz w:val="22"/>
          <w:szCs w:val="22"/>
          <w:lang w:val="sr-Cyrl-CS"/>
        </w:rPr>
      </w:pPr>
      <w:hyperlink w:anchor="_Toc129873714" w:history="1">
        <w:r w:rsidR="00201107" w:rsidRPr="00895819">
          <w:rPr>
            <w:rStyle w:val="Hyperlink"/>
            <w:lang w:val="sr-Cyrl-CS"/>
          </w:rPr>
          <w:t>ПРИЛОГ</w:t>
        </w:r>
        <w:r w:rsidR="005148B5" w:rsidRPr="00895819">
          <w:rPr>
            <w:rStyle w:val="Hyperlink"/>
            <w:lang w:val="sr-Cyrl-CS"/>
          </w:rPr>
          <w:t xml:space="preserve"> 9 – </w:t>
        </w:r>
        <w:r w:rsidR="00FD45DD" w:rsidRPr="00895819">
          <w:rPr>
            <w:rStyle w:val="Hyperlink"/>
            <w:lang w:val="sr-Cyrl-CS"/>
          </w:rPr>
          <w:t>СПИСАК ИСКЉУЧЕЊА</w:t>
        </w:r>
        <w:r w:rsidR="005148B5" w:rsidRPr="00895819">
          <w:rPr>
            <w:rStyle w:val="Hyperlink"/>
            <w:webHidden/>
            <w:lang w:val="sr-Cyrl-CS"/>
          </w:rPr>
          <w:tab/>
        </w:r>
      </w:hyperlink>
    </w:p>
    <w:p w14:paraId="6848690C" w14:textId="77777777" w:rsidR="00B16F8D" w:rsidRPr="00895819" w:rsidRDefault="00B16F8D" w:rsidP="00B16F8D">
      <w:pPr>
        <w:rPr>
          <w:lang w:val="sr-Cyrl-CS"/>
        </w:rPr>
      </w:pPr>
      <w:r w:rsidRPr="00895819">
        <w:rPr>
          <w:lang w:val="sr-Cyrl-CS"/>
        </w:rPr>
        <w:fldChar w:fldCharType="end"/>
      </w:r>
    </w:p>
    <w:p w14:paraId="3CF2DD8F" w14:textId="77777777" w:rsidR="00B16F8D" w:rsidRPr="00895819" w:rsidRDefault="001E3BF1" w:rsidP="00B16F8D">
      <w:pPr>
        <w:pStyle w:val="BodyText"/>
        <w:pageBreakBefore/>
        <w:spacing w:before="240"/>
        <w:jc w:val="center"/>
        <w:rPr>
          <w:rFonts w:cs="Times New Roman"/>
          <w:lang w:val="sr-Cyrl-CS"/>
        </w:rPr>
      </w:pPr>
      <w:r w:rsidRPr="00895819">
        <w:rPr>
          <w:rFonts w:cs="Times New Roman"/>
          <w:b/>
          <w:lang w:val="sr-Cyrl-CS"/>
        </w:rPr>
        <w:lastRenderedPageBreak/>
        <w:t>УГОВОР О КРЕДИТУ</w:t>
      </w:r>
    </w:p>
    <w:p w14:paraId="4C2A80FA" w14:textId="77777777" w:rsidR="00B16F8D" w:rsidRPr="00895819" w:rsidRDefault="008067FA" w:rsidP="00B16F8D">
      <w:pPr>
        <w:pStyle w:val="BodyText"/>
        <w:rPr>
          <w:rFonts w:cs="Times New Roman"/>
          <w:lang w:val="sr-Cyrl-CS"/>
        </w:rPr>
      </w:pPr>
      <w:r w:rsidRPr="00895819">
        <w:rPr>
          <w:rFonts w:cs="Times New Roman"/>
          <w:b/>
          <w:lang w:val="sr-Cyrl-CS"/>
        </w:rPr>
        <w:t>ИЗМЕЂУ</w:t>
      </w:r>
      <w:r w:rsidR="00B16F8D" w:rsidRPr="00895819">
        <w:rPr>
          <w:rFonts w:cs="Times New Roman"/>
          <w:b/>
          <w:lang w:val="sr-Cyrl-CS"/>
        </w:rPr>
        <w:t>:</w:t>
      </w:r>
    </w:p>
    <w:p w14:paraId="15A2E258" w14:textId="1C0E7993" w:rsidR="00B16F8D" w:rsidRPr="00895819" w:rsidRDefault="008067FA" w:rsidP="00B16F8D">
      <w:pPr>
        <w:pStyle w:val="Recitals"/>
        <w:rPr>
          <w:lang w:val="sr-Cyrl-CS"/>
        </w:rPr>
      </w:pPr>
      <w:r w:rsidRPr="00895819">
        <w:rPr>
          <w:b/>
          <w:lang w:val="sr-Cyrl-CS"/>
        </w:rPr>
        <w:t>РЕПУБЛИКЕ СРБИЈЕ,</w:t>
      </w:r>
      <w:r w:rsidR="00B16F8D" w:rsidRPr="00895819">
        <w:rPr>
          <w:b/>
          <w:lang w:val="sr-Cyrl-CS"/>
        </w:rPr>
        <w:t xml:space="preserve"> </w:t>
      </w:r>
      <w:r w:rsidRPr="00895819">
        <w:rPr>
          <w:bCs/>
          <w:lang w:val="sr-Cyrl-CS"/>
        </w:rPr>
        <w:t>ко</w:t>
      </w:r>
      <w:r w:rsidRPr="00895819">
        <w:rPr>
          <w:lang w:val="sr-Cyrl-CS"/>
        </w:rPr>
        <w:t>ју заступа Влада Републике Србије пос</w:t>
      </w:r>
      <w:r w:rsidR="002406F5" w:rsidRPr="00895819">
        <w:rPr>
          <w:lang w:val="sr-Cyrl-CS"/>
        </w:rPr>
        <w:t>редством министра финансија, г-дин Синиша Мали</w:t>
      </w:r>
      <w:r w:rsidRPr="00895819">
        <w:rPr>
          <w:lang w:val="sr-Cyrl-CS"/>
        </w:rPr>
        <w:t xml:space="preserve">, који је овлашћен да потпише овај </w:t>
      </w:r>
      <w:r w:rsidR="00155BE5" w:rsidRPr="00895819">
        <w:rPr>
          <w:lang w:val="sr-Cyrl-CS"/>
        </w:rPr>
        <w:t>у</w:t>
      </w:r>
      <w:r w:rsidRPr="00895819">
        <w:rPr>
          <w:lang w:val="sr-Cyrl-CS"/>
        </w:rPr>
        <w:t>говор</w:t>
      </w:r>
      <w:r w:rsidR="00B16F8D" w:rsidRPr="00895819" w:rsidDel="003B1F7C">
        <w:rPr>
          <w:lang w:val="sr-Cyrl-CS"/>
        </w:rPr>
        <w:t xml:space="preserve"> </w:t>
      </w:r>
      <w:r w:rsidR="00B16F8D" w:rsidRPr="00895819">
        <w:rPr>
          <w:lang w:val="sr-Cyrl-CS"/>
        </w:rPr>
        <w:t xml:space="preserve"> </w:t>
      </w:r>
    </w:p>
    <w:p w14:paraId="24D2168C" w14:textId="605C3DDB" w:rsidR="00B16F8D" w:rsidRPr="00895819" w:rsidRDefault="00B16F8D" w:rsidP="00B16F8D">
      <w:pPr>
        <w:pStyle w:val="BodyText1"/>
        <w:rPr>
          <w:lang w:val="sr-Cyrl-CS"/>
        </w:rPr>
      </w:pPr>
      <w:r w:rsidRPr="00895819">
        <w:rPr>
          <w:lang w:val="sr-Cyrl-CS"/>
        </w:rPr>
        <w:t>(</w:t>
      </w:r>
      <w:r w:rsidR="008067FA" w:rsidRPr="00895819">
        <w:rPr>
          <w:lang w:val="sr-Cyrl-CS"/>
        </w:rPr>
        <w:t>у даљем тексту: „</w:t>
      </w:r>
      <w:r w:rsidR="008067FA" w:rsidRPr="00895819">
        <w:rPr>
          <w:b/>
          <w:bCs/>
          <w:lang w:val="sr-Cyrl-CS"/>
        </w:rPr>
        <w:t>Република Србија</w:t>
      </w:r>
      <w:r w:rsidR="003963A8" w:rsidRPr="00895819">
        <w:rPr>
          <w:lang w:val="sr-Cyrl-CS"/>
        </w:rPr>
        <w:t>”</w:t>
      </w:r>
      <w:r w:rsidR="008067FA" w:rsidRPr="00895819">
        <w:rPr>
          <w:lang w:val="sr-Cyrl-CS"/>
        </w:rPr>
        <w:t xml:space="preserve"> или „</w:t>
      </w:r>
      <w:r w:rsidR="008067FA" w:rsidRPr="00895819">
        <w:rPr>
          <w:b/>
          <w:bCs/>
          <w:lang w:val="sr-Cyrl-CS"/>
        </w:rPr>
        <w:t>Зајмопримац</w:t>
      </w:r>
      <w:r w:rsidR="003963A8" w:rsidRPr="00895819">
        <w:rPr>
          <w:lang w:val="sr-Cyrl-CS"/>
        </w:rPr>
        <w:t>”</w:t>
      </w:r>
      <w:r w:rsidRPr="00895819">
        <w:rPr>
          <w:lang w:val="sr-Cyrl-CS"/>
        </w:rPr>
        <w:t>);</w:t>
      </w:r>
    </w:p>
    <w:p w14:paraId="2AB7C4C3" w14:textId="77777777" w:rsidR="00B16F8D" w:rsidRPr="00895819" w:rsidRDefault="006852E2" w:rsidP="00B16F8D">
      <w:pPr>
        <w:pStyle w:val="BodyText"/>
        <w:rPr>
          <w:rFonts w:cs="Times New Roman"/>
          <w:lang w:val="sr-Cyrl-CS"/>
        </w:rPr>
      </w:pPr>
      <w:r w:rsidRPr="00895819">
        <w:rPr>
          <w:rFonts w:cs="Times New Roman"/>
          <w:b/>
          <w:lang w:val="sr-Cyrl-CS"/>
        </w:rPr>
        <w:t>И</w:t>
      </w:r>
    </w:p>
    <w:p w14:paraId="670446C0" w14:textId="2AA6AFD4" w:rsidR="00B16F8D" w:rsidRPr="00895819" w:rsidRDefault="006852E2" w:rsidP="002406F5">
      <w:pPr>
        <w:pStyle w:val="Recitals"/>
        <w:rPr>
          <w:lang w:val="sr-Cyrl-CS"/>
        </w:rPr>
      </w:pPr>
      <w:r w:rsidRPr="00895819">
        <w:rPr>
          <w:b/>
          <w:lang w:val="sr-Cyrl-CS"/>
        </w:rPr>
        <w:t>ФРАНЦУСКЕ АГЕНЦИЈЕ ЗА РАЗВОЈ</w:t>
      </w:r>
      <w:r w:rsidRPr="00895819">
        <w:rPr>
          <w:lang w:val="sr-Cyrl-CS"/>
        </w:rPr>
        <w:t xml:space="preserve">, јавног субјекта Француске чији је рад уређен правом Француске, са седиштем на адреси 5, Rue Roland Barthes, 75598 Paris Cedex 12, Француска, уписаног у </w:t>
      </w:r>
      <w:r w:rsidRPr="00895819">
        <w:rPr>
          <w:rFonts w:eastAsia="Calibri"/>
          <w:szCs w:val="22"/>
          <w:lang w:val="sr-Cyrl-CS" w:eastAsia="en-US"/>
        </w:rPr>
        <w:t>Трговински и регистар привредних друштава у Паризу под број</w:t>
      </w:r>
      <w:r w:rsidR="002406F5" w:rsidRPr="00895819">
        <w:rPr>
          <w:rFonts w:eastAsia="Calibri"/>
          <w:szCs w:val="22"/>
          <w:lang w:val="sr-Cyrl-CS" w:eastAsia="en-US"/>
        </w:rPr>
        <w:t xml:space="preserve">ем 775 665 599, које заступа г-дин </w:t>
      </w:r>
      <w:r w:rsidR="002406F5" w:rsidRPr="00895819">
        <w:rPr>
          <w:lang w:val="sr-Cyrl-CS"/>
        </w:rPr>
        <w:t>Dominique Hautbergue</w:t>
      </w:r>
      <w:r w:rsidRPr="00895819">
        <w:rPr>
          <w:rFonts w:eastAsia="Calibri"/>
          <w:szCs w:val="22"/>
          <w:lang w:val="sr-Cyrl-CS" w:eastAsia="en-US"/>
        </w:rPr>
        <w:t xml:space="preserve"> у својству</w:t>
      </w:r>
      <w:r w:rsidR="002406F5" w:rsidRPr="00895819">
        <w:rPr>
          <w:lang w:val="sr-Cyrl-CS"/>
        </w:rPr>
        <w:t xml:space="preserve"> </w:t>
      </w:r>
      <w:r w:rsidR="002406F5" w:rsidRPr="00895819">
        <w:rPr>
          <w:rFonts w:eastAsia="Calibri"/>
          <w:szCs w:val="22"/>
          <w:lang w:val="sr-Cyrl-CS" w:eastAsia="en-US"/>
        </w:rPr>
        <w:t>директора регионалне канцеларије за Западни Балкан</w:t>
      </w:r>
      <w:r w:rsidRPr="00895819">
        <w:rPr>
          <w:rFonts w:eastAsia="Calibri"/>
          <w:szCs w:val="22"/>
          <w:lang w:val="sr-Cyrl-CS" w:eastAsia="en-US"/>
        </w:rPr>
        <w:t xml:space="preserve">, овлашћен[а] да потпише овај </w:t>
      </w:r>
      <w:r w:rsidR="00155BE5" w:rsidRPr="00895819">
        <w:rPr>
          <w:rFonts w:eastAsia="Calibri"/>
          <w:szCs w:val="22"/>
          <w:lang w:val="sr-Cyrl-CS" w:eastAsia="en-US"/>
        </w:rPr>
        <w:t>у</w:t>
      </w:r>
      <w:r w:rsidRPr="00895819">
        <w:rPr>
          <w:rFonts w:eastAsia="Calibri"/>
          <w:szCs w:val="22"/>
          <w:lang w:val="sr-Cyrl-CS" w:eastAsia="en-US"/>
        </w:rPr>
        <w:t>говор</w:t>
      </w:r>
      <w:r w:rsidR="00B16F8D" w:rsidRPr="00895819">
        <w:rPr>
          <w:lang w:val="sr-Cyrl-CS"/>
        </w:rPr>
        <w:t>,</w:t>
      </w:r>
    </w:p>
    <w:p w14:paraId="2A1B32C1" w14:textId="00443BAD" w:rsidR="00B16F8D" w:rsidRPr="00895819" w:rsidRDefault="006852E2" w:rsidP="00B16F8D">
      <w:pPr>
        <w:pStyle w:val="BodyText1"/>
        <w:rPr>
          <w:lang w:val="sr-Cyrl-CS"/>
        </w:rPr>
      </w:pPr>
      <w:r w:rsidRPr="00895819">
        <w:rPr>
          <w:lang w:val="sr-Cyrl-CS"/>
        </w:rPr>
        <w:t>(у даљем тексту: „</w:t>
      </w:r>
      <w:r w:rsidRPr="00895819">
        <w:rPr>
          <w:b/>
          <w:lang w:val="sr-Cyrl-CS"/>
        </w:rPr>
        <w:t>АФД</w:t>
      </w:r>
      <w:r w:rsidR="003963A8" w:rsidRPr="00895819">
        <w:rPr>
          <w:lang w:val="sr-Cyrl-CS"/>
        </w:rPr>
        <w:t>”</w:t>
      </w:r>
      <w:r w:rsidRPr="00895819">
        <w:rPr>
          <w:lang w:val="sr-Cyrl-CS"/>
        </w:rPr>
        <w:t xml:space="preserve"> или „</w:t>
      </w:r>
      <w:r w:rsidRPr="00895819">
        <w:rPr>
          <w:b/>
          <w:lang w:val="sr-Cyrl-CS"/>
        </w:rPr>
        <w:t>Зајмодавац</w:t>
      </w:r>
      <w:r w:rsidR="003963A8" w:rsidRPr="00895819">
        <w:rPr>
          <w:lang w:val="sr-Cyrl-CS"/>
        </w:rPr>
        <w:t>”</w:t>
      </w:r>
      <w:r w:rsidR="00B16F8D" w:rsidRPr="00895819">
        <w:rPr>
          <w:lang w:val="sr-Cyrl-CS"/>
        </w:rPr>
        <w:t>);</w:t>
      </w:r>
    </w:p>
    <w:p w14:paraId="7076EB61" w14:textId="3360BDAC" w:rsidR="00B16F8D" w:rsidRPr="00895819" w:rsidRDefault="00B16F8D" w:rsidP="00B16F8D">
      <w:pPr>
        <w:pStyle w:val="BodyText1"/>
        <w:rPr>
          <w:lang w:val="sr-Cyrl-CS"/>
        </w:rPr>
      </w:pPr>
      <w:r w:rsidRPr="00895819">
        <w:rPr>
          <w:lang w:val="sr-Cyrl-CS"/>
        </w:rPr>
        <w:t>(</w:t>
      </w:r>
      <w:r w:rsidR="009D4BD0" w:rsidRPr="00895819">
        <w:rPr>
          <w:lang w:val="sr-Cyrl-CS"/>
        </w:rPr>
        <w:t>у даљем тексту збирно: „</w:t>
      </w:r>
      <w:r w:rsidR="009D4BD0" w:rsidRPr="00895819">
        <w:rPr>
          <w:b/>
          <w:lang w:val="sr-Cyrl-CS"/>
        </w:rPr>
        <w:t>Стране</w:t>
      </w:r>
      <w:r w:rsidR="003963A8" w:rsidRPr="00895819">
        <w:rPr>
          <w:lang w:val="sr-Cyrl-CS"/>
        </w:rPr>
        <w:t>”</w:t>
      </w:r>
      <w:r w:rsidR="009D4BD0" w:rsidRPr="00895819">
        <w:rPr>
          <w:lang w:val="sr-Cyrl-CS"/>
        </w:rPr>
        <w:t xml:space="preserve"> односно појединачно: „</w:t>
      </w:r>
      <w:r w:rsidR="009D4BD0" w:rsidRPr="00895819">
        <w:rPr>
          <w:b/>
          <w:lang w:val="sr-Cyrl-CS"/>
        </w:rPr>
        <w:t>Страна</w:t>
      </w:r>
      <w:r w:rsidR="003963A8" w:rsidRPr="00895819">
        <w:rPr>
          <w:lang w:val="sr-Cyrl-CS"/>
        </w:rPr>
        <w:t>”</w:t>
      </w:r>
      <w:r w:rsidRPr="00895819">
        <w:rPr>
          <w:lang w:val="sr-Cyrl-CS"/>
        </w:rPr>
        <w:t>);</w:t>
      </w:r>
    </w:p>
    <w:p w14:paraId="1D30DD34" w14:textId="77777777" w:rsidR="00B16F8D" w:rsidRPr="00895819" w:rsidRDefault="009D4BD0" w:rsidP="00B16F8D">
      <w:pPr>
        <w:pStyle w:val="BodyText"/>
        <w:rPr>
          <w:rFonts w:cs="Times New Roman"/>
          <w:lang w:val="sr-Cyrl-CS"/>
        </w:rPr>
      </w:pPr>
      <w:r w:rsidRPr="00895819">
        <w:rPr>
          <w:rFonts w:cs="Times New Roman"/>
          <w:b/>
          <w:lang w:val="sr-Cyrl-CS"/>
        </w:rPr>
        <w:t>БУДУЋИ ДА</w:t>
      </w:r>
      <w:r w:rsidR="00B16F8D" w:rsidRPr="00895819">
        <w:rPr>
          <w:rFonts w:cs="Times New Roman"/>
          <w:lang w:val="sr-Cyrl-CS"/>
        </w:rPr>
        <w:t>:</w:t>
      </w:r>
    </w:p>
    <w:p w14:paraId="76A2DC32" w14:textId="677F622A" w:rsidR="00B16F8D" w:rsidRPr="00895819" w:rsidRDefault="000F181A" w:rsidP="000F181A">
      <w:pPr>
        <w:pStyle w:val="Parties"/>
        <w:numPr>
          <w:ilvl w:val="0"/>
          <w:numId w:val="0"/>
        </w:numPr>
        <w:ind w:left="720" w:hanging="720"/>
        <w:rPr>
          <w:lang w:val="sr-Cyrl-CS"/>
        </w:rPr>
      </w:pPr>
      <w:r w:rsidRPr="00895819">
        <w:rPr>
          <w:lang w:val="sr-Cyrl-CS"/>
        </w:rPr>
        <w:t>(A)</w:t>
      </w:r>
      <w:r w:rsidRPr="00895819">
        <w:rPr>
          <w:lang w:val="sr-Cyrl-CS"/>
        </w:rPr>
        <w:tab/>
      </w:r>
      <w:r w:rsidR="009D4BD0" w:rsidRPr="00895819">
        <w:rPr>
          <w:lang w:val="sr-Cyrl-CS"/>
        </w:rPr>
        <w:t xml:space="preserve">Зајмопримац намерава да имплементира Операцију под називом </w:t>
      </w:r>
      <w:r w:rsidR="00660490" w:rsidRPr="00895819">
        <w:rPr>
          <w:i/>
          <w:lang w:val="sr-Cyrl-CS"/>
        </w:rPr>
        <w:t xml:space="preserve">Унапређење управљања јавним финансијама за </w:t>
      </w:r>
      <w:r w:rsidR="002406F5" w:rsidRPr="00895819">
        <w:rPr>
          <w:i/>
          <w:lang w:val="sr-Cyrl-CS"/>
        </w:rPr>
        <w:t>зелену транзицију</w:t>
      </w:r>
      <w:r w:rsidR="00660490" w:rsidRPr="00895819">
        <w:rPr>
          <w:i/>
          <w:lang w:val="sr-Cyrl-CS"/>
        </w:rPr>
        <w:t xml:space="preserve">, </w:t>
      </w:r>
      <w:r w:rsidR="00660490" w:rsidRPr="00895819">
        <w:rPr>
          <w:lang w:val="sr-Cyrl-CS"/>
        </w:rPr>
        <w:t>кој</w:t>
      </w:r>
      <w:r w:rsidR="003801ED" w:rsidRPr="00895819">
        <w:rPr>
          <w:lang w:val="sr-Cyrl-CS"/>
        </w:rPr>
        <w:t xml:space="preserve">а се састоји од </w:t>
      </w:r>
      <w:r w:rsidR="00660490" w:rsidRPr="00895819">
        <w:rPr>
          <w:lang w:val="sr-Cyrl-CS"/>
        </w:rPr>
        <w:t xml:space="preserve">зелених улагања, реформи управљања јавним финансијама и техничке помоћи </w:t>
      </w:r>
      <w:r w:rsidR="00B16F8D" w:rsidRPr="00895819">
        <w:rPr>
          <w:lang w:val="sr-Cyrl-CS"/>
        </w:rPr>
        <w:t>(</w:t>
      </w:r>
      <w:r w:rsidR="00660490" w:rsidRPr="00895819">
        <w:rPr>
          <w:lang w:val="sr-Cyrl-CS"/>
        </w:rPr>
        <w:t>у даљем тексту:</w:t>
      </w:r>
      <w:r w:rsidR="00B16F8D" w:rsidRPr="00895819">
        <w:rPr>
          <w:lang w:val="sr-Cyrl-CS"/>
        </w:rPr>
        <w:t xml:space="preserve"> </w:t>
      </w:r>
      <w:r w:rsidR="00660490" w:rsidRPr="00895819">
        <w:rPr>
          <w:lang w:val="sr-Cyrl-CS"/>
        </w:rPr>
        <w:t>„</w:t>
      </w:r>
      <w:r w:rsidR="00660490" w:rsidRPr="00895819">
        <w:rPr>
          <w:b/>
          <w:bCs/>
          <w:lang w:val="sr-Cyrl-CS"/>
        </w:rPr>
        <w:t>Операција</w:t>
      </w:r>
      <w:r w:rsidR="003963A8" w:rsidRPr="00895819">
        <w:rPr>
          <w:lang w:val="sr-Cyrl-CS"/>
        </w:rPr>
        <w:t>”</w:t>
      </w:r>
      <w:r w:rsidR="00B16F8D" w:rsidRPr="00895819">
        <w:rPr>
          <w:lang w:val="sr-Cyrl-CS"/>
        </w:rPr>
        <w:t xml:space="preserve">), </w:t>
      </w:r>
      <w:r w:rsidR="00660490" w:rsidRPr="00895819">
        <w:rPr>
          <w:lang w:val="sr-Cyrl-CS"/>
        </w:rPr>
        <w:t xml:space="preserve">као што је описано у Програму </w:t>
      </w:r>
      <w:r w:rsidR="00073190" w:rsidRPr="00895819">
        <w:rPr>
          <w:lang w:val="sr-Cyrl-CS"/>
        </w:rPr>
        <w:t>2</w:t>
      </w:r>
      <w:r w:rsidR="00B16F8D" w:rsidRPr="00895819">
        <w:rPr>
          <w:lang w:val="sr-Cyrl-CS"/>
        </w:rPr>
        <w:t xml:space="preserve"> (</w:t>
      </w:r>
      <w:r w:rsidR="002406F5" w:rsidRPr="00895819">
        <w:rPr>
          <w:i/>
          <w:lang w:val="sr-Cyrl-CS"/>
        </w:rPr>
        <w:t>Опис О</w:t>
      </w:r>
      <w:r w:rsidR="00660490" w:rsidRPr="00895819">
        <w:rPr>
          <w:i/>
          <w:lang w:val="sr-Cyrl-CS"/>
        </w:rPr>
        <w:t>перације</w:t>
      </w:r>
      <w:r w:rsidR="00B16F8D" w:rsidRPr="00895819">
        <w:rPr>
          <w:lang w:val="sr-Cyrl-CS"/>
        </w:rPr>
        <w:t>).</w:t>
      </w:r>
    </w:p>
    <w:p w14:paraId="60E64EDE" w14:textId="7382CD67" w:rsidR="00B16F8D" w:rsidRPr="00895819" w:rsidRDefault="000F181A" w:rsidP="000F181A">
      <w:pPr>
        <w:pStyle w:val="Parties"/>
        <w:numPr>
          <w:ilvl w:val="0"/>
          <w:numId w:val="0"/>
        </w:numPr>
        <w:ind w:left="720" w:hanging="720"/>
        <w:rPr>
          <w:color w:val="000000"/>
          <w:lang w:val="sr-Cyrl-CS"/>
        </w:rPr>
      </w:pPr>
      <w:r w:rsidRPr="00895819">
        <w:rPr>
          <w:lang w:val="sr-Cyrl-CS"/>
        </w:rPr>
        <w:t>(Б)</w:t>
      </w:r>
      <w:r w:rsidRPr="00895819">
        <w:rPr>
          <w:lang w:val="sr-Cyrl-CS"/>
        </w:rPr>
        <w:tab/>
      </w:r>
      <w:r w:rsidR="00660490" w:rsidRPr="00895819">
        <w:rPr>
          <w:lang w:val="sr-Cyrl-CS"/>
        </w:rPr>
        <w:t xml:space="preserve">Зајмопримац је </w:t>
      </w:r>
      <w:r w:rsidR="00231C7D" w:rsidRPr="00895819">
        <w:rPr>
          <w:lang w:val="sr-Cyrl-CS"/>
        </w:rPr>
        <w:t>за</w:t>
      </w:r>
      <w:r w:rsidR="00660490" w:rsidRPr="00895819">
        <w:rPr>
          <w:lang w:val="sr-Cyrl-CS"/>
        </w:rPr>
        <w:t xml:space="preserve">тражио да Зајмодавац стави на располагање кредит </w:t>
      </w:r>
      <w:r w:rsidR="00DA1008" w:rsidRPr="00895819">
        <w:rPr>
          <w:lang w:val="sr-Cyrl-CS"/>
        </w:rPr>
        <w:t>за потребе</w:t>
      </w:r>
      <w:r w:rsidR="00660490" w:rsidRPr="00895819">
        <w:rPr>
          <w:lang w:val="sr-Cyrl-CS"/>
        </w:rPr>
        <w:t xml:space="preserve"> учествовања у финансирању Операције</w:t>
      </w:r>
      <w:r w:rsidR="00B16F8D" w:rsidRPr="00895819">
        <w:rPr>
          <w:color w:val="000000"/>
          <w:lang w:val="sr-Cyrl-CS"/>
        </w:rPr>
        <w:t>.</w:t>
      </w:r>
    </w:p>
    <w:p w14:paraId="7E6C7948" w14:textId="4BB60C73" w:rsidR="00B16F8D" w:rsidRPr="00895819" w:rsidRDefault="000F181A" w:rsidP="000F181A">
      <w:pPr>
        <w:pStyle w:val="Parties"/>
        <w:numPr>
          <w:ilvl w:val="0"/>
          <w:numId w:val="0"/>
        </w:numPr>
        <w:ind w:left="720" w:hanging="720"/>
        <w:rPr>
          <w:lang w:val="sr-Cyrl-CS"/>
        </w:rPr>
      </w:pPr>
      <w:r w:rsidRPr="00895819">
        <w:rPr>
          <w:lang w:val="sr-Cyrl-CS"/>
        </w:rPr>
        <w:t>(Ц)</w:t>
      </w:r>
      <w:r w:rsidRPr="00895819">
        <w:rPr>
          <w:lang w:val="sr-Cyrl-CS"/>
        </w:rPr>
        <w:tab/>
      </w:r>
      <w:r w:rsidR="00660490" w:rsidRPr="00895819">
        <w:rPr>
          <w:lang w:val="sr-Cyrl-CS"/>
        </w:rPr>
        <w:t xml:space="preserve">ИБРД, као суфинансијер, намерава да обезбеди паралелно финансирање у износу од шездесет девет милиона триста хиљада </w:t>
      </w:r>
      <w:r w:rsidR="00231C7D" w:rsidRPr="00895819">
        <w:rPr>
          <w:lang w:val="sr-Cyrl-CS"/>
        </w:rPr>
        <w:t xml:space="preserve">евра </w:t>
      </w:r>
      <w:r w:rsidR="00040C9D" w:rsidRPr="00895819">
        <w:rPr>
          <w:lang w:val="sr-Cyrl-CS"/>
        </w:rPr>
        <w:t>(69</w:t>
      </w:r>
      <w:r w:rsidR="00231C7D" w:rsidRPr="00895819">
        <w:rPr>
          <w:lang w:val="sr-Cyrl-CS"/>
        </w:rPr>
        <w:t>.</w:t>
      </w:r>
      <w:r w:rsidR="00040C9D" w:rsidRPr="00895819">
        <w:rPr>
          <w:lang w:val="sr-Cyrl-CS"/>
        </w:rPr>
        <w:t>300</w:t>
      </w:r>
      <w:r w:rsidR="00231C7D" w:rsidRPr="00895819">
        <w:rPr>
          <w:lang w:val="sr-Cyrl-CS"/>
        </w:rPr>
        <w:t>.</w:t>
      </w:r>
      <w:r w:rsidR="00040C9D" w:rsidRPr="00895819">
        <w:rPr>
          <w:lang w:val="sr-Cyrl-CS"/>
        </w:rPr>
        <w:t>000</w:t>
      </w:r>
      <w:r w:rsidR="00231C7D" w:rsidRPr="00895819">
        <w:rPr>
          <w:lang w:val="sr-Cyrl-CS"/>
        </w:rPr>
        <w:t xml:space="preserve"> ЕУР</w:t>
      </w:r>
      <w:r w:rsidR="00040C9D" w:rsidRPr="00895819">
        <w:rPr>
          <w:lang w:val="sr-Cyrl-CS"/>
        </w:rPr>
        <w:t>)</w:t>
      </w:r>
      <w:r w:rsidR="00073190" w:rsidRPr="00895819">
        <w:rPr>
          <w:lang w:val="sr-Cyrl-CS"/>
        </w:rPr>
        <w:t>,</w:t>
      </w:r>
      <w:r w:rsidR="00B16F8D" w:rsidRPr="00895819">
        <w:rPr>
          <w:lang w:val="sr-Cyrl-CS"/>
        </w:rPr>
        <w:t xml:space="preserve"> </w:t>
      </w:r>
      <w:r w:rsidR="00231C7D" w:rsidRPr="00895819">
        <w:rPr>
          <w:lang w:val="sr-Cyrl-CS"/>
        </w:rPr>
        <w:t xml:space="preserve">од чега ће износ од три милиона евра </w:t>
      </w:r>
      <w:r w:rsidR="00B16F8D" w:rsidRPr="00895819">
        <w:rPr>
          <w:lang w:val="sr-Cyrl-CS"/>
        </w:rPr>
        <w:t>(</w:t>
      </w:r>
      <w:r w:rsidR="00073190" w:rsidRPr="00895819">
        <w:rPr>
          <w:lang w:val="sr-Cyrl-CS"/>
        </w:rPr>
        <w:t>3</w:t>
      </w:r>
      <w:r w:rsidR="00231C7D" w:rsidRPr="00895819">
        <w:rPr>
          <w:lang w:val="sr-Cyrl-CS"/>
        </w:rPr>
        <w:t>.</w:t>
      </w:r>
      <w:r w:rsidR="00040C9D" w:rsidRPr="00895819">
        <w:rPr>
          <w:lang w:val="sr-Cyrl-CS"/>
        </w:rPr>
        <w:t>000</w:t>
      </w:r>
      <w:r w:rsidR="00231C7D" w:rsidRPr="00895819">
        <w:rPr>
          <w:lang w:val="sr-Cyrl-CS"/>
        </w:rPr>
        <w:t>.</w:t>
      </w:r>
      <w:r w:rsidR="00B16F8D" w:rsidRPr="00895819">
        <w:rPr>
          <w:lang w:val="sr-Cyrl-CS"/>
        </w:rPr>
        <w:t>000</w:t>
      </w:r>
      <w:r w:rsidR="00231C7D" w:rsidRPr="00895819">
        <w:rPr>
          <w:lang w:val="sr-Cyrl-CS"/>
        </w:rPr>
        <w:t xml:space="preserve"> ЕУР</w:t>
      </w:r>
      <w:r w:rsidR="00B16F8D" w:rsidRPr="00895819">
        <w:rPr>
          <w:lang w:val="sr-Cyrl-CS"/>
        </w:rPr>
        <w:t xml:space="preserve">) </w:t>
      </w:r>
      <w:r w:rsidR="00231C7D" w:rsidRPr="00895819">
        <w:rPr>
          <w:lang w:val="sr-Cyrl-CS"/>
        </w:rPr>
        <w:t>бити обезбеђен као заједничко финансирање техничке помоћи</w:t>
      </w:r>
      <w:r w:rsidR="00B16F8D" w:rsidRPr="00895819">
        <w:rPr>
          <w:lang w:val="sr-Cyrl-CS"/>
        </w:rPr>
        <w:t>.</w:t>
      </w:r>
    </w:p>
    <w:p w14:paraId="2275A8CF" w14:textId="63026E5D" w:rsidR="00B16F8D" w:rsidRPr="00895819" w:rsidRDefault="000F181A" w:rsidP="000F181A">
      <w:pPr>
        <w:pStyle w:val="Parties"/>
        <w:numPr>
          <w:ilvl w:val="0"/>
          <w:numId w:val="0"/>
        </w:numPr>
        <w:ind w:left="720" w:hanging="720"/>
        <w:rPr>
          <w:lang w:val="sr-Cyrl-CS"/>
        </w:rPr>
      </w:pPr>
      <w:r w:rsidRPr="00895819">
        <w:rPr>
          <w:lang w:val="sr-Cyrl-CS"/>
        </w:rPr>
        <w:t>(Д)</w:t>
      </w:r>
      <w:r w:rsidRPr="00895819">
        <w:rPr>
          <w:lang w:val="sr-Cyrl-CS"/>
        </w:rPr>
        <w:tab/>
      </w:r>
      <w:r w:rsidR="00231C7D" w:rsidRPr="00895819">
        <w:rPr>
          <w:lang w:val="sr-Cyrl-CS"/>
        </w:rPr>
        <w:t xml:space="preserve">У складу са одлуком бр. </w:t>
      </w:r>
      <w:r w:rsidR="00167633" w:rsidRPr="00895819">
        <w:rPr>
          <w:lang w:val="sr-Cyrl-CS"/>
        </w:rPr>
        <w:t>C20230130</w:t>
      </w:r>
      <w:r w:rsidR="00B16F8D" w:rsidRPr="00895819">
        <w:rPr>
          <w:color w:val="000000"/>
          <w:lang w:val="sr-Cyrl-CS"/>
        </w:rPr>
        <w:t xml:space="preserve"> </w:t>
      </w:r>
      <w:r w:rsidR="00231C7D" w:rsidRPr="00895819">
        <w:rPr>
          <w:rFonts w:cs="Arial"/>
          <w:lang w:val="sr-Cyrl-CS"/>
        </w:rPr>
        <w:t>Комитета за стране државе (</w:t>
      </w:r>
      <w:r w:rsidR="00231C7D" w:rsidRPr="00895819">
        <w:rPr>
          <w:rFonts w:cs="Arial"/>
          <w:i/>
          <w:lang w:val="sr-Cyrl-CS"/>
        </w:rPr>
        <w:t xml:space="preserve">Comité des Etats Etrangers) </w:t>
      </w:r>
      <w:r w:rsidR="00231C7D" w:rsidRPr="00895819">
        <w:rPr>
          <w:rFonts w:cs="Arial"/>
          <w:iCs/>
          <w:lang w:val="sr-Cyrl-CS"/>
        </w:rPr>
        <w:t>АФД-а</w:t>
      </w:r>
      <w:r w:rsidR="00231C7D" w:rsidRPr="00895819">
        <w:rPr>
          <w:rFonts w:cs="Arial"/>
          <w:i/>
          <w:lang w:val="sr-Cyrl-CS"/>
        </w:rPr>
        <w:t xml:space="preserve"> </w:t>
      </w:r>
      <w:r w:rsidR="00231C7D" w:rsidRPr="00895819">
        <w:rPr>
          <w:color w:val="000000"/>
          <w:lang w:val="sr-Cyrl-CS"/>
        </w:rPr>
        <w:t>од 15. марта 2023. године, Зајмодавац се сагласио да ће Зајмопримцу стави на располагање Кредит у склад</w:t>
      </w:r>
      <w:r w:rsidR="009609FE" w:rsidRPr="00895819">
        <w:rPr>
          <w:color w:val="000000"/>
          <w:lang w:val="sr-Cyrl-CS"/>
        </w:rPr>
        <w:t>у са условима и одредбама овог у</w:t>
      </w:r>
      <w:r w:rsidR="00231C7D" w:rsidRPr="00895819">
        <w:rPr>
          <w:color w:val="000000"/>
          <w:lang w:val="sr-Cyrl-CS"/>
        </w:rPr>
        <w:t>говора</w:t>
      </w:r>
      <w:r w:rsidR="00B16F8D" w:rsidRPr="00895819">
        <w:rPr>
          <w:lang w:val="sr-Cyrl-CS"/>
        </w:rPr>
        <w:t>.</w:t>
      </w:r>
    </w:p>
    <w:p w14:paraId="16D9C52C" w14:textId="3941232A" w:rsidR="00B16F8D" w:rsidRPr="00895819" w:rsidRDefault="00B16F8D" w:rsidP="00B16F8D">
      <w:pPr>
        <w:pStyle w:val="BodyText"/>
        <w:rPr>
          <w:rFonts w:cs="Times New Roman"/>
          <w:lang w:val="sr-Cyrl-CS"/>
        </w:rPr>
      </w:pPr>
      <w:r w:rsidRPr="00895819">
        <w:rPr>
          <w:rFonts w:cs="Times New Roman"/>
          <w:b/>
          <w:lang w:val="sr-Cyrl-CS"/>
        </w:rPr>
        <w:br w:type="page"/>
      </w:r>
      <w:r w:rsidR="000F181A" w:rsidRPr="00895819">
        <w:rPr>
          <w:rFonts w:cs="Times New Roman"/>
          <w:b/>
          <w:lang w:val="sr-Cyrl-CS"/>
        </w:rPr>
        <w:lastRenderedPageBreak/>
        <w:t xml:space="preserve">СТОГА, </w:t>
      </w:r>
      <w:r w:rsidR="00554A7D" w:rsidRPr="00895819">
        <w:rPr>
          <w:rFonts w:cs="Times New Roman"/>
          <w:b/>
          <w:lang w:val="sr-Cyrl-CS"/>
        </w:rPr>
        <w:t>СТРАНЕ СУ СЕ ДОГОВОРИЛЕ СЛЕДЕЋЕ</w:t>
      </w:r>
      <w:r w:rsidRPr="00895819">
        <w:rPr>
          <w:rFonts w:cs="Times New Roman"/>
          <w:b/>
          <w:lang w:val="sr-Cyrl-CS"/>
        </w:rPr>
        <w:t>:</w:t>
      </w:r>
    </w:p>
    <w:p w14:paraId="3B6DF6C3" w14:textId="77777777" w:rsidR="00B16F8D" w:rsidRPr="00895819" w:rsidRDefault="00554A7D" w:rsidP="00A32298">
      <w:pPr>
        <w:pStyle w:val="AATitre1"/>
        <w:rPr>
          <w:lang w:val="sr-Cyrl-CS"/>
        </w:rPr>
      </w:pPr>
      <w:bookmarkStart w:id="1" w:name="_Toc135947120"/>
      <w:r w:rsidRPr="00895819">
        <w:rPr>
          <w:lang w:val="sr-Cyrl-CS"/>
        </w:rPr>
        <w:t>ДЕФИНИЦИЈЕ И ТУМАЧЕЊА</w:t>
      </w:r>
      <w:bookmarkEnd w:id="1"/>
    </w:p>
    <w:p w14:paraId="04A05F26" w14:textId="77777777" w:rsidR="00B16F8D" w:rsidRPr="00895819" w:rsidRDefault="00554A7D" w:rsidP="000F181A">
      <w:pPr>
        <w:pStyle w:val="AATitre2"/>
        <w:rPr>
          <w:lang w:val="sr-Cyrl-CS"/>
        </w:rPr>
      </w:pPr>
      <w:bookmarkStart w:id="2" w:name="_Toc135947121"/>
      <w:r w:rsidRPr="00895819">
        <w:rPr>
          <w:lang w:val="sr-Cyrl-CS"/>
        </w:rPr>
        <w:t>Дефиниције</w:t>
      </w:r>
      <w:bookmarkEnd w:id="2"/>
    </w:p>
    <w:p w14:paraId="176EF326" w14:textId="706652D1" w:rsidR="00B16F8D" w:rsidRPr="00895819" w:rsidRDefault="00554A7D" w:rsidP="00B16F8D">
      <w:pPr>
        <w:pStyle w:val="BodyText1"/>
        <w:rPr>
          <w:lang w:val="sr-Cyrl-CS"/>
        </w:rPr>
      </w:pPr>
      <w:r w:rsidRPr="00895819">
        <w:rPr>
          <w:lang w:val="sr-Cyrl-CS"/>
        </w:rPr>
        <w:t>Речи и изрази написани великим</w:t>
      </w:r>
      <w:r w:rsidR="009609FE" w:rsidRPr="00895819">
        <w:rPr>
          <w:lang w:val="sr-Cyrl-CS"/>
        </w:rPr>
        <w:t xml:space="preserve"> словом који се користе у овом у</w:t>
      </w:r>
      <w:r w:rsidRPr="00895819">
        <w:rPr>
          <w:lang w:val="sr-Cyrl-CS"/>
        </w:rPr>
        <w:t xml:space="preserve">говору (укључујући оне који се појављују у претходним уводним напоменама и </w:t>
      </w:r>
      <w:r w:rsidR="001054D5" w:rsidRPr="00895819">
        <w:rPr>
          <w:lang w:val="sr-Cyrl-CS"/>
        </w:rPr>
        <w:t>Прилозима</w:t>
      </w:r>
      <w:r w:rsidRPr="00895819">
        <w:rPr>
          <w:lang w:val="sr-Cyrl-CS"/>
        </w:rPr>
        <w:t xml:space="preserve">) имаће значење дато им у </w:t>
      </w:r>
      <w:r w:rsidR="001054D5" w:rsidRPr="00895819">
        <w:rPr>
          <w:lang w:val="sr-Cyrl-CS"/>
        </w:rPr>
        <w:t>Прилогу</w:t>
      </w:r>
      <w:r w:rsidRPr="00895819">
        <w:rPr>
          <w:lang w:val="sr-Cyrl-CS"/>
        </w:rPr>
        <w:t xml:space="preserve"> 1A (</w:t>
      </w:r>
      <w:r w:rsidRPr="00895819">
        <w:rPr>
          <w:i/>
          <w:iCs/>
          <w:lang w:val="sr-Cyrl-CS"/>
        </w:rPr>
        <w:t>Дефиниције</w:t>
      </w:r>
      <w:r w:rsidRPr="00895819">
        <w:rPr>
          <w:lang w:val="sr-Cyrl-CS"/>
        </w:rPr>
        <w:t>), осим а</w:t>
      </w:r>
      <w:r w:rsidR="009609FE" w:rsidRPr="00895819">
        <w:rPr>
          <w:lang w:val="sr-Cyrl-CS"/>
        </w:rPr>
        <w:t>ко овим у</w:t>
      </w:r>
      <w:r w:rsidRPr="00895819">
        <w:rPr>
          <w:lang w:val="sr-Cyrl-CS"/>
        </w:rPr>
        <w:t>говором није другачије предвиђено</w:t>
      </w:r>
      <w:r w:rsidR="00B16F8D" w:rsidRPr="00895819">
        <w:rPr>
          <w:lang w:val="sr-Cyrl-CS"/>
        </w:rPr>
        <w:t>.</w:t>
      </w:r>
    </w:p>
    <w:p w14:paraId="1672B114" w14:textId="77777777" w:rsidR="00B16F8D" w:rsidRPr="00895819" w:rsidRDefault="001054D5" w:rsidP="000F181A">
      <w:pPr>
        <w:pStyle w:val="AATitre2"/>
        <w:rPr>
          <w:u w:val="none"/>
          <w:lang w:val="sr-Cyrl-CS"/>
        </w:rPr>
      </w:pPr>
      <w:bookmarkStart w:id="3" w:name="_Toc135947122"/>
      <w:r w:rsidRPr="00895819">
        <w:rPr>
          <w:lang w:val="sr-Cyrl-CS"/>
        </w:rPr>
        <w:t>Тумачење</w:t>
      </w:r>
      <w:bookmarkEnd w:id="3"/>
    </w:p>
    <w:p w14:paraId="49000F8D" w14:textId="3D63F4EE" w:rsidR="00B16F8D" w:rsidRPr="00895819" w:rsidRDefault="009609FE" w:rsidP="00B16F8D">
      <w:pPr>
        <w:pStyle w:val="BodyText1"/>
        <w:rPr>
          <w:lang w:val="sr-Cyrl-CS"/>
        </w:rPr>
      </w:pPr>
      <w:r w:rsidRPr="00895819">
        <w:rPr>
          <w:lang w:val="sr-Cyrl-CS"/>
        </w:rPr>
        <w:t>Речи и изрази коришћени у овом у</w:t>
      </w:r>
      <w:r w:rsidR="001054D5" w:rsidRPr="00895819">
        <w:rPr>
          <w:lang w:val="sr-Cyrl-CS"/>
        </w:rPr>
        <w:t>говору тумачиће се у складу са одредбама Прилога 1Б (</w:t>
      </w:r>
      <w:r w:rsidR="001054D5" w:rsidRPr="00895819">
        <w:rPr>
          <w:i/>
          <w:lang w:val="sr-Cyrl-CS"/>
        </w:rPr>
        <w:t>Тумачење</w:t>
      </w:r>
      <w:r w:rsidR="001054D5" w:rsidRPr="00895819">
        <w:rPr>
          <w:lang w:val="sr-Cyrl-CS"/>
        </w:rPr>
        <w:t>), осим ако се не одлучи другачије</w:t>
      </w:r>
      <w:r w:rsidR="00B16F8D" w:rsidRPr="00895819">
        <w:rPr>
          <w:lang w:val="sr-Cyrl-CS"/>
        </w:rPr>
        <w:t>.</w:t>
      </w:r>
    </w:p>
    <w:p w14:paraId="22617269" w14:textId="77777777" w:rsidR="00B16F8D" w:rsidRPr="00895819" w:rsidRDefault="001054D5" w:rsidP="00A32298">
      <w:pPr>
        <w:pStyle w:val="AATitre1"/>
        <w:rPr>
          <w:lang w:val="sr-Cyrl-CS"/>
        </w:rPr>
      </w:pPr>
      <w:bookmarkStart w:id="4" w:name="_Toc135947123"/>
      <w:r w:rsidRPr="00895819">
        <w:rPr>
          <w:lang w:val="sr-Cyrl-CS"/>
        </w:rPr>
        <w:t>КРЕДИТ, СВРХА И УСЛОВИ КОРИШЋЕЊА</w:t>
      </w:r>
      <w:bookmarkEnd w:id="4"/>
    </w:p>
    <w:p w14:paraId="0F6EE5FD" w14:textId="77777777" w:rsidR="00B16F8D" w:rsidRPr="00895819" w:rsidRDefault="001054D5" w:rsidP="000F181A">
      <w:pPr>
        <w:pStyle w:val="AATitre2"/>
        <w:rPr>
          <w:u w:val="none"/>
          <w:lang w:val="sr-Cyrl-CS"/>
        </w:rPr>
      </w:pPr>
      <w:bookmarkStart w:id="5" w:name="_Toc135947124"/>
      <w:r w:rsidRPr="00895819">
        <w:rPr>
          <w:lang w:val="sr-Cyrl-CS"/>
        </w:rPr>
        <w:t>Кредит</w:t>
      </w:r>
      <w:bookmarkEnd w:id="5"/>
      <w:r w:rsidRPr="00895819">
        <w:rPr>
          <w:lang w:val="sr-Cyrl-CS"/>
        </w:rPr>
        <w:t xml:space="preserve"> </w:t>
      </w:r>
    </w:p>
    <w:p w14:paraId="2C79C519" w14:textId="241A6646" w:rsidR="00B16F8D" w:rsidRPr="00895819" w:rsidRDefault="009609FE" w:rsidP="00B16F8D">
      <w:pPr>
        <w:pStyle w:val="BodyText1"/>
        <w:rPr>
          <w:lang w:val="sr-Cyrl-CS"/>
        </w:rPr>
      </w:pPr>
      <w:r w:rsidRPr="00895819">
        <w:rPr>
          <w:lang w:val="sr-Cyrl-CS"/>
        </w:rPr>
        <w:t>У складу са условима овог у</w:t>
      </w:r>
      <w:r w:rsidR="001D4065" w:rsidRPr="00895819">
        <w:rPr>
          <w:lang w:val="sr-Cyrl-CS"/>
        </w:rPr>
        <w:t>говора, Зајмодавац ће ставити на располагање Зајмопримцу Кредитна средства у максималном укупном износу до шездесет девет</w:t>
      </w:r>
      <w:r w:rsidR="000F181A" w:rsidRPr="00895819">
        <w:rPr>
          <w:lang w:val="sr-Cyrl-CS"/>
        </w:rPr>
        <w:t xml:space="preserve"> милиона тристотине</w:t>
      </w:r>
      <w:r w:rsidR="001D4065" w:rsidRPr="00895819">
        <w:rPr>
          <w:lang w:val="sr-Cyrl-CS"/>
        </w:rPr>
        <w:t xml:space="preserve"> хиљада евра (69.300.000 ЕУР) у две транше</w:t>
      </w:r>
      <w:r w:rsidR="00B16F8D" w:rsidRPr="00895819">
        <w:rPr>
          <w:lang w:val="sr-Cyrl-CS"/>
        </w:rPr>
        <w:t>:</w:t>
      </w:r>
    </w:p>
    <w:p w14:paraId="568B0DAC" w14:textId="117BF148" w:rsidR="00B16F8D" w:rsidRPr="00895819" w:rsidRDefault="001D4065" w:rsidP="00B16F8D">
      <w:pPr>
        <w:pStyle w:val="BodyText1"/>
        <w:numPr>
          <w:ilvl w:val="0"/>
          <w:numId w:val="40"/>
        </w:numPr>
        <w:rPr>
          <w:lang w:val="sr-Cyrl-CS"/>
        </w:rPr>
      </w:pPr>
      <w:r w:rsidRPr="00895819">
        <w:rPr>
          <w:lang w:val="sr-Cyrl-CS"/>
        </w:rPr>
        <w:t>Транша у износу о</w:t>
      </w:r>
      <w:r w:rsidR="000F181A" w:rsidRPr="00895819">
        <w:rPr>
          <w:lang w:val="sr-Cyrl-CS"/>
        </w:rPr>
        <w:t>д шездесет шест милиона и тристотине</w:t>
      </w:r>
      <w:r w:rsidRPr="00895819">
        <w:rPr>
          <w:lang w:val="sr-Cyrl-CS"/>
        </w:rPr>
        <w:t xml:space="preserve"> хиљада евра </w:t>
      </w:r>
      <w:r w:rsidR="00B16F8D" w:rsidRPr="00895819">
        <w:rPr>
          <w:lang w:val="sr-Cyrl-CS"/>
        </w:rPr>
        <w:t>(</w:t>
      </w:r>
      <w:r w:rsidR="00040C9D" w:rsidRPr="00895819">
        <w:rPr>
          <w:lang w:val="sr-Cyrl-CS"/>
        </w:rPr>
        <w:t>66</w:t>
      </w:r>
      <w:r w:rsidRPr="00895819">
        <w:rPr>
          <w:lang w:val="sr-Cyrl-CS"/>
        </w:rPr>
        <w:t>.</w:t>
      </w:r>
      <w:r w:rsidR="00040C9D" w:rsidRPr="00895819">
        <w:rPr>
          <w:lang w:val="sr-Cyrl-CS"/>
        </w:rPr>
        <w:t>300</w:t>
      </w:r>
      <w:r w:rsidRPr="00895819">
        <w:rPr>
          <w:lang w:val="sr-Cyrl-CS"/>
        </w:rPr>
        <w:t>.</w:t>
      </w:r>
      <w:r w:rsidR="00B16F8D" w:rsidRPr="00895819">
        <w:rPr>
          <w:lang w:val="sr-Cyrl-CS"/>
        </w:rPr>
        <w:t>000</w:t>
      </w:r>
      <w:r w:rsidRPr="00895819">
        <w:rPr>
          <w:lang w:val="sr-Cyrl-CS"/>
        </w:rPr>
        <w:t xml:space="preserve"> ЕУР</w:t>
      </w:r>
      <w:r w:rsidR="00B16F8D" w:rsidRPr="00895819">
        <w:rPr>
          <w:lang w:val="sr-Cyrl-CS"/>
        </w:rPr>
        <w:t xml:space="preserve">) </w:t>
      </w:r>
      <w:r w:rsidRPr="00895819">
        <w:rPr>
          <w:lang w:val="sr-Cyrl-CS"/>
        </w:rPr>
        <w:t xml:space="preserve">користиће се за финансирање буџета Зајмопримца, у складу са Оквиром расхода </w:t>
      </w:r>
      <w:r w:rsidR="00B16F8D" w:rsidRPr="00895819">
        <w:rPr>
          <w:lang w:val="sr-Cyrl-CS"/>
        </w:rPr>
        <w:t>(</w:t>
      </w:r>
      <w:r w:rsidRPr="00895819">
        <w:rPr>
          <w:lang w:val="sr-Cyrl-CS"/>
        </w:rPr>
        <w:t>у даљем тексту</w:t>
      </w:r>
      <w:r w:rsidR="00B16F8D" w:rsidRPr="00895819">
        <w:rPr>
          <w:lang w:val="sr-Cyrl-CS"/>
        </w:rPr>
        <w:t xml:space="preserve"> </w:t>
      </w:r>
      <w:r w:rsidRPr="00895819">
        <w:rPr>
          <w:lang w:val="sr-Cyrl-CS"/>
        </w:rPr>
        <w:t>„Транша буџетске подршке</w:t>
      </w:r>
      <w:r w:rsidR="003963A8" w:rsidRPr="00895819">
        <w:rPr>
          <w:lang w:val="sr-Cyrl-CS"/>
        </w:rPr>
        <w:t>”</w:t>
      </w:r>
      <w:r w:rsidR="00B16F8D" w:rsidRPr="00895819">
        <w:rPr>
          <w:lang w:val="sr-Cyrl-CS"/>
        </w:rPr>
        <w:t>);</w:t>
      </w:r>
    </w:p>
    <w:p w14:paraId="2F98652A" w14:textId="6CC2F600" w:rsidR="00B16F8D" w:rsidRPr="00895819" w:rsidRDefault="001D4065" w:rsidP="00B16F8D">
      <w:pPr>
        <w:pStyle w:val="BodyText1"/>
        <w:numPr>
          <w:ilvl w:val="0"/>
          <w:numId w:val="40"/>
        </w:numPr>
        <w:rPr>
          <w:lang w:val="sr-Cyrl-CS"/>
        </w:rPr>
      </w:pPr>
      <w:r w:rsidRPr="00895819">
        <w:rPr>
          <w:lang w:val="sr-Cyrl-CS"/>
        </w:rPr>
        <w:t xml:space="preserve">Транша у износу од три милиона евра </w:t>
      </w:r>
      <w:r w:rsidR="00B16F8D" w:rsidRPr="00895819">
        <w:rPr>
          <w:lang w:val="sr-Cyrl-CS"/>
        </w:rPr>
        <w:t>(3</w:t>
      </w:r>
      <w:r w:rsidRPr="00895819">
        <w:rPr>
          <w:lang w:val="sr-Cyrl-CS"/>
        </w:rPr>
        <w:t>.</w:t>
      </w:r>
      <w:r w:rsidR="00B16F8D" w:rsidRPr="00895819">
        <w:rPr>
          <w:lang w:val="sr-Cyrl-CS"/>
        </w:rPr>
        <w:t>000</w:t>
      </w:r>
      <w:r w:rsidRPr="00895819">
        <w:rPr>
          <w:lang w:val="sr-Cyrl-CS"/>
        </w:rPr>
        <w:t>.</w:t>
      </w:r>
      <w:r w:rsidR="00B16F8D" w:rsidRPr="00895819">
        <w:rPr>
          <w:lang w:val="sr-Cyrl-CS"/>
        </w:rPr>
        <w:t>000</w:t>
      </w:r>
      <w:r w:rsidRPr="00895819">
        <w:rPr>
          <w:lang w:val="sr-Cyrl-CS"/>
        </w:rPr>
        <w:t xml:space="preserve"> ЕУР</w:t>
      </w:r>
      <w:r w:rsidR="00B16F8D" w:rsidRPr="00895819">
        <w:rPr>
          <w:lang w:val="sr-Cyrl-CS"/>
        </w:rPr>
        <w:t xml:space="preserve">) </w:t>
      </w:r>
      <w:r w:rsidR="00A03769" w:rsidRPr="00895819">
        <w:rPr>
          <w:lang w:val="sr-Cyrl-CS"/>
        </w:rPr>
        <w:t xml:space="preserve">користиће се </w:t>
      </w:r>
      <w:r w:rsidRPr="00895819">
        <w:rPr>
          <w:lang w:val="sr-Cyrl-CS"/>
        </w:rPr>
        <w:t xml:space="preserve">за финансирање специфичних активности Техничке помоћи </w:t>
      </w:r>
      <w:r w:rsidR="00A03769" w:rsidRPr="00895819">
        <w:rPr>
          <w:lang w:val="sr-Cyrl-CS"/>
        </w:rPr>
        <w:t xml:space="preserve">Зајмопримцу </w:t>
      </w:r>
      <w:r w:rsidR="00B16F8D" w:rsidRPr="00895819">
        <w:rPr>
          <w:lang w:val="sr-Cyrl-CS"/>
        </w:rPr>
        <w:t>(</w:t>
      </w:r>
      <w:r w:rsidRPr="00895819">
        <w:rPr>
          <w:lang w:val="sr-Cyrl-CS"/>
        </w:rPr>
        <w:t>у даљем тексту „Транша техничке помоћи</w:t>
      </w:r>
      <w:r w:rsidR="003963A8" w:rsidRPr="00895819">
        <w:rPr>
          <w:lang w:val="sr-Cyrl-CS"/>
        </w:rPr>
        <w:t>”</w:t>
      </w:r>
      <w:r w:rsidR="00B16F8D" w:rsidRPr="00895819">
        <w:rPr>
          <w:lang w:val="sr-Cyrl-CS"/>
        </w:rPr>
        <w:t>)</w:t>
      </w:r>
      <w:r w:rsidR="00471196" w:rsidRPr="00895819">
        <w:rPr>
          <w:lang w:val="sr-Cyrl-CS"/>
        </w:rPr>
        <w:t>.</w:t>
      </w:r>
    </w:p>
    <w:p w14:paraId="046DC265" w14:textId="77777777" w:rsidR="00B16F8D" w:rsidRPr="00895819" w:rsidRDefault="003269CB" w:rsidP="000F181A">
      <w:pPr>
        <w:pStyle w:val="AATitre2"/>
        <w:rPr>
          <w:u w:val="none"/>
          <w:lang w:val="sr-Cyrl-CS"/>
        </w:rPr>
      </w:pPr>
      <w:bookmarkStart w:id="6" w:name="_Toc135947125"/>
      <w:r w:rsidRPr="00895819">
        <w:rPr>
          <w:lang w:val="sr-Cyrl-CS"/>
        </w:rPr>
        <w:t>Сврха</w:t>
      </w:r>
      <w:bookmarkEnd w:id="6"/>
    </w:p>
    <w:p w14:paraId="01C750C5" w14:textId="39BD11A7" w:rsidR="00B16F8D" w:rsidRPr="00895819" w:rsidRDefault="00FB55AA" w:rsidP="00B16F8D">
      <w:pPr>
        <w:pStyle w:val="BodyText1"/>
        <w:rPr>
          <w:lang w:val="sr-Cyrl-CS"/>
        </w:rPr>
      </w:pPr>
      <w:r w:rsidRPr="00895819">
        <w:rPr>
          <w:lang w:val="sr-Cyrl-CS"/>
        </w:rPr>
        <w:t>Сврха Кредита је финансира</w:t>
      </w:r>
      <w:r w:rsidR="00A03769" w:rsidRPr="00895819">
        <w:rPr>
          <w:lang w:val="sr-Cyrl-CS"/>
        </w:rPr>
        <w:t>ње</w:t>
      </w:r>
      <w:r w:rsidRPr="00895819">
        <w:rPr>
          <w:lang w:val="sr-Cyrl-CS"/>
        </w:rPr>
        <w:t xml:space="preserve"> Операција Зајмопримца, као што је описано у Прилогу </w:t>
      </w:r>
      <w:r w:rsidR="004758A9" w:rsidRPr="00895819">
        <w:rPr>
          <w:lang w:val="sr-Cyrl-CS"/>
        </w:rPr>
        <w:t>2 (</w:t>
      </w:r>
      <w:r w:rsidR="000F181A" w:rsidRPr="00895819">
        <w:rPr>
          <w:i/>
          <w:lang w:val="sr-Cyrl-CS"/>
        </w:rPr>
        <w:t>Опис О</w:t>
      </w:r>
      <w:r w:rsidRPr="00895819">
        <w:rPr>
          <w:i/>
          <w:lang w:val="sr-Cyrl-CS"/>
        </w:rPr>
        <w:t>перације</w:t>
      </w:r>
      <w:r w:rsidR="004758A9" w:rsidRPr="00895819">
        <w:rPr>
          <w:lang w:val="sr-Cyrl-CS"/>
        </w:rPr>
        <w:t xml:space="preserve">), </w:t>
      </w:r>
      <w:r w:rsidRPr="00895819">
        <w:rPr>
          <w:lang w:val="sr-Cyrl-CS"/>
        </w:rPr>
        <w:t xml:space="preserve">у складу са Планом финансирања датим у Прилогу </w:t>
      </w:r>
      <w:r w:rsidR="004758A9" w:rsidRPr="00895819">
        <w:rPr>
          <w:lang w:val="sr-Cyrl-CS"/>
        </w:rPr>
        <w:t>3A (</w:t>
      </w:r>
      <w:r w:rsidRPr="00895819">
        <w:rPr>
          <w:i/>
          <w:lang w:val="sr-Cyrl-CS"/>
        </w:rPr>
        <w:t>План финансирања</w:t>
      </w:r>
      <w:r w:rsidR="004758A9" w:rsidRPr="00895819">
        <w:rPr>
          <w:lang w:val="sr-Cyrl-CS"/>
        </w:rPr>
        <w:t xml:space="preserve">), </w:t>
      </w:r>
      <w:r w:rsidRPr="00895819">
        <w:rPr>
          <w:lang w:val="sr-Cyrl-CS"/>
        </w:rPr>
        <w:t xml:space="preserve">Оквиром расхода описаним у Прилогу </w:t>
      </w:r>
      <w:r w:rsidR="004758A9" w:rsidRPr="00895819">
        <w:rPr>
          <w:lang w:val="sr-Cyrl-CS"/>
        </w:rPr>
        <w:t>3</w:t>
      </w:r>
      <w:r w:rsidRPr="00895819">
        <w:rPr>
          <w:lang w:val="sr-Cyrl-CS"/>
        </w:rPr>
        <w:t>Б</w:t>
      </w:r>
      <w:r w:rsidR="004758A9" w:rsidRPr="00895819">
        <w:rPr>
          <w:lang w:val="sr-Cyrl-CS"/>
        </w:rPr>
        <w:t xml:space="preserve"> (</w:t>
      </w:r>
      <w:r w:rsidRPr="00895819">
        <w:rPr>
          <w:i/>
          <w:lang w:val="sr-Cyrl-CS"/>
        </w:rPr>
        <w:t>Оквир расхода</w:t>
      </w:r>
      <w:r w:rsidR="004758A9" w:rsidRPr="00895819">
        <w:rPr>
          <w:lang w:val="sr-Cyrl-CS"/>
        </w:rPr>
        <w:t xml:space="preserve">) </w:t>
      </w:r>
      <w:r w:rsidRPr="00895819">
        <w:rPr>
          <w:lang w:val="sr-Cyrl-CS"/>
        </w:rPr>
        <w:t>и Оквиром резултата датим у Прилогу 3Ц</w:t>
      </w:r>
      <w:r w:rsidR="004758A9" w:rsidRPr="00895819">
        <w:rPr>
          <w:lang w:val="sr-Cyrl-CS"/>
        </w:rPr>
        <w:t xml:space="preserve"> (</w:t>
      </w:r>
      <w:r w:rsidRPr="00895819">
        <w:rPr>
          <w:i/>
          <w:lang w:val="sr-Cyrl-CS"/>
        </w:rPr>
        <w:t>Оквир резултата</w:t>
      </w:r>
      <w:r w:rsidR="004758A9" w:rsidRPr="00895819">
        <w:rPr>
          <w:lang w:val="sr-Cyrl-CS"/>
        </w:rPr>
        <w:t>).</w:t>
      </w:r>
    </w:p>
    <w:p w14:paraId="56725242" w14:textId="77777777" w:rsidR="00B16F8D" w:rsidRPr="00895819" w:rsidRDefault="00F9280B" w:rsidP="000F181A">
      <w:pPr>
        <w:pStyle w:val="AATitre2"/>
        <w:rPr>
          <w:lang w:val="sr-Cyrl-CS"/>
        </w:rPr>
      </w:pPr>
      <w:bookmarkStart w:id="7" w:name="_Toc135947126"/>
      <w:r w:rsidRPr="00895819">
        <w:rPr>
          <w:lang w:val="sr-Cyrl-CS"/>
        </w:rPr>
        <w:t>Одсуство одговорности</w:t>
      </w:r>
      <w:bookmarkEnd w:id="7"/>
    </w:p>
    <w:p w14:paraId="7ACA8CC3" w14:textId="44B375A3" w:rsidR="00B16F8D" w:rsidRPr="00895819" w:rsidRDefault="00F9280B" w:rsidP="00B16F8D">
      <w:pPr>
        <w:pStyle w:val="BodyText1"/>
        <w:rPr>
          <w:lang w:val="sr-Cyrl-CS"/>
        </w:rPr>
      </w:pPr>
      <w:r w:rsidRPr="00895819">
        <w:rPr>
          <w:lang w:val="sr-Cyrl-CS"/>
        </w:rPr>
        <w:t>Зајмодавац се неће сматрати одговорним за коришћење позајмљеног износа који н</w:t>
      </w:r>
      <w:r w:rsidR="009609FE" w:rsidRPr="00895819">
        <w:rPr>
          <w:lang w:val="sr-Cyrl-CS"/>
        </w:rPr>
        <w:t>ије у складу са одредбама овог у</w:t>
      </w:r>
      <w:r w:rsidRPr="00895819">
        <w:rPr>
          <w:lang w:val="sr-Cyrl-CS"/>
        </w:rPr>
        <w:t>говора</w:t>
      </w:r>
      <w:r w:rsidR="00B16F8D" w:rsidRPr="00895819">
        <w:rPr>
          <w:lang w:val="sr-Cyrl-CS"/>
        </w:rPr>
        <w:t xml:space="preserve">. </w:t>
      </w:r>
    </w:p>
    <w:p w14:paraId="4786FD11" w14:textId="77777777" w:rsidR="00B16F8D" w:rsidRPr="00895819" w:rsidRDefault="00F9280B" w:rsidP="000F181A">
      <w:pPr>
        <w:pStyle w:val="AATitre2"/>
        <w:rPr>
          <w:lang w:val="sr-Cyrl-CS"/>
        </w:rPr>
      </w:pPr>
      <w:bookmarkStart w:id="8" w:name="_Toc135947127"/>
      <w:r w:rsidRPr="00895819">
        <w:rPr>
          <w:lang w:val="sr-Cyrl-CS"/>
        </w:rPr>
        <w:t>Пре</w:t>
      </w:r>
      <w:r w:rsidR="00A72D4C" w:rsidRPr="00895819">
        <w:rPr>
          <w:lang w:val="sr-Cyrl-CS"/>
        </w:rPr>
        <w:t>тходни услови</w:t>
      </w:r>
      <w:bookmarkEnd w:id="8"/>
    </w:p>
    <w:p w14:paraId="20A74221" w14:textId="015D0744" w:rsidR="00B16F8D" w:rsidRPr="00895819" w:rsidRDefault="000F181A" w:rsidP="000F181A">
      <w:pPr>
        <w:pStyle w:val="AATitre4"/>
        <w:numPr>
          <w:ilvl w:val="0"/>
          <w:numId w:val="0"/>
        </w:numPr>
        <w:ind w:left="1440" w:hanging="720"/>
        <w:rPr>
          <w:lang w:val="sr-Cyrl-CS"/>
        </w:rPr>
      </w:pPr>
      <w:r w:rsidRPr="00895819">
        <w:rPr>
          <w:lang w:val="sr-Cyrl-CS"/>
        </w:rPr>
        <w:t>(а)</w:t>
      </w:r>
      <w:r w:rsidRPr="00895819">
        <w:rPr>
          <w:lang w:val="sr-Cyrl-CS"/>
        </w:rPr>
        <w:tab/>
      </w:r>
      <w:r w:rsidR="00F9280B" w:rsidRPr="00895819">
        <w:rPr>
          <w:lang w:val="sr-Cyrl-CS"/>
        </w:rPr>
        <w:t>Најкасније до Да</w:t>
      </w:r>
      <w:r w:rsidR="00D643E2" w:rsidRPr="00895819">
        <w:rPr>
          <w:lang w:val="sr-Cyrl-CS"/>
        </w:rPr>
        <w:t>тума</w:t>
      </w:r>
      <w:r w:rsidR="00F9280B" w:rsidRPr="00895819">
        <w:rPr>
          <w:lang w:val="sr-Cyrl-CS"/>
        </w:rPr>
        <w:t xml:space="preserve"> потписивања, Зајмопримац ће Зајмодавцу доставити све документе наведене у Делу I Прилога 4 </w:t>
      </w:r>
      <w:r w:rsidR="008F299F" w:rsidRPr="00895819">
        <w:rPr>
          <w:lang w:val="sr-Cyrl-CS"/>
        </w:rPr>
        <w:t>(</w:t>
      </w:r>
      <w:r w:rsidR="00F9280B" w:rsidRPr="00895819">
        <w:rPr>
          <w:i/>
          <w:lang w:val="sr-Cyrl-CS"/>
        </w:rPr>
        <w:t>Пре</w:t>
      </w:r>
      <w:r w:rsidR="00806DFD" w:rsidRPr="00895819">
        <w:rPr>
          <w:i/>
          <w:lang w:val="sr-Cyrl-CS"/>
        </w:rPr>
        <w:t>тходни услови</w:t>
      </w:r>
      <w:r w:rsidR="008F299F" w:rsidRPr="00895819">
        <w:rPr>
          <w:lang w:val="sr-Cyrl-CS"/>
        </w:rPr>
        <w:t>).</w:t>
      </w:r>
    </w:p>
    <w:p w14:paraId="4BA0B45E" w14:textId="54749BB9" w:rsidR="00B16F8D" w:rsidRPr="00895819" w:rsidRDefault="000F181A" w:rsidP="000F181A">
      <w:pPr>
        <w:pStyle w:val="AATitre4"/>
        <w:numPr>
          <w:ilvl w:val="0"/>
          <w:numId w:val="0"/>
        </w:numPr>
        <w:ind w:left="1440" w:hanging="720"/>
        <w:rPr>
          <w:lang w:val="sr-Cyrl-CS"/>
        </w:rPr>
      </w:pPr>
      <w:r w:rsidRPr="00895819">
        <w:rPr>
          <w:lang w:val="sr-Cyrl-CS"/>
        </w:rPr>
        <w:t>(б)</w:t>
      </w:r>
      <w:r w:rsidRPr="00895819">
        <w:rPr>
          <w:lang w:val="sr-Cyrl-CS"/>
        </w:rPr>
        <w:tab/>
      </w:r>
      <w:r w:rsidR="009772C6" w:rsidRPr="00895819">
        <w:rPr>
          <w:lang w:val="sr-Cyrl-CS"/>
        </w:rPr>
        <w:t>Захтев за повлачење средстава не може се доставити Зајмодавцу осим</w:t>
      </w:r>
      <w:r w:rsidR="00B16F8D" w:rsidRPr="00895819">
        <w:rPr>
          <w:lang w:val="sr-Cyrl-CS"/>
        </w:rPr>
        <w:t>:</w:t>
      </w:r>
    </w:p>
    <w:p w14:paraId="6F3465D1" w14:textId="1330168C" w:rsidR="00626DFC" w:rsidRPr="00895819" w:rsidRDefault="000F181A" w:rsidP="000F181A">
      <w:pPr>
        <w:pStyle w:val="AATitre6"/>
        <w:numPr>
          <w:ilvl w:val="0"/>
          <w:numId w:val="0"/>
        </w:numPr>
        <w:ind w:left="2160" w:hanging="720"/>
        <w:rPr>
          <w:lang w:val="sr-Cyrl-CS"/>
        </w:rPr>
      </w:pPr>
      <w:r w:rsidRPr="00895819">
        <w:rPr>
          <w:lang w:val="sr-Cyrl-CS"/>
        </w:rPr>
        <w:t>(а)</w:t>
      </w:r>
      <w:r w:rsidRPr="00895819">
        <w:rPr>
          <w:lang w:val="sr-Cyrl-CS"/>
        </w:rPr>
        <w:tab/>
      </w:r>
      <w:r w:rsidR="00155BE5" w:rsidRPr="00895819">
        <w:rPr>
          <w:lang w:val="sr-Cyrl-CS"/>
        </w:rPr>
        <w:t>ако је овај у</w:t>
      </w:r>
      <w:r w:rsidR="009772C6" w:rsidRPr="00895819">
        <w:rPr>
          <w:lang w:val="sr-Cyrl-CS"/>
        </w:rPr>
        <w:t xml:space="preserve">говор ступио на снагу након испуњења услова дефинисаних у Делу </w:t>
      </w:r>
      <w:r w:rsidR="00626DFC" w:rsidRPr="00895819">
        <w:rPr>
          <w:lang w:val="sr-Cyrl-CS"/>
        </w:rPr>
        <w:t xml:space="preserve">II </w:t>
      </w:r>
      <w:r w:rsidR="009772C6" w:rsidRPr="00895819">
        <w:rPr>
          <w:lang w:val="sr-Cyrl-CS"/>
        </w:rPr>
        <w:t>Прилога</w:t>
      </w:r>
      <w:r w:rsidR="00626DFC" w:rsidRPr="00895819">
        <w:rPr>
          <w:lang w:val="sr-Cyrl-CS"/>
        </w:rPr>
        <w:t xml:space="preserve"> 4 (</w:t>
      </w:r>
      <w:r w:rsidR="00806DFD" w:rsidRPr="00895819">
        <w:rPr>
          <w:i/>
          <w:lang w:val="sr-Cyrl-CS"/>
        </w:rPr>
        <w:t>Претходни услови</w:t>
      </w:r>
      <w:r w:rsidR="00626DFC" w:rsidRPr="00895819">
        <w:rPr>
          <w:lang w:val="sr-Cyrl-CS"/>
        </w:rPr>
        <w:t>);</w:t>
      </w:r>
    </w:p>
    <w:p w14:paraId="483303CD" w14:textId="2D3A870C" w:rsidR="00B16F8D" w:rsidRPr="00895819" w:rsidRDefault="000F181A" w:rsidP="000F181A">
      <w:pPr>
        <w:pStyle w:val="AATitre6"/>
        <w:numPr>
          <w:ilvl w:val="0"/>
          <w:numId w:val="0"/>
        </w:numPr>
        <w:ind w:left="2160" w:hanging="720"/>
        <w:rPr>
          <w:lang w:val="sr-Cyrl-CS"/>
        </w:rPr>
      </w:pPr>
      <w:r w:rsidRPr="00895819">
        <w:rPr>
          <w:lang w:val="sr-Cyrl-CS"/>
        </w:rPr>
        <w:t>(б)</w:t>
      </w:r>
      <w:r w:rsidRPr="00895819">
        <w:rPr>
          <w:lang w:val="sr-Cyrl-CS"/>
        </w:rPr>
        <w:tab/>
      </w:r>
      <w:r w:rsidR="00117FE9" w:rsidRPr="00895819">
        <w:rPr>
          <w:lang w:val="sr-Cyrl-CS"/>
        </w:rPr>
        <w:t xml:space="preserve">ако је, </w:t>
      </w:r>
      <w:r w:rsidR="009772C6" w:rsidRPr="00895819">
        <w:rPr>
          <w:lang w:val="sr-Cyrl-CS"/>
        </w:rPr>
        <w:t xml:space="preserve">у случају првог повлачења Транше буџетске подршке, Зајмодавац примио сва документа наведена у Делу </w:t>
      </w:r>
      <w:r w:rsidR="008F299F" w:rsidRPr="00895819">
        <w:rPr>
          <w:lang w:val="sr-Cyrl-CS"/>
        </w:rPr>
        <w:t>III</w:t>
      </w:r>
      <w:r w:rsidR="009A57B1" w:rsidRPr="00895819">
        <w:rPr>
          <w:lang w:val="sr-Cyrl-CS"/>
        </w:rPr>
        <w:t xml:space="preserve"> </w:t>
      </w:r>
      <w:r w:rsidR="009772C6" w:rsidRPr="00895819">
        <w:rPr>
          <w:lang w:val="sr-Cyrl-CS"/>
        </w:rPr>
        <w:t xml:space="preserve">Прилога </w:t>
      </w:r>
      <w:r w:rsidR="00AA5558" w:rsidRPr="00895819">
        <w:rPr>
          <w:lang w:val="sr-Cyrl-CS"/>
        </w:rPr>
        <w:t>4 (</w:t>
      </w:r>
      <w:r w:rsidR="00806DFD" w:rsidRPr="00895819">
        <w:rPr>
          <w:i/>
          <w:lang w:val="sr-Cyrl-CS"/>
        </w:rPr>
        <w:t>Претходни услови</w:t>
      </w:r>
      <w:r w:rsidR="00AA5558" w:rsidRPr="00895819">
        <w:rPr>
          <w:lang w:val="sr-Cyrl-CS"/>
        </w:rPr>
        <w:t>)</w:t>
      </w:r>
      <w:r w:rsidR="00B16F8D" w:rsidRPr="00895819">
        <w:rPr>
          <w:lang w:val="sr-Cyrl-CS"/>
        </w:rPr>
        <w:t xml:space="preserve"> </w:t>
      </w:r>
      <w:r w:rsidR="009772C6" w:rsidRPr="00895819">
        <w:rPr>
          <w:lang w:val="sr-Cyrl-CS"/>
        </w:rPr>
        <w:lastRenderedPageBreak/>
        <w:t xml:space="preserve">и обавестио Зајмопримца да </w:t>
      </w:r>
      <w:r w:rsidR="00874777" w:rsidRPr="00895819">
        <w:rPr>
          <w:lang w:val="sr-Cyrl-CS"/>
        </w:rPr>
        <w:t xml:space="preserve">форма и садржина тих </w:t>
      </w:r>
      <w:r w:rsidR="009772C6" w:rsidRPr="00895819">
        <w:rPr>
          <w:lang w:val="sr-Cyrl-CS"/>
        </w:rPr>
        <w:t>докумен</w:t>
      </w:r>
      <w:r w:rsidR="00874777" w:rsidRPr="00895819">
        <w:rPr>
          <w:lang w:val="sr-Cyrl-CS"/>
        </w:rPr>
        <w:t>а</w:t>
      </w:r>
      <w:r w:rsidR="009772C6" w:rsidRPr="00895819">
        <w:rPr>
          <w:lang w:val="sr-Cyrl-CS"/>
        </w:rPr>
        <w:t>та задовољавају Зајмо</w:t>
      </w:r>
      <w:r w:rsidR="00D643E2" w:rsidRPr="00895819">
        <w:rPr>
          <w:lang w:val="sr-Cyrl-CS"/>
        </w:rPr>
        <w:t>давца</w:t>
      </w:r>
      <w:r w:rsidR="00B16F8D" w:rsidRPr="00895819">
        <w:rPr>
          <w:lang w:val="sr-Cyrl-CS"/>
        </w:rPr>
        <w:t>;</w:t>
      </w:r>
    </w:p>
    <w:p w14:paraId="6825B97E" w14:textId="3E42B1D3" w:rsidR="009A57B1" w:rsidRPr="00895819" w:rsidRDefault="000F181A" w:rsidP="000F181A">
      <w:pPr>
        <w:pStyle w:val="AATitre6"/>
        <w:numPr>
          <w:ilvl w:val="0"/>
          <w:numId w:val="0"/>
        </w:numPr>
        <w:ind w:left="2160" w:hanging="720"/>
        <w:rPr>
          <w:lang w:val="sr-Cyrl-CS"/>
        </w:rPr>
      </w:pPr>
      <w:bookmarkStart w:id="9" w:name="_Ref126003418"/>
      <w:r w:rsidRPr="00895819">
        <w:rPr>
          <w:lang w:val="sr-Cyrl-CS"/>
        </w:rPr>
        <w:t>(ц)</w:t>
      </w:r>
      <w:r w:rsidRPr="00895819">
        <w:rPr>
          <w:lang w:val="sr-Cyrl-CS"/>
        </w:rPr>
        <w:tab/>
      </w:r>
      <w:r w:rsidR="00117FE9" w:rsidRPr="00895819">
        <w:rPr>
          <w:lang w:val="sr-Cyrl-CS"/>
        </w:rPr>
        <w:t xml:space="preserve">ако је, </w:t>
      </w:r>
      <w:r w:rsidR="00054999" w:rsidRPr="00895819">
        <w:rPr>
          <w:lang w:val="sr-Cyrl-CS"/>
        </w:rPr>
        <w:t>у случају сваког следећег повлачења Транше буџетске подршке,</w:t>
      </w:r>
      <w:r w:rsidR="00B16F8D" w:rsidRPr="00895819">
        <w:rPr>
          <w:lang w:val="sr-Cyrl-CS"/>
        </w:rPr>
        <w:t xml:space="preserve"> </w:t>
      </w:r>
      <w:r w:rsidR="00054999" w:rsidRPr="00895819">
        <w:rPr>
          <w:lang w:val="sr-Cyrl-CS"/>
        </w:rPr>
        <w:t>Зајмодавац примио сва документа наведена у Делу</w:t>
      </w:r>
      <w:r w:rsidR="009A57B1" w:rsidRPr="00895819">
        <w:rPr>
          <w:lang w:val="sr-Cyrl-CS"/>
        </w:rPr>
        <w:t xml:space="preserve"> </w:t>
      </w:r>
      <w:r w:rsidR="00B16F8D" w:rsidRPr="00895819">
        <w:rPr>
          <w:lang w:val="sr-Cyrl-CS"/>
        </w:rPr>
        <w:t>IV</w:t>
      </w:r>
      <w:r w:rsidR="009A57B1" w:rsidRPr="00895819">
        <w:rPr>
          <w:lang w:val="sr-Cyrl-CS"/>
        </w:rPr>
        <w:t xml:space="preserve"> </w:t>
      </w:r>
      <w:r w:rsidR="00054999" w:rsidRPr="00895819">
        <w:rPr>
          <w:lang w:val="sr-Cyrl-CS"/>
        </w:rPr>
        <w:t xml:space="preserve">Прилога </w:t>
      </w:r>
      <w:r w:rsidR="00AA5558" w:rsidRPr="00895819">
        <w:rPr>
          <w:lang w:val="sr-Cyrl-CS"/>
        </w:rPr>
        <w:t>4 (</w:t>
      </w:r>
      <w:r w:rsidR="00806DFD" w:rsidRPr="00895819">
        <w:rPr>
          <w:i/>
          <w:lang w:val="sr-Cyrl-CS"/>
        </w:rPr>
        <w:t>Претходни услови</w:t>
      </w:r>
      <w:r w:rsidR="00AA5558" w:rsidRPr="00895819">
        <w:rPr>
          <w:lang w:val="sr-Cyrl-CS"/>
        </w:rPr>
        <w:t>)</w:t>
      </w:r>
      <w:r w:rsidR="00B16F8D" w:rsidRPr="00895819">
        <w:rPr>
          <w:lang w:val="sr-Cyrl-CS"/>
        </w:rPr>
        <w:t xml:space="preserve"> </w:t>
      </w:r>
      <w:r w:rsidR="00054999" w:rsidRPr="00895819">
        <w:rPr>
          <w:lang w:val="sr-Cyrl-CS"/>
        </w:rPr>
        <w:t xml:space="preserve">и обавестио Зајмопримца </w:t>
      </w:r>
      <w:r w:rsidR="00D643E2" w:rsidRPr="00895819">
        <w:rPr>
          <w:lang w:val="sr-Cyrl-CS"/>
        </w:rPr>
        <w:t>да форма и садржина тих докумената задовољавају Зајмодавца</w:t>
      </w:r>
      <w:r w:rsidR="00B16F8D" w:rsidRPr="00895819">
        <w:rPr>
          <w:lang w:val="sr-Cyrl-CS"/>
        </w:rPr>
        <w:t>;</w:t>
      </w:r>
      <w:bookmarkEnd w:id="9"/>
    </w:p>
    <w:p w14:paraId="0A4A17CE" w14:textId="49CDDE42" w:rsidR="009A57B1" w:rsidRPr="00895819" w:rsidRDefault="000F181A" w:rsidP="000F181A">
      <w:pPr>
        <w:pStyle w:val="AATitre6"/>
        <w:numPr>
          <w:ilvl w:val="0"/>
          <w:numId w:val="0"/>
        </w:numPr>
        <w:ind w:left="2160" w:hanging="720"/>
        <w:rPr>
          <w:lang w:val="sr-Cyrl-CS"/>
        </w:rPr>
      </w:pPr>
      <w:r w:rsidRPr="00895819">
        <w:rPr>
          <w:lang w:val="sr-Cyrl-CS"/>
        </w:rPr>
        <w:t>(д)</w:t>
      </w:r>
      <w:r w:rsidRPr="00895819">
        <w:rPr>
          <w:lang w:val="sr-Cyrl-CS"/>
        </w:rPr>
        <w:tab/>
      </w:r>
      <w:r w:rsidR="00117FE9" w:rsidRPr="00895819">
        <w:rPr>
          <w:lang w:val="sr-Cyrl-CS"/>
        </w:rPr>
        <w:t xml:space="preserve">ако је, </w:t>
      </w:r>
      <w:r w:rsidR="00054999" w:rsidRPr="00895819">
        <w:rPr>
          <w:lang w:val="sr-Cyrl-CS"/>
        </w:rPr>
        <w:t>у случају првог повлачења Транше техничке помоћи, Зајмодавац примио сва документа наведена у Делу V Прилога 4 (</w:t>
      </w:r>
      <w:r w:rsidR="00806DFD" w:rsidRPr="00895819">
        <w:rPr>
          <w:i/>
          <w:lang w:val="sr-Cyrl-CS"/>
        </w:rPr>
        <w:t>Претходни услови</w:t>
      </w:r>
      <w:r w:rsidR="00054999" w:rsidRPr="00895819">
        <w:rPr>
          <w:lang w:val="sr-Cyrl-CS"/>
        </w:rPr>
        <w:t xml:space="preserve">) и обавестио Зајмопримца </w:t>
      </w:r>
      <w:r w:rsidR="00D643E2" w:rsidRPr="00895819">
        <w:rPr>
          <w:lang w:val="sr-Cyrl-CS"/>
        </w:rPr>
        <w:t>да форма и садржина тих докумената задовољавају Зајмодавца</w:t>
      </w:r>
      <w:r w:rsidR="009A57B1" w:rsidRPr="00895819">
        <w:rPr>
          <w:lang w:val="sr-Cyrl-CS"/>
        </w:rPr>
        <w:t>;</w:t>
      </w:r>
    </w:p>
    <w:p w14:paraId="577FE512" w14:textId="571A179C" w:rsidR="00B16F8D" w:rsidRPr="00895819" w:rsidRDefault="000F181A" w:rsidP="000F181A">
      <w:pPr>
        <w:pStyle w:val="AATitre6"/>
        <w:numPr>
          <w:ilvl w:val="0"/>
          <w:numId w:val="0"/>
        </w:numPr>
        <w:ind w:left="2160" w:hanging="720"/>
        <w:rPr>
          <w:lang w:val="sr-Cyrl-CS"/>
        </w:rPr>
      </w:pPr>
      <w:r w:rsidRPr="00895819">
        <w:rPr>
          <w:lang w:val="sr-Cyrl-CS"/>
        </w:rPr>
        <w:t>(е)</w:t>
      </w:r>
      <w:r w:rsidRPr="00895819">
        <w:rPr>
          <w:lang w:val="sr-Cyrl-CS"/>
        </w:rPr>
        <w:tab/>
      </w:r>
      <w:r w:rsidR="00117FE9" w:rsidRPr="00895819">
        <w:rPr>
          <w:lang w:val="sr-Cyrl-CS"/>
        </w:rPr>
        <w:t xml:space="preserve">ако је, </w:t>
      </w:r>
      <w:r w:rsidR="00054999" w:rsidRPr="00895819">
        <w:rPr>
          <w:lang w:val="sr-Cyrl-CS"/>
        </w:rPr>
        <w:t>у случају сваког следећег повлачења Транше техничке помоћи, Зајмодавац од Суфинансијера примио Обавештење о исплати у коме се Зајмодавац саветује да Зајмопримцу стави на располагање тражено повлачење средстава</w:t>
      </w:r>
      <w:r w:rsidR="009A57B1" w:rsidRPr="00895819">
        <w:rPr>
          <w:lang w:val="sr-Cyrl-CS"/>
        </w:rPr>
        <w:t xml:space="preserve">; </w:t>
      </w:r>
      <w:r w:rsidR="00054999" w:rsidRPr="00895819">
        <w:rPr>
          <w:lang w:val="sr-Cyrl-CS"/>
        </w:rPr>
        <w:t>и</w:t>
      </w:r>
    </w:p>
    <w:p w14:paraId="6083B5F5" w14:textId="63C5E64F" w:rsidR="00B16F8D" w:rsidRPr="00895819" w:rsidRDefault="000F181A" w:rsidP="000F181A">
      <w:pPr>
        <w:pStyle w:val="AATitre6"/>
        <w:numPr>
          <w:ilvl w:val="0"/>
          <w:numId w:val="0"/>
        </w:numPr>
        <w:ind w:left="2160" w:hanging="720"/>
        <w:rPr>
          <w:lang w:val="sr-Cyrl-CS"/>
        </w:rPr>
      </w:pPr>
      <w:r w:rsidRPr="00895819">
        <w:rPr>
          <w:lang w:val="sr-Cyrl-CS"/>
        </w:rPr>
        <w:t>(ф)</w:t>
      </w:r>
      <w:r w:rsidRPr="00895819">
        <w:rPr>
          <w:lang w:val="sr-Cyrl-CS"/>
        </w:rPr>
        <w:tab/>
      </w:r>
      <w:r w:rsidR="00117FE9" w:rsidRPr="00895819">
        <w:rPr>
          <w:lang w:val="sr-Cyrl-CS"/>
        </w:rPr>
        <w:t xml:space="preserve">ако </w:t>
      </w:r>
      <w:r w:rsidR="00054999" w:rsidRPr="00895819">
        <w:rPr>
          <w:lang w:val="sr-Cyrl-CS"/>
        </w:rPr>
        <w:t xml:space="preserve">на </w:t>
      </w:r>
      <w:r w:rsidR="00F85EFD" w:rsidRPr="00895819">
        <w:rPr>
          <w:lang w:val="sr-Cyrl-CS"/>
        </w:rPr>
        <w:t>Д</w:t>
      </w:r>
      <w:r w:rsidR="00054999" w:rsidRPr="00895819">
        <w:rPr>
          <w:lang w:val="sr-Cyrl-CS"/>
        </w:rPr>
        <w:t xml:space="preserve">атум Захтева за повлачење средстава и на предложени Датум повлачења средстава за релевантно повлачење, није </w:t>
      </w:r>
      <w:r w:rsidR="00F85EFD" w:rsidRPr="00895819">
        <w:rPr>
          <w:lang w:val="sr-Cyrl-CS"/>
        </w:rPr>
        <w:t>наступио Случај</w:t>
      </w:r>
      <w:r w:rsidR="00054999" w:rsidRPr="00895819">
        <w:rPr>
          <w:lang w:val="sr-Cyrl-CS"/>
        </w:rPr>
        <w:t xml:space="preserve"> </w:t>
      </w:r>
      <w:r w:rsidR="00B90A5A" w:rsidRPr="00895819">
        <w:rPr>
          <w:lang w:val="sr-Cyrl-CS"/>
        </w:rPr>
        <w:t>поремећаја платног промета</w:t>
      </w:r>
      <w:r w:rsidR="00054999" w:rsidRPr="00895819">
        <w:rPr>
          <w:lang w:val="sr-Cyrl-CS"/>
        </w:rPr>
        <w:t xml:space="preserve"> и </w:t>
      </w:r>
      <w:r w:rsidR="00883C3C" w:rsidRPr="00895819">
        <w:rPr>
          <w:lang w:val="sr-Cyrl-CS"/>
        </w:rPr>
        <w:t>ако</w:t>
      </w:r>
      <w:r w:rsidR="00054999" w:rsidRPr="00895819">
        <w:rPr>
          <w:lang w:val="sr-Cyrl-CS"/>
        </w:rPr>
        <w:t xml:space="preserve"> су испуњени услови дефинисани ов</w:t>
      </w:r>
      <w:r w:rsidR="00883C3C" w:rsidRPr="00895819">
        <w:rPr>
          <w:lang w:val="sr-Cyrl-CS"/>
        </w:rPr>
        <w:t>и</w:t>
      </w:r>
      <w:r w:rsidR="009609FE" w:rsidRPr="00895819">
        <w:rPr>
          <w:lang w:val="sr-Cyrl-CS"/>
        </w:rPr>
        <w:t>м у</w:t>
      </w:r>
      <w:r w:rsidR="00054999" w:rsidRPr="00895819">
        <w:rPr>
          <w:lang w:val="sr-Cyrl-CS"/>
        </w:rPr>
        <w:t>говор</w:t>
      </w:r>
      <w:r w:rsidR="00883C3C" w:rsidRPr="00895819">
        <w:rPr>
          <w:lang w:val="sr-Cyrl-CS"/>
        </w:rPr>
        <w:t>ом</w:t>
      </w:r>
      <w:r w:rsidR="00054999" w:rsidRPr="00895819">
        <w:rPr>
          <w:lang w:val="sr-Cyrl-CS"/>
        </w:rPr>
        <w:t>, укључујући и следеће</w:t>
      </w:r>
      <w:r w:rsidR="00B16F8D" w:rsidRPr="00895819">
        <w:rPr>
          <w:lang w:val="sr-Cyrl-CS"/>
        </w:rPr>
        <w:t>:</w:t>
      </w:r>
    </w:p>
    <w:p w14:paraId="37E870B7" w14:textId="77777777" w:rsidR="00B16F8D" w:rsidRPr="00895819" w:rsidRDefault="00F85EFD" w:rsidP="00B16F8D">
      <w:pPr>
        <w:pStyle w:val="AATitre8"/>
        <w:ind w:left="2410" w:hanging="567"/>
        <w:rPr>
          <w:lang w:val="sr-Cyrl-CS"/>
        </w:rPr>
      </w:pPr>
      <w:r w:rsidRPr="00895819">
        <w:rPr>
          <w:lang w:val="sr-Cyrl-CS"/>
        </w:rPr>
        <w:t>ниједан Случај неизмирења обавеза није у току нити би наступио услед предложеног Повлачења средстава</w:t>
      </w:r>
      <w:r w:rsidR="00B16F8D" w:rsidRPr="00895819">
        <w:rPr>
          <w:lang w:val="sr-Cyrl-CS"/>
        </w:rPr>
        <w:t>;</w:t>
      </w:r>
    </w:p>
    <w:p w14:paraId="6B38E7DB" w14:textId="77777777" w:rsidR="00B16F8D" w:rsidRPr="00895819" w:rsidRDefault="00040AE0" w:rsidP="00B16F8D">
      <w:pPr>
        <w:pStyle w:val="AATitre8"/>
        <w:ind w:left="2410" w:hanging="567"/>
        <w:rPr>
          <w:lang w:val="sr-Cyrl-CS"/>
        </w:rPr>
      </w:pPr>
      <w:r w:rsidRPr="00895819">
        <w:rPr>
          <w:lang w:val="sr-Cyrl-CS"/>
        </w:rPr>
        <w:t>ниједан Суфинансијер није суспендовао своја плаћања везана за Операцију</w:t>
      </w:r>
      <w:r w:rsidR="00B16F8D" w:rsidRPr="00895819">
        <w:rPr>
          <w:lang w:val="sr-Cyrl-CS"/>
        </w:rPr>
        <w:t>;</w:t>
      </w:r>
    </w:p>
    <w:p w14:paraId="0123B26D" w14:textId="77777777" w:rsidR="00B16F8D" w:rsidRPr="00895819" w:rsidRDefault="00040AE0" w:rsidP="00B16F8D">
      <w:pPr>
        <w:pStyle w:val="AATitre8"/>
        <w:ind w:left="2410" w:hanging="567"/>
        <w:rPr>
          <w:lang w:val="sr-Cyrl-CS"/>
        </w:rPr>
      </w:pPr>
      <w:r w:rsidRPr="00895819">
        <w:rPr>
          <w:lang w:val="sr-Cyrl-CS"/>
        </w:rPr>
        <w:t>Захтев за повлачење средстава је сачињен у складу са одредбама члана 3.2 (</w:t>
      </w:r>
      <w:r w:rsidRPr="00895819">
        <w:rPr>
          <w:i/>
          <w:iCs/>
          <w:lang w:val="sr-Cyrl-CS"/>
        </w:rPr>
        <w:t>Захтев за повлачење средстава</w:t>
      </w:r>
      <w:r w:rsidR="00AA5558" w:rsidRPr="00895819">
        <w:rPr>
          <w:lang w:val="sr-Cyrl-CS"/>
        </w:rPr>
        <w:t>)</w:t>
      </w:r>
      <w:r w:rsidR="00B16F8D" w:rsidRPr="00895819">
        <w:rPr>
          <w:lang w:val="sr-Cyrl-CS"/>
        </w:rPr>
        <w:t>;</w:t>
      </w:r>
    </w:p>
    <w:p w14:paraId="5180A86F" w14:textId="77777777" w:rsidR="00B16F8D" w:rsidRPr="00895819" w:rsidRDefault="00040AE0" w:rsidP="00B16F8D">
      <w:pPr>
        <w:pStyle w:val="AATitre8"/>
        <w:ind w:left="2410" w:hanging="567"/>
        <w:rPr>
          <w:lang w:val="sr-Cyrl-CS"/>
        </w:rPr>
      </w:pPr>
      <w:r w:rsidRPr="00895819">
        <w:rPr>
          <w:lang w:val="sr-Cyrl-CS"/>
        </w:rPr>
        <w:t>Свака изјава коју је Зајмопримац дао у складу са чланом 10 (</w:t>
      </w:r>
      <w:r w:rsidRPr="00895819">
        <w:rPr>
          <w:i/>
          <w:iCs/>
          <w:lang w:val="sr-Cyrl-CS"/>
        </w:rPr>
        <w:t>Изјаве и гаранције</w:t>
      </w:r>
      <w:r w:rsidRPr="00895819">
        <w:rPr>
          <w:lang w:val="sr-Cyrl-CS"/>
        </w:rPr>
        <w:t>) је тачна</w:t>
      </w:r>
      <w:r w:rsidR="00AA5558" w:rsidRPr="00895819">
        <w:rPr>
          <w:lang w:val="sr-Cyrl-CS"/>
        </w:rPr>
        <w:t>.</w:t>
      </w:r>
      <w:r w:rsidR="00B16F8D" w:rsidRPr="00895819">
        <w:rPr>
          <w:lang w:val="sr-Cyrl-CS"/>
        </w:rPr>
        <w:t xml:space="preserve"> </w:t>
      </w:r>
    </w:p>
    <w:p w14:paraId="4FCA83F0" w14:textId="77777777" w:rsidR="00B16F8D" w:rsidRPr="00895819" w:rsidRDefault="00040AE0" w:rsidP="00A32298">
      <w:pPr>
        <w:pStyle w:val="AATitre1"/>
        <w:rPr>
          <w:lang w:val="sr-Cyrl-CS"/>
        </w:rPr>
      </w:pPr>
      <w:bookmarkStart w:id="10" w:name="_Toc135947128"/>
      <w:r w:rsidRPr="00895819">
        <w:rPr>
          <w:lang w:val="sr-Cyrl-CS"/>
        </w:rPr>
        <w:t>ПОВЛАЧЕЊЕ СРЕДСТАВА</w:t>
      </w:r>
      <w:bookmarkEnd w:id="10"/>
    </w:p>
    <w:p w14:paraId="27347CC9" w14:textId="77777777" w:rsidR="00B16F8D" w:rsidRPr="00895819" w:rsidRDefault="00F85EFD" w:rsidP="000F181A">
      <w:pPr>
        <w:pStyle w:val="AATitre2"/>
        <w:rPr>
          <w:u w:val="none"/>
          <w:lang w:val="sr-Cyrl-CS"/>
        </w:rPr>
      </w:pPr>
      <w:bookmarkStart w:id="11" w:name="_Toc135947129"/>
      <w:r w:rsidRPr="00895819">
        <w:rPr>
          <w:lang w:val="sr-Cyrl-CS"/>
        </w:rPr>
        <w:t>Број</w:t>
      </w:r>
      <w:r w:rsidR="00040AE0" w:rsidRPr="00895819">
        <w:rPr>
          <w:lang w:val="sr-Cyrl-CS"/>
        </w:rPr>
        <w:t xml:space="preserve"> повлачења</w:t>
      </w:r>
      <w:bookmarkEnd w:id="11"/>
    </w:p>
    <w:p w14:paraId="23A3E265" w14:textId="77777777" w:rsidR="00B16F8D" w:rsidRPr="00895819" w:rsidRDefault="00F85EFD" w:rsidP="00B16F8D">
      <w:pPr>
        <w:pStyle w:val="BodyText1"/>
        <w:rPr>
          <w:lang w:val="sr-Cyrl-CS"/>
        </w:rPr>
      </w:pPr>
      <w:r w:rsidRPr="00895819">
        <w:rPr>
          <w:lang w:val="sr-Cyrl-CS"/>
        </w:rPr>
        <w:t>Кредитна средства биће стављена на располагање Зајмопримцу током Периода расположивости, у неколико повлачења под условом да број повлачења средстава не прелази четрдесет (40)</w:t>
      </w:r>
      <w:r w:rsidR="00B16F8D" w:rsidRPr="00895819">
        <w:rPr>
          <w:lang w:val="sr-Cyrl-CS"/>
        </w:rPr>
        <w:t>.</w:t>
      </w:r>
    </w:p>
    <w:p w14:paraId="6130F915" w14:textId="77777777" w:rsidR="00B16F8D" w:rsidRPr="00895819" w:rsidRDefault="00F85EFD" w:rsidP="000F181A">
      <w:pPr>
        <w:pStyle w:val="AATitre2"/>
        <w:rPr>
          <w:u w:val="none"/>
          <w:lang w:val="sr-Cyrl-CS"/>
        </w:rPr>
      </w:pPr>
      <w:bookmarkStart w:id="12" w:name="_Toc135947130"/>
      <w:r w:rsidRPr="00895819">
        <w:rPr>
          <w:lang w:val="sr-Cyrl-CS"/>
        </w:rPr>
        <w:t>Захтев за повлачење средстава</w:t>
      </w:r>
      <w:bookmarkEnd w:id="12"/>
    </w:p>
    <w:p w14:paraId="2ED083E8" w14:textId="060145E4" w:rsidR="00B16F8D" w:rsidRPr="00895819" w:rsidRDefault="000F181A" w:rsidP="000F181A">
      <w:pPr>
        <w:pStyle w:val="AATitre4"/>
        <w:numPr>
          <w:ilvl w:val="0"/>
          <w:numId w:val="0"/>
        </w:numPr>
        <w:ind w:left="1440" w:hanging="720"/>
        <w:rPr>
          <w:i/>
          <w:lang w:val="sr-Cyrl-CS"/>
        </w:rPr>
      </w:pPr>
      <w:r w:rsidRPr="00895819">
        <w:rPr>
          <w:lang w:val="sr-Cyrl-CS"/>
        </w:rPr>
        <w:t>(а)</w:t>
      </w:r>
      <w:r w:rsidRPr="00895819">
        <w:rPr>
          <w:lang w:val="sr-Cyrl-CS"/>
        </w:rPr>
        <w:tab/>
      </w:r>
      <w:r w:rsidR="00F85EFD" w:rsidRPr="00895819">
        <w:rPr>
          <w:lang w:val="sr-Cyrl-CS"/>
        </w:rPr>
        <w:t xml:space="preserve">Под условом да су испуњени услови из </w:t>
      </w:r>
      <w:r w:rsidR="008531BC" w:rsidRPr="00895819">
        <w:rPr>
          <w:lang w:val="sr-Cyrl-CS"/>
        </w:rPr>
        <w:t>ч</w:t>
      </w:r>
      <w:r w:rsidR="00F85EFD" w:rsidRPr="00895819">
        <w:rPr>
          <w:lang w:val="sr-Cyrl-CS"/>
        </w:rPr>
        <w:t xml:space="preserve">лана </w:t>
      </w:r>
      <w:r w:rsidR="000D485C" w:rsidRPr="00895819">
        <w:rPr>
          <w:lang w:val="sr-Cyrl-CS"/>
        </w:rPr>
        <w:t>2.4(</w:t>
      </w:r>
      <w:r w:rsidR="00F85EFD" w:rsidRPr="00895819">
        <w:rPr>
          <w:lang w:val="sr-Cyrl-CS"/>
        </w:rPr>
        <w:t>б</w:t>
      </w:r>
      <w:r w:rsidR="000D485C" w:rsidRPr="00895819">
        <w:rPr>
          <w:lang w:val="sr-Cyrl-CS"/>
        </w:rPr>
        <w:t>) (</w:t>
      </w:r>
      <w:r w:rsidR="00806DFD" w:rsidRPr="00895819">
        <w:rPr>
          <w:i/>
          <w:lang w:val="sr-Cyrl-CS"/>
        </w:rPr>
        <w:t>Претходни услови</w:t>
      </w:r>
      <w:r w:rsidR="000D485C" w:rsidRPr="00895819">
        <w:rPr>
          <w:lang w:val="sr-Cyrl-CS"/>
        </w:rPr>
        <w:t>)</w:t>
      </w:r>
      <w:r w:rsidR="00B16F8D" w:rsidRPr="00895819">
        <w:rPr>
          <w:lang w:val="sr-Cyrl-CS"/>
        </w:rPr>
        <w:t xml:space="preserve">, </w:t>
      </w:r>
      <w:r w:rsidR="00F85EFD" w:rsidRPr="00895819">
        <w:rPr>
          <w:lang w:val="sr-Cyrl-CS"/>
        </w:rPr>
        <w:t xml:space="preserve">Зајмопримац може да повуче средства по основу Кредита тако што ће Зајмодавцу доставити исправно попуњен Захтев за повлачење средстава. Зајмопримац сваки Захтев за повлачење средстава доставља директору канцеларије АФД на адресу из </w:t>
      </w:r>
      <w:r w:rsidR="006E764D" w:rsidRPr="00895819">
        <w:rPr>
          <w:lang w:val="sr-Cyrl-CS"/>
        </w:rPr>
        <w:t>ч</w:t>
      </w:r>
      <w:r w:rsidR="00F85EFD" w:rsidRPr="00895819">
        <w:rPr>
          <w:lang w:val="sr-Cyrl-CS"/>
        </w:rPr>
        <w:t xml:space="preserve">лана </w:t>
      </w:r>
      <w:r w:rsidR="001D173F" w:rsidRPr="00895819">
        <w:rPr>
          <w:lang w:val="sr-Cyrl-CS"/>
        </w:rPr>
        <w:t xml:space="preserve">16.1 </w:t>
      </w:r>
      <w:r w:rsidR="001D173F" w:rsidRPr="00895819">
        <w:rPr>
          <w:i/>
          <w:lang w:val="sr-Cyrl-CS"/>
        </w:rPr>
        <w:t>(Писана комуникација и адресе).</w:t>
      </w:r>
    </w:p>
    <w:p w14:paraId="106116A1" w14:textId="2681F2DD" w:rsidR="007E40FF" w:rsidRPr="00895819" w:rsidRDefault="000F181A" w:rsidP="000F181A">
      <w:pPr>
        <w:pStyle w:val="AATitre4"/>
        <w:numPr>
          <w:ilvl w:val="0"/>
          <w:numId w:val="0"/>
        </w:numPr>
        <w:ind w:left="1440" w:hanging="720"/>
        <w:rPr>
          <w:lang w:val="sr-Cyrl-CS"/>
        </w:rPr>
      </w:pPr>
      <w:r w:rsidRPr="00895819">
        <w:rPr>
          <w:lang w:val="sr-Cyrl-CS"/>
        </w:rPr>
        <w:t>(б)</w:t>
      </w:r>
      <w:r w:rsidRPr="00895819">
        <w:rPr>
          <w:lang w:val="sr-Cyrl-CS"/>
        </w:rPr>
        <w:tab/>
      </w:r>
      <w:r w:rsidR="00F85EFD" w:rsidRPr="00895819">
        <w:rPr>
          <w:lang w:val="sr-Cyrl-CS"/>
        </w:rPr>
        <w:t xml:space="preserve">У погледу Повлачења </w:t>
      </w:r>
      <w:r w:rsidR="006E764D" w:rsidRPr="00895819">
        <w:rPr>
          <w:lang w:val="sr-Cyrl-CS"/>
        </w:rPr>
        <w:t>транше б</w:t>
      </w:r>
      <w:r w:rsidR="00F85EFD" w:rsidRPr="00895819">
        <w:rPr>
          <w:lang w:val="sr-Cyrl-CS"/>
        </w:rPr>
        <w:t>уџетске подршке</w:t>
      </w:r>
      <w:r w:rsidR="007E40FF" w:rsidRPr="00895819">
        <w:rPr>
          <w:lang w:val="sr-Cyrl-CS"/>
        </w:rPr>
        <w:t xml:space="preserve">, </w:t>
      </w:r>
      <w:r w:rsidR="00F85EFD" w:rsidRPr="00895819">
        <w:rPr>
          <w:lang w:val="sr-Cyrl-CS"/>
        </w:rPr>
        <w:t>Зајмопримац може – без обзира на одредбе клаузуле 2.4(б)(ц) и Дела</w:t>
      </w:r>
      <w:r w:rsidR="007E40FF" w:rsidRPr="00895819">
        <w:rPr>
          <w:lang w:val="sr-Cyrl-CS"/>
        </w:rPr>
        <w:t xml:space="preserve"> IV </w:t>
      </w:r>
      <w:r w:rsidR="00F85EFD" w:rsidRPr="00895819">
        <w:rPr>
          <w:lang w:val="sr-Cyrl-CS"/>
        </w:rPr>
        <w:t>Прилога</w:t>
      </w:r>
      <w:r w:rsidR="007E40FF" w:rsidRPr="00895819">
        <w:rPr>
          <w:lang w:val="sr-Cyrl-CS"/>
        </w:rPr>
        <w:t xml:space="preserve"> 4 (</w:t>
      </w:r>
      <w:r w:rsidR="00806DFD" w:rsidRPr="00895819">
        <w:rPr>
          <w:i/>
          <w:lang w:val="sr-Cyrl-CS"/>
        </w:rPr>
        <w:t>Претходни услови</w:t>
      </w:r>
      <w:r w:rsidR="007E40FF" w:rsidRPr="00895819">
        <w:rPr>
          <w:lang w:val="sr-Cyrl-CS"/>
        </w:rPr>
        <w:t xml:space="preserve">) - </w:t>
      </w:r>
      <w:r w:rsidR="00F85EFD" w:rsidRPr="00895819">
        <w:rPr>
          <w:lang w:val="sr-Cyrl-CS"/>
        </w:rPr>
        <w:t xml:space="preserve">повући износ који не прелази шеснаест милиона и петсто хиљада евра (16.500.000 </w:t>
      </w:r>
      <w:r w:rsidR="00E679F9" w:rsidRPr="00895819">
        <w:rPr>
          <w:lang w:val="sr-Cyrl-CS"/>
        </w:rPr>
        <w:t>ЕУР</w:t>
      </w:r>
      <w:r w:rsidR="00F85EFD" w:rsidRPr="00895819">
        <w:rPr>
          <w:lang w:val="sr-Cyrl-CS"/>
        </w:rPr>
        <w:t xml:space="preserve">) као аванс у односу на будуће постизање једног или више ДЛР – међутим, под условом да ако релевантни ДЛР, по мишљењу Зајмодавца, нису постигнути или </w:t>
      </w:r>
      <w:r w:rsidR="006E764D" w:rsidRPr="00895819">
        <w:rPr>
          <w:lang w:val="sr-Cyrl-CS"/>
        </w:rPr>
        <w:lastRenderedPageBreak/>
        <w:t xml:space="preserve">су </w:t>
      </w:r>
      <w:r w:rsidR="00F85EFD" w:rsidRPr="00895819">
        <w:rPr>
          <w:lang w:val="sr-Cyrl-CS"/>
        </w:rPr>
        <w:t>само делимично остварени до рока за повлачење средстава, Зајмопримац ће вратити такав аванс</w:t>
      </w:r>
      <w:r w:rsidR="007E40FF" w:rsidRPr="00895819">
        <w:rPr>
          <w:lang w:val="sr-Cyrl-CS"/>
        </w:rPr>
        <w:t xml:space="preserve"> </w:t>
      </w:r>
      <w:r w:rsidR="0092627C" w:rsidRPr="00895819">
        <w:rPr>
          <w:lang w:val="sr-Cyrl-CS"/>
        </w:rPr>
        <w:t xml:space="preserve">Зајмодавцу </w:t>
      </w:r>
      <w:r w:rsidR="007E40FF" w:rsidRPr="00895819">
        <w:rPr>
          <w:lang w:val="sr-Cyrl-CS"/>
        </w:rPr>
        <w:t>(</w:t>
      </w:r>
      <w:r w:rsidR="0092627C" w:rsidRPr="00895819">
        <w:rPr>
          <w:lang w:val="sr-Cyrl-CS"/>
        </w:rPr>
        <w:t>или део који одговара таквом авансу који одговара неоствареном делу ДЛР, како је одредио Зајмодавац</w:t>
      </w:r>
      <w:r w:rsidR="007E40FF" w:rsidRPr="00895819">
        <w:rPr>
          <w:lang w:val="sr-Cyrl-CS"/>
        </w:rPr>
        <w:t xml:space="preserve">). </w:t>
      </w:r>
      <w:r w:rsidR="0092627C" w:rsidRPr="00895819">
        <w:rPr>
          <w:lang w:val="sr-Cyrl-CS"/>
        </w:rPr>
        <w:t>Осим ако је другачије договорено са Зајмопримцем, Зајмодавац ће поништити тако рефундиран износ. Свако даље повлачење захтевано као аванс у оквиру Буџетске подршке биће дозвољено само под условима које Зајмодавац наведе у обавештењу Зајмопримцу</w:t>
      </w:r>
      <w:r w:rsidR="007E40FF" w:rsidRPr="00895819">
        <w:rPr>
          <w:lang w:val="sr-Cyrl-CS"/>
        </w:rPr>
        <w:t>.</w:t>
      </w:r>
    </w:p>
    <w:p w14:paraId="77ADCC91" w14:textId="2F6C03DC" w:rsidR="00B16F8D" w:rsidRPr="00895819" w:rsidRDefault="000F181A" w:rsidP="000F181A">
      <w:pPr>
        <w:pStyle w:val="AATitre4"/>
        <w:numPr>
          <w:ilvl w:val="0"/>
          <w:numId w:val="0"/>
        </w:numPr>
        <w:ind w:left="1440" w:hanging="720"/>
        <w:rPr>
          <w:lang w:val="sr-Cyrl-CS"/>
        </w:rPr>
      </w:pPr>
      <w:r w:rsidRPr="00895819">
        <w:rPr>
          <w:lang w:val="sr-Cyrl-CS"/>
        </w:rPr>
        <w:t>(ц)</w:t>
      </w:r>
      <w:r w:rsidRPr="00895819">
        <w:rPr>
          <w:lang w:val="sr-Cyrl-CS"/>
        </w:rPr>
        <w:tab/>
      </w:r>
      <w:r w:rsidR="008E4B95" w:rsidRPr="00895819">
        <w:rPr>
          <w:lang w:val="sr-Cyrl-CS"/>
        </w:rPr>
        <w:t xml:space="preserve">У погледу повлачења средстава из Транше техничке помоћи, електронска копија Захтева за повлачење, прописно попуњена и потписана, заједно са свим пратећим документима потребним за испуњење релевантних претходних услова, прво ће бити достављена Суфинансијеру, истовремено са подношењем релевантног Захтева за повлачење средстава из кредита ИБРД-а, у складу са одредбама и условима </w:t>
      </w:r>
      <w:r w:rsidR="009609FE" w:rsidRPr="00895819">
        <w:rPr>
          <w:lang w:val="sr-Cyrl-CS"/>
        </w:rPr>
        <w:t>Споразума о зајму</w:t>
      </w:r>
      <w:r w:rsidR="008E4B95" w:rsidRPr="00895819">
        <w:rPr>
          <w:lang w:val="sr-Cyrl-CS"/>
        </w:rPr>
        <w:t xml:space="preserve"> ИБРД-а</w:t>
      </w:r>
      <w:r w:rsidR="00B16F8D" w:rsidRPr="00895819">
        <w:rPr>
          <w:lang w:val="sr-Cyrl-CS"/>
        </w:rPr>
        <w:t>.</w:t>
      </w:r>
    </w:p>
    <w:p w14:paraId="618DCBB6" w14:textId="77777777" w:rsidR="00B16F8D" w:rsidRPr="00895819" w:rsidRDefault="004F0BE3" w:rsidP="000F181A">
      <w:pPr>
        <w:pStyle w:val="Corpsdetexte21"/>
        <w:ind w:left="1440"/>
        <w:rPr>
          <w:lang w:val="sr-Cyrl-CS"/>
        </w:rPr>
      </w:pPr>
      <w:r w:rsidRPr="00895819">
        <w:rPr>
          <w:lang w:val="sr-Cyrl-CS"/>
        </w:rPr>
        <w:t xml:space="preserve">Исплата из Транше техничке помоћи вршиће се у складу са инструкцијама из Писма </w:t>
      </w:r>
      <w:r w:rsidR="008C0037" w:rsidRPr="00895819">
        <w:rPr>
          <w:lang w:val="sr-Cyrl-CS"/>
        </w:rPr>
        <w:t>o повлачењу средстава и финансијским информацијама (ДФИЛ), ажурираном по потреби, које је издао Суфинансијер.</w:t>
      </w:r>
    </w:p>
    <w:p w14:paraId="17CCFAD5" w14:textId="1AE033D0" w:rsidR="00B16F8D" w:rsidRPr="00895819" w:rsidRDefault="00727940" w:rsidP="0014395A">
      <w:pPr>
        <w:pStyle w:val="Corpsdetexte21"/>
        <w:ind w:left="1440" w:hanging="24"/>
        <w:rPr>
          <w:lang w:val="sr-Cyrl-CS"/>
        </w:rPr>
      </w:pPr>
      <w:r w:rsidRPr="00895819">
        <w:rPr>
          <w:lang w:val="sr-Cyrl-CS"/>
        </w:rPr>
        <w:t xml:space="preserve">Осим ако Зајмодавац не одобри изузетак, сваки Захтев за повлачење биће поднет истовремено са Захтевом за повлачење према </w:t>
      </w:r>
      <w:r w:rsidR="009609FE" w:rsidRPr="00895819">
        <w:rPr>
          <w:lang w:val="sr-Cyrl-CS"/>
        </w:rPr>
        <w:t xml:space="preserve">Споразуму о зајму ИБРД-а </w:t>
      </w:r>
      <w:r w:rsidRPr="00895819">
        <w:rPr>
          <w:lang w:val="sr-Cyrl-CS"/>
        </w:rPr>
        <w:t xml:space="preserve">за одговарајуће износе који ће задовољити </w:t>
      </w:r>
      <w:r w:rsidR="00B16F8D" w:rsidRPr="00895819">
        <w:rPr>
          <w:i/>
          <w:lang w:val="sr-Cyrl-CS"/>
        </w:rPr>
        <w:t>pari passu</w:t>
      </w:r>
      <w:r w:rsidR="00B16F8D" w:rsidRPr="00895819">
        <w:rPr>
          <w:lang w:val="sr-Cyrl-CS"/>
        </w:rPr>
        <w:t xml:space="preserve"> </w:t>
      </w:r>
      <w:r w:rsidRPr="00895819">
        <w:rPr>
          <w:lang w:val="sr-Cyrl-CS"/>
        </w:rPr>
        <w:t xml:space="preserve">финансирање наведено у Програму </w:t>
      </w:r>
      <w:r w:rsidR="00B16F8D" w:rsidRPr="00895819">
        <w:rPr>
          <w:lang w:val="sr-Cyrl-CS"/>
        </w:rPr>
        <w:t>3A (</w:t>
      </w:r>
      <w:r w:rsidRPr="00895819">
        <w:rPr>
          <w:i/>
          <w:lang w:val="sr-Cyrl-CS"/>
        </w:rPr>
        <w:t>План финансирања</w:t>
      </w:r>
      <w:r w:rsidR="00B16F8D" w:rsidRPr="00895819">
        <w:rPr>
          <w:lang w:val="sr-Cyrl-CS"/>
        </w:rPr>
        <w:t xml:space="preserve">). </w:t>
      </w:r>
    </w:p>
    <w:p w14:paraId="2DBF7E91" w14:textId="06290800" w:rsidR="00B16F8D" w:rsidRPr="00895819" w:rsidRDefault="0014395A" w:rsidP="0014395A">
      <w:pPr>
        <w:pStyle w:val="AATitre4"/>
        <w:numPr>
          <w:ilvl w:val="0"/>
          <w:numId w:val="0"/>
        </w:numPr>
        <w:ind w:left="1440" w:hanging="720"/>
        <w:rPr>
          <w:lang w:val="sr-Cyrl-CS"/>
        </w:rPr>
      </w:pPr>
      <w:r w:rsidRPr="00895819">
        <w:rPr>
          <w:lang w:val="sr-Cyrl-CS"/>
        </w:rPr>
        <w:t>(д)</w:t>
      </w:r>
      <w:r w:rsidRPr="00895819">
        <w:rPr>
          <w:lang w:val="sr-Cyrl-CS"/>
        </w:rPr>
        <w:tab/>
      </w:r>
      <w:r w:rsidR="00F85EFD" w:rsidRPr="00895819">
        <w:rPr>
          <w:lang w:val="sr-Cyrl-CS"/>
        </w:rPr>
        <w:t>Сваки Захтев за повлачење средстава је неопозив и сматра се да је исправно попуњен</w:t>
      </w:r>
      <w:r w:rsidR="002F473C" w:rsidRPr="00895819">
        <w:rPr>
          <w:lang w:val="sr-Cyrl-CS"/>
        </w:rPr>
        <w:t xml:space="preserve"> ако је</w:t>
      </w:r>
      <w:r w:rsidR="00B16F8D" w:rsidRPr="00895819">
        <w:rPr>
          <w:lang w:val="sr-Cyrl-CS"/>
        </w:rPr>
        <w:t xml:space="preserve">: </w:t>
      </w:r>
    </w:p>
    <w:p w14:paraId="26675B91" w14:textId="0BCCAD93" w:rsidR="00B16F8D" w:rsidRPr="00895819" w:rsidRDefault="00E96664" w:rsidP="004758A9">
      <w:pPr>
        <w:pStyle w:val="AATitre7"/>
        <w:rPr>
          <w:lang w:val="sr-Cyrl-CS"/>
        </w:rPr>
      </w:pPr>
      <w:r w:rsidRPr="00895819">
        <w:rPr>
          <w:lang w:val="sr-Cyrl-CS"/>
        </w:rPr>
        <w:t>захтев за повлачење средстава у суштини у форми дефинисаној у Прилогу 5A (</w:t>
      </w:r>
      <w:r w:rsidRPr="00895819">
        <w:rPr>
          <w:i/>
          <w:lang w:val="sr-Cyrl-CS"/>
        </w:rPr>
        <w:t xml:space="preserve">Образац захтева за </w:t>
      </w:r>
      <w:r w:rsidR="0080710A" w:rsidRPr="00895819">
        <w:rPr>
          <w:i/>
          <w:lang w:val="sr-Cyrl-CS"/>
        </w:rPr>
        <w:t>повлачење средстава</w:t>
      </w:r>
      <w:r w:rsidR="004758A9" w:rsidRPr="00895819">
        <w:rPr>
          <w:lang w:val="sr-Cyrl-CS"/>
        </w:rPr>
        <w:t>)</w:t>
      </w:r>
      <w:r w:rsidR="00B16F8D" w:rsidRPr="00895819">
        <w:rPr>
          <w:lang w:val="sr-Cyrl-CS"/>
        </w:rPr>
        <w:t>;</w:t>
      </w:r>
    </w:p>
    <w:p w14:paraId="663089D0" w14:textId="77777777" w:rsidR="00B16F8D" w:rsidRPr="00895819" w:rsidRDefault="00E96664" w:rsidP="00B16F8D">
      <w:pPr>
        <w:pStyle w:val="AATitre7"/>
        <w:rPr>
          <w:lang w:val="sr-Cyrl-CS"/>
        </w:rPr>
      </w:pPr>
      <w:r w:rsidRPr="00895819">
        <w:rPr>
          <w:lang w:val="sr-Cyrl-CS"/>
        </w:rPr>
        <w:t>Зајмодавац Захтев за повлачење средстава примио најкасније петнаест (15) Радних дана пре Рока за повлачење средстава</w:t>
      </w:r>
      <w:r w:rsidR="00B16F8D" w:rsidRPr="00895819">
        <w:rPr>
          <w:lang w:val="sr-Cyrl-CS"/>
        </w:rPr>
        <w:t>;</w:t>
      </w:r>
    </w:p>
    <w:p w14:paraId="6F23DCFB" w14:textId="77777777" w:rsidR="00B16F8D" w:rsidRPr="00895819" w:rsidRDefault="00E96664" w:rsidP="00B16F8D">
      <w:pPr>
        <w:pStyle w:val="AATitre7"/>
        <w:rPr>
          <w:lang w:val="sr-Cyrl-CS"/>
        </w:rPr>
      </w:pPr>
      <w:r w:rsidRPr="00895819">
        <w:rPr>
          <w:lang w:val="sr-Cyrl-CS"/>
        </w:rPr>
        <w:t>предложени Датум повлачења средстава радни дан који пада током Периода расположивости</w:t>
      </w:r>
      <w:r w:rsidR="00B16F8D" w:rsidRPr="00895819">
        <w:rPr>
          <w:lang w:val="sr-Cyrl-CS"/>
        </w:rPr>
        <w:t>;</w:t>
      </w:r>
    </w:p>
    <w:p w14:paraId="4DE18304" w14:textId="2BA53C65" w:rsidR="00B16F8D" w:rsidRPr="00895819" w:rsidRDefault="00435603" w:rsidP="000D485C">
      <w:pPr>
        <w:pStyle w:val="AATitre7"/>
        <w:rPr>
          <w:lang w:val="sr-Cyrl-CS"/>
        </w:rPr>
      </w:pPr>
      <w:r w:rsidRPr="00895819">
        <w:rPr>
          <w:lang w:val="sr-Cyrl-CS"/>
        </w:rPr>
        <w:t>износ Повлачења ср</w:t>
      </w:r>
      <w:r w:rsidR="00105171" w:rsidRPr="00895819">
        <w:rPr>
          <w:lang w:val="sr-Cyrl-CS"/>
        </w:rPr>
        <w:t>едстава у складу са ч</w:t>
      </w:r>
      <w:r w:rsidRPr="00895819">
        <w:rPr>
          <w:lang w:val="sr-Cyrl-CS"/>
        </w:rPr>
        <w:t xml:space="preserve">ланом </w:t>
      </w:r>
      <w:r w:rsidR="000D485C" w:rsidRPr="00895819">
        <w:rPr>
          <w:lang w:val="sr-Cyrl-CS"/>
        </w:rPr>
        <w:t>3.1 (</w:t>
      </w:r>
      <w:r w:rsidRPr="00895819">
        <w:rPr>
          <w:i/>
          <w:lang w:val="sr-Cyrl-CS"/>
        </w:rPr>
        <w:t>Број повлачења</w:t>
      </w:r>
      <w:r w:rsidR="000D485C" w:rsidRPr="00895819">
        <w:rPr>
          <w:lang w:val="sr-Cyrl-CS"/>
        </w:rPr>
        <w:t>)</w:t>
      </w:r>
      <w:r w:rsidR="00B16F8D" w:rsidRPr="00895819">
        <w:rPr>
          <w:lang w:val="sr-Cyrl-CS"/>
        </w:rPr>
        <w:t xml:space="preserve">; </w:t>
      </w:r>
      <w:r w:rsidRPr="00895819">
        <w:rPr>
          <w:lang w:val="sr-Cyrl-CS"/>
        </w:rPr>
        <w:t>и</w:t>
      </w:r>
    </w:p>
    <w:p w14:paraId="5F6C17C7" w14:textId="18D9D8C0" w:rsidR="00B16F8D" w:rsidRPr="00895819" w:rsidRDefault="00DF468C" w:rsidP="00D15D1A">
      <w:pPr>
        <w:pStyle w:val="AATitre7"/>
        <w:rPr>
          <w:lang w:val="sr-Cyrl-CS"/>
        </w:rPr>
      </w:pPr>
      <w:r w:rsidRPr="00895819">
        <w:rPr>
          <w:lang w:val="sr-Cyrl-CS"/>
        </w:rPr>
        <w:t xml:space="preserve">ако су </w:t>
      </w:r>
      <w:r w:rsidR="00E96664" w:rsidRPr="00895819">
        <w:rPr>
          <w:lang w:val="sr-Cyrl-CS"/>
        </w:rPr>
        <w:t xml:space="preserve">сва документа наведена у Делу </w:t>
      </w:r>
      <w:r w:rsidRPr="00895819">
        <w:rPr>
          <w:lang w:val="sr-Cyrl-CS"/>
        </w:rPr>
        <w:t xml:space="preserve">III и/или IV </w:t>
      </w:r>
      <w:r w:rsidR="00E96664" w:rsidRPr="00895819">
        <w:rPr>
          <w:lang w:val="sr-Cyrl-CS"/>
        </w:rPr>
        <w:t>Прилога 4 (</w:t>
      </w:r>
      <w:r w:rsidR="00E96664" w:rsidRPr="00895819">
        <w:rPr>
          <w:i/>
          <w:lang w:val="sr-Cyrl-CS"/>
        </w:rPr>
        <w:t>Пре</w:t>
      </w:r>
      <w:r w:rsidR="0076166C" w:rsidRPr="00895819">
        <w:rPr>
          <w:i/>
          <w:lang w:val="sr-Cyrl-CS"/>
        </w:rPr>
        <w:t>тходни услови</w:t>
      </w:r>
      <w:r w:rsidR="00E96664" w:rsidRPr="00895819">
        <w:rPr>
          <w:lang w:val="sr-Cyrl-CS"/>
        </w:rPr>
        <w:t>), зависно од случаја</w:t>
      </w:r>
      <w:r w:rsidR="00606825" w:rsidRPr="00895819">
        <w:rPr>
          <w:lang w:val="sr-Cyrl-CS"/>
        </w:rPr>
        <w:t>,</w:t>
      </w:r>
      <w:r w:rsidR="00E96664" w:rsidRPr="00895819">
        <w:rPr>
          <w:lang w:val="sr-Cyrl-CS"/>
        </w:rPr>
        <w:t xml:space="preserve"> за потребе Повлачења средстава приложени уз Захтев за повлачење средстава, у складу са горе поменутим Прилогом и захтевима наведеним у члану 3.4 </w:t>
      </w:r>
      <w:r w:rsidR="000D485C" w:rsidRPr="00895819">
        <w:rPr>
          <w:lang w:val="sr-Cyrl-CS"/>
        </w:rPr>
        <w:t>(</w:t>
      </w:r>
      <w:r w:rsidR="00E96664" w:rsidRPr="00895819">
        <w:rPr>
          <w:i/>
          <w:lang w:val="sr-Cyrl-CS"/>
        </w:rPr>
        <w:t xml:space="preserve">Методе </w:t>
      </w:r>
      <w:r w:rsidR="00FF5F25" w:rsidRPr="00895819">
        <w:rPr>
          <w:i/>
          <w:lang w:val="sr-Cyrl-CS"/>
        </w:rPr>
        <w:t>исплате</w:t>
      </w:r>
      <w:r w:rsidR="000D485C" w:rsidRPr="00895819">
        <w:rPr>
          <w:lang w:val="sr-Cyrl-CS"/>
        </w:rPr>
        <w:t>)</w:t>
      </w:r>
      <w:r w:rsidR="00B16F8D" w:rsidRPr="00895819">
        <w:rPr>
          <w:lang w:val="sr-Cyrl-CS"/>
        </w:rPr>
        <w:t xml:space="preserve">, </w:t>
      </w:r>
      <w:r w:rsidR="0080710A" w:rsidRPr="00895819">
        <w:rPr>
          <w:lang w:val="sr-Cyrl-CS"/>
        </w:rPr>
        <w:t>и у форми и садржини задовољавајућим</w:t>
      </w:r>
      <w:r w:rsidR="00E96664" w:rsidRPr="00895819">
        <w:rPr>
          <w:lang w:val="sr-Cyrl-CS"/>
        </w:rPr>
        <w:t xml:space="preserve"> за Зајмодавца</w:t>
      </w:r>
      <w:r w:rsidR="00B16F8D" w:rsidRPr="00895819">
        <w:rPr>
          <w:lang w:val="sr-Cyrl-CS"/>
        </w:rPr>
        <w:t>.</w:t>
      </w:r>
    </w:p>
    <w:p w14:paraId="50D919A3" w14:textId="77777777" w:rsidR="00B16F8D" w:rsidRPr="00895819" w:rsidRDefault="005961CF" w:rsidP="000F181A">
      <w:pPr>
        <w:pStyle w:val="AATitre2"/>
        <w:rPr>
          <w:u w:val="none"/>
          <w:lang w:val="sr-Cyrl-CS"/>
        </w:rPr>
      </w:pPr>
      <w:bookmarkStart w:id="13" w:name="_Toc135947131"/>
      <w:r w:rsidRPr="00895819">
        <w:rPr>
          <w:lang w:val="sr-Cyrl-CS"/>
        </w:rPr>
        <w:t>Извршење плаћања</w:t>
      </w:r>
      <w:bookmarkEnd w:id="13"/>
    </w:p>
    <w:p w14:paraId="33B97515" w14:textId="77777777" w:rsidR="00B16F8D" w:rsidRPr="00895819" w:rsidRDefault="005961CF" w:rsidP="00B16F8D">
      <w:pPr>
        <w:pStyle w:val="AATitre3"/>
        <w:rPr>
          <w:lang w:val="sr-Cyrl-CS"/>
        </w:rPr>
      </w:pPr>
      <w:r w:rsidRPr="00895819">
        <w:rPr>
          <w:lang w:val="sr-Cyrl-CS"/>
        </w:rPr>
        <w:t>Извршење плаћања Транше буџетске подршке</w:t>
      </w:r>
    </w:p>
    <w:p w14:paraId="6CCD6B8F" w14:textId="44D09126" w:rsidR="00B16F8D" w:rsidRPr="00895819" w:rsidRDefault="005961CF" w:rsidP="00B16F8D">
      <w:pPr>
        <w:pStyle w:val="BodyText1"/>
        <w:rPr>
          <w:lang w:val="sr-Cyrl-CS"/>
        </w:rPr>
      </w:pPr>
      <w:r w:rsidRPr="00895819">
        <w:rPr>
          <w:lang w:val="sr-Cyrl-CS"/>
        </w:rPr>
        <w:t xml:space="preserve">У складу са чланом </w:t>
      </w:r>
      <w:r w:rsidR="000D485C" w:rsidRPr="00895819">
        <w:rPr>
          <w:lang w:val="sr-Cyrl-CS"/>
        </w:rPr>
        <w:t xml:space="preserve">14.7 </w:t>
      </w:r>
      <w:r w:rsidR="001D173F" w:rsidRPr="00895819">
        <w:rPr>
          <w:lang w:val="sr-Cyrl-CS"/>
        </w:rPr>
        <w:t>(</w:t>
      </w:r>
      <w:r w:rsidR="001D173F" w:rsidRPr="00895819">
        <w:rPr>
          <w:i/>
          <w:lang w:val="sr-Cyrl-CS"/>
        </w:rPr>
        <w:t>Поремећај платног промета</w:t>
      </w:r>
      <w:r w:rsidR="001D173F" w:rsidRPr="00895819">
        <w:rPr>
          <w:lang w:val="sr-Cyrl-CS"/>
        </w:rPr>
        <w:t xml:space="preserve">) </w:t>
      </w:r>
      <w:r w:rsidRPr="00895819">
        <w:rPr>
          <w:lang w:val="sr-Cyrl-CS"/>
        </w:rPr>
        <w:t xml:space="preserve">ако су испуњени сви услови наведени у члану 2.4(б) </w:t>
      </w:r>
      <w:r w:rsidR="005844C1" w:rsidRPr="00895819">
        <w:rPr>
          <w:lang w:val="sr-Cyrl-CS"/>
        </w:rPr>
        <w:t>(</w:t>
      </w:r>
      <w:r w:rsidR="005844C1" w:rsidRPr="00895819">
        <w:rPr>
          <w:i/>
          <w:lang w:val="sr-Cyrl-CS"/>
        </w:rPr>
        <w:t>Претходни услови</w:t>
      </w:r>
      <w:r w:rsidR="005844C1" w:rsidRPr="00895819">
        <w:rPr>
          <w:lang w:val="sr-Cyrl-CS"/>
        </w:rPr>
        <w:t xml:space="preserve">) </w:t>
      </w:r>
      <w:r w:rsidR="009609FE" w:rsidRPr="00895819">
        <w:rPr>
          <w:lang w:val="sr-Cyrl-CS"/>
        </w:rPr>
        <w:t>овог у</w:t>
      </w:r>
      <w:r w:rsidRPr="00895819">
        <w:rPr>
          <w:lang w:val="sr-Cyrl-CS"/>
        </w:rPr>
        <w:t>говора, Зајмодавац ће ставити Зајмопримцу на располагање тражена средства најкасније до Датума повлачења средстава</w:t>
      </w:r>
      <w:r w:rsidR="00B16F8D" w:rsidRPr="00895819">
        <w:rPr>
          <w:lang w:val="sr-Cyrl-CS"/>
        </w:rPr>
        <w:t>.</w:t>
      </w:r>
    </w:p>
    <w:p w14:paraId="1FA4515A" w14:textId="7E324545" w:rsidR="00B16F8D" w:rsidRPr="00895819" w:rsidRDefault="005961CF" w:rsidP="00B16F8D">
      <w:pPr>
        <w:pStyle w:val="BodyText1"/>
        <w:rPr>
          <w:lang w:val="sr-Cyrl-CS"/>
        </w:rPr>
      </w:pPr>
      <w:r w:rsidRPr="00895819">
        <w:rPr>
          <w:lang w:val="sr-Cyrl-CS"/>
        </w:rPr>
        <w:t>Зајмодавац ће Зајмопримцу доставити писмо о повлачењу средстава суштински у форми дефинисаној у Прилогу 5Б (</w:t>
      </w:r>
      <w:r w:rsidR="00105171" w:rsidRPr="00895819">
        <w:rPr>
          <w:i/>
          <w:lang w:val="sr-Cyrl-CS"/>
        </w:rPr>
        <w:t>Образац потврде за повлачење средстава и стопе</w:t>
      </w:r>
      <w:r w:rsidRPr="00895819">
        <w:rPr>
          <w:lang w:val="sr-Cyrl-CS"/>
        </w:rPr>
        <w:t>).</w:t>
      </w:r>
    </w:p>
    <w:p w14:paraId="7DD19BAB" w14:textId="77777777" w:rsidR="00B16F8D" w:rsidRPr="00895819" w:rsidRDefault="0038238D" w:rsidP="00B16F8D">
      <w:pPr>
        <w:pStyle w:val="AATitre3"/>
        <w:rPr>
          <w:lang w:val="sr-Cyrl-CS"/>
        </w:rPr>
      </w:pPr>
      <w:r w:rsidRPr="00895819">
        <w:rPr>
          <w:lang w:val="sr-Cyrl-CS"/>
        </w:rPr>
        <w:lastRenderedPageBreak/>
        <w:t>Извршење плаћања Транше техничке помоћи</w:t>
      </w:r>
    </w:p>
    <w:p w14:paraId="6D4DF53E" w14:textId="77777777" w:rsidR="00B16F8D" w:rsidRPr="00895819" w:rsidRDefault="00F30FF4" w:rsidP="00B16F8D">
      <w:pPr>
        <w:pStyle w:val="Corpsdetexte21"/>
        <w:ind w:left="709"/>
        <w:rPr>
          <w:lang w:val="sr-Cyrl-CS"/>
        </w:rPr>
      </w:pPr>
      <w:r w:rsidRPr="00895819">
        <w:rPr>
          <w:lang w:val="sr-Cyrl-CS"/>
        </w:rPr>
        <w:t xml:space="preserve">Током имплементације Уговора о суфинансирању, </w:t>
      </w:r>
      <w:r w:rsidR="0038238D" w:rsidRPr="00895819">
        <w:rPr>
          <w:lang w:val="sr-Cyrl-CS"/>
        </w:rPr>
        <w:t xml:space="preserve">када Суфинансијер прими Захтев за повлачење средстава и релевантна пратећа документа наведена у члану </w:t>
      </w:r>
      <w:r w:rsidR="00B16F8D" w:rsidRPr="00895819">
        <w:rPr>
          <w:lang w:val="sr-Cyrl-CS"/>
        </w:rPr>
        <w:t>3.2</w:t>
      </w:r>
      <w:r w:rsidR="0038238D" w:rsidRPr="00895819">
        <w:rPr>
          <w:lang w:val="sr-Cyrl-CS"/>
        </w:rPr>
        <w:t>, Суфинансијер</w:t>
      </w:r>
      <w:r w:rsidR="00342764" w:rsidRPr="00895819">
        <w:rPr>
          <w:lang w:val="sr-Cyrl-CS"/>
        </w:rPr>
        <w:t xml:space="preserve"> ће</w:t>
      </w:r>
      <w:r w:rsidR="0038238D" w:rsidRPr="00895819">
        <w:rPr>
          <w:lang w:val="sr-Cyrl-CS"/>
        </w:rPr>
        <w:t>, у име и за рачун Зајмодавца</w:t>
      </w:r>
      <w:r w:rsidR="00B16F8D" w:rsidRPr="00895819">
        <w:rPr>
          <w:lang w:val="sr-Cyrl-CS"/>
        </w:rPr>
        <w:t xml:space="preserve">: </w:t>
      </w:r>
    </w:p>
    <w:p w14:paraId="62C62AC1" w14:textId="4EA2316A" w:rsidR="00B16F8D" w:rsidRPr="00895819" w:rsidRDefault="00FF5F25" w:rsidP="00FF5F25">
      <w:pPr>
        <w:pStyle w:val="AATitre6"/>
        <w:numPr>
          <w:ilvl w:val="0"/>
          <w:numId w:val="0"/>
        </w:numPr>
        <w:ind w:left="1530" w:hanging="720"/>
        <w:rPr>
          <w:lang w:val="sr-Cyrl-CS"/>
        </w:rPr>
      </w:pPr>
      <w:r w:rsidRPr="00895819">
        <w:rPr>
          <w:lang w:val="sr-Cyrl-CS"/>
        </w:rPr>
        <w:t>(а)</w:t>
      </w:r>
      <w:r w:rsidRPr="00895819">
        <w:rPr>
          <w:lang w:val="sr-Cyrl-CS"/>
        </w:rPr>
        <w:tab/>
      </w:r>
      <w:r w:rsidR="0038238D" w:rsidRPr="00895819">
        <w:rPr>
          <w:lang w:val="sr-Cyrl-CS"/>
        </w:rPr>
        <w:t xml:space="preserve">анализирати сва поднета пратећа документа, у складу са </w:t>
      </w:r>
      <w:r w:rsidR="00204E08" w:rsidRPr="00895819">
        <w:rPr>
          <w:lang w:val="sr-Cyrl-CS"/>
        </w:rPr>
        <w:t>својим примењивим интерним правилима и процедурама; и</w:t>
      </w:r>
    </w:p>
    <w:p w14:paraId="67632938" w14:textId="40686D59" w:rsidR="00B16F8D" w:rsidRPr="00895819" w:rsidRDefault="00FF5F25" w:rsidP="00FF5F25">
      <w:pPr>
        <w:pStyle w:val="AATitre6"/>
        <w:numPr>
          <w:ilvl w:val="0"/>
          <w:numId w:val="0"/>
        </w:numPr>
        <w:ind w:left="1530" w:hanging="720"/>
        <w:rPr>
          <w:lang w:val="sr-Cyrl-CS"/>
        </w:rPr>
      </w:pPr>
      <w:r w:rsidRPr="00895819">
        <w:rPr>
          <w:lang w:val="sr-Cyrl-CS"/>
        </w:rPr>
        <w:t>(б)</w:t>
      </w:r>
      <w:r w:rsidRPr="00895819">
        <w:rPr>
          <w:lang w:val="sr-Cyrl-CS"/>
        </w:rPr>
        <w:tab/>
      </w:r>
      <w:r w:rsidR="00F30FF4" w:rsidRPr="00895819">
        <w:rPr>
          <w:lang w:val="sr-Cyrl-CS"/>
        </w:rPr>
        <w:t>верификовати да је износ који се тражи у Захтеву за повлачење средстава у складу са захтевима суфинансирања из Уговора о суфинансирању.</w:t>
      </w:r>
      <w:r w:rsidR="00B16F8D" w:rsidRPr="00895819">
        <w:rPr>
          <w:lang w:val="sr-Cyrl-CS"/>
        </w:rPr>
        <w:t xml:space="preserve"> </w:t>
      </w:r>
    </w:p>
    <w:p w14:paraId="623133E4" w14:textId="65841FA0" w:rsidR="00B16F8D" w:rsidRPr="00895819" w:rsidRDefault="009A6DFA" w:rsidP="00B16F8D">
      <w:pPr>
        <w:pStyle w:val="AATitre6"/>
        <w:numPr>
          <w:ilvl w:val="0"/>
          <w:numId w:val="0"/>
        </w:numPr>
        <w:ind w:left="706"/>
        <w:rPr>
          <w:lang w:val="sr-Cyrl-CS"/>
        </w:rPr>
      </w:pPr>
      <w:r w:rsidRPr="00895819">
        <w:rPr>
          <w:lang w:val="sr-Cyrl-CS"/>
        </w:rPr>
        <w:t>Уколико је Суфинансијер задовољан резултатом горе поменуте анализе и верификације</w:t>
      </w:r>
      <w:r w:rsidR="00B16F8D" w:rsidRPr="00895819">
        <w:rPr>
          <w:lang w:val="sr-Cyrl-CS"/>
        </w:rPr>
        <w:t xml:space="preserve">, </w:t>
      </w:r>
      <w:r w:rsidRPr="00895819">
        <w:rPr>
          <w:lang w:val="sr-Cyrl-CS"/>
        </w:rPr>
        <w:t xml:space="preserve">он ће у писаној форми обавестити Зајмодавца о том резултату у форми обавештења о исплати </w:t>
      </w:r>
      <w:r w:rsidR="00B16F8D" w:rsidRPr="00895819">
        <w:rPr>
          <w:lang w:val="sr-Cyrl-CS"/>
        </w:rPr>
        <w:t>(</w:t>
      </w:r>
      <w:r w:rsidR="000060C0" w:rsidRPr="00895819">
        <w:rPr>
          <w:lang w:val="sr-Cyrl-CS"/>
        </w:rPr>
        <w:t>„</w:t>
      </w:r>
      <w:r w:rsidR="000060C0" w:rsidRPr="00895819">
        <w:rPr>
          <w:b/>
          <w:bCs/>
          <w:lang w:val="sr-Cyrl-CS"/>
        </w:rPr>
        <w:t>Обавештење о исплати</w:t>
      </w:r>
      <w:r w:rsidR="003963A8" w:rsidRPr="00895819">
        <w:rPr>
          <w:lang w:val="sr-Cyrl-CS"/>
        </w:rPr>
        <w:t>”</w:t>
      </w:r>
      <w:r w:rsidR="00B16F8D" w:rsidRPr="00895819">
        <w:rPr>
          <w:lang w:val="sr-Cyrl-CS"/>
        </w:rPr>
        <w:t>).</w:t>
      </w:r>
    </w:p>
    <w:p w14:paraId="14A096E9" w14:textId="231A454C" w:rsidR="00B16F8D" w:rsidRPr="00895819" w:rsidRDefault="00473A82" w:rsidP="00B16F8D">
      <w:pPr>
        <w:pStyle w:val="BodyText1"/>
        <w:rPr>
          <w:lang w:val="sr-Cyrl-CS"/>
        </w:rPr>
      </w:pPr>
      <w:r w:rsidRPr="00895819">
        <w:rPr>
          <w:lang w:val="sr-Cyrl-CS"/>
        </w:rPr>
        <w:t xml:space="preserve">У складу са чланом 14.7 </w:t>
      </w:r>
      <w:r w:rsidR="001D173F" w:rsidRPr="00895819">
        <w:rPr>
          <w:lang w:val="sr-Cyrl-CS"/>
        </w:rPr>
        <w:t>(</w:t>
      </w:r>
      <w:r w:rsidR="001D173F" w:rsidRPr="00895819">
        <w:rPr>
          <w:i/>
          <w:lang w:val="sr-Cyrl-CS"/>
        </w:rPr>
        <w:t>Поремећај платног промета</w:t>
      </w:r>
      <w:r w:rsidR="001D173F" w:rsidRPr="00895819">
        <w:rPr>
          <w:lang w:val="sr-Cyrl-CS"/>
        </w:rPr>
        <w:t xml:space="preserve">) </w:t>
      </w:r>
      <w:r w:rsidRPr="00895819">
        <w:rPr>
          <w:lang w:val="sr-Cyrl-CS"/>
        </w:rPr>
        <w:t xml:space="preserve">ако су сви услови дефинисани у члану </w:t>
      </w:r>
      <w:r w:rsidR="000D485C" w:rsidRPr="00895819">
        <w:rPr>
          <w:lang w:val="sr-Cyrl-CS"/>
        </w:rPr>
        <w:t>2.4(</w:t>
      </w:r>
      <w:r w:rsidRPr="00895819">
        <w:rPr>
          <w:lang w:val="sr-Cyrl-CS"/>
        </w:rPr>
        <w:t>б</w:t>
      </w:r>
      <w:r w:rsidR="000D485C" w:rsidRPr="00895819">
        <w:rPr>
          <w:lang w:val="sr-Cyrl-CS"/>
        </w:rPr>
        <w:t>) (</w:t>
      </w:r>
      <w:r w:rsidRPr="00895819">
        <w:rPr>
          <w:i/>
          <w:lang w:val="sr-Cyrl-CS"/>
        </w:rPr>
        <w:t>Пре</w:t>
      </w:r>
      <w:r w:rsidR="00CE08CD" w:rsidRPr="00895819">
        <w:rPr>
          <w:i/>
          <w:lang w:val="sr-Cyrl-CS"/>
        </w:rPr>
        <w:t>тходни услови</w:t>
      </w:r>
      <w:r w:rsidR="000D485C" w:rsidRPr="00895819">
        <w:rPr>
          <w:lang w:val="sr-Cyrl-CS"/>
        </w:rPr>
        <w:t>)</w:t>
      </w:r>
      <w:r w:rsidR="00B16F8D" w:rsidRPr="00895819">
        <w:rPr>
          <w:lang w:val="sr-Cyrl-CS"/>
        </w:rPr>
        <w:t xml:space="preserve"> </w:t>
      </w:r>
      <w:r w:rsidR="009609FE" w:rsidRPr="00895819">
        <w:rPr>
          <w:lang w:val="sr-Cyrl-CS"/>
        </w:rPr>
        <w:t>овог у</w:t>
      </w:r>
      <w:r w:rsidRPr="00895819">
        <w:rPr>
          <w:lang w:val="sr-Cyrl-CS"/>
        </w:rPr>
        <w:t>говора испуњени, Зајмодавац ће ставити Зајмопримцу на располагање захтевано Повлачење средстава најкасније на Да</w:t>
      </w:r>
      <w:r w:rsidR="00717716" w:rsidRPr="00895819">
        <w:rPr>
          <w:lang w:val="sr-Cyrl-CS"/>
        </w:rPr>
        <w:t>тум</w:t>
      </w:r>
      <w:r w:rsidRPr="00895819">
        <w:rPr>
          <w:lang w:val="sr-Cyrl-CS"/>
        </w:rPr>
        <w:t xml:space="preserve"> повлачења средстава</w:t>
      </w:r>
      <w:r w:rsidR="00B16F8D" w:rsidRPr="00895819">
        <w:rPr>
          <w:lang w:val="sr-Cyrl-CS"/>
        </w:rPr>
        <w:t>.</w:t>
      </w:r>
    </w:p>
    <w:p w14:paraId="6FCA1D64" w14:textId="6363E295" w:rsidR="00B16F8D" w:rsidRPr="00895819" w:rsidRDefault="00473A82" w:rsidP="007E40FF">
      <w:pPr>
        <w:pStyle w:val="BodyText1"/>
        <w:rPr>
          <w:lang w:val="sr-Cyrl-CS"/>
        </w:rPr>
      </w:pPr>
      <w:r w:rsidRPr="00895819">
        <w:rPr>
          <w:lang w:val="sr-Cyrl-CS"/>
        </w:rPr>
        <w:t>Зајмодавац ће Зајмопримцу доставити писмо о потврди Повлачења средстава које ће у највећој мери бити сачињено у складу са обрасцем из Прилога 5Б</w:t>
      </w:r>
      <w:r w:rsidR="004758A9" w:rsidRPr="00895819">
        <w:rPr>
          <w:lang w:val="sr-Cyrl-CS"/>
        </w:rPr>
        <w:t xml:space="preserve"> (</w:t>
      </w:r>
      <w:r w:rsidR="00FF5F25" w:rsidRPr="00895819">
        <w:rPr>
          <w:i/>
          <w:lang w:val="sr-Cyrl-CS"/>
        </w:rPr>
        <w:t>Образац потврде за повлачење средстава и стопе</w:t>
      </w:r>
      <w:r w:rsidR="004758A9" w:rsidRPr="00895819">
        <w:rPr>
          <w:lang w:val="sr-Cyrl-CS"/>
        </w:rPr>
        <w:t>)</w:t>
      </w:r>
      <w:r w:rsidR="007E40FF" w:rsidRPr="00895819">
        <w:rPr>
          <w:lang w:val="sr-Cyrl-CS"/>
        </w:rPr>
        <w:t>.</w:t>
      </w:r>
    </w:p>
    <w:p w14:paraId="37D680BC" w14:textId="77777777" w:rsidR="00B16F8D" w:rsidRPr="00895819" w:rsidRDefault="009A6DFA" w:rsidP="000F181A">
      <w:pPr>
        <w:pStyle w:val="AATitre2"/>
        <w:rPr>
          <w:u w:val="none"/>
          <w:lang w:val="sr-Cyrl-CS"/>
        </w:rPr>
      </w:pPr>
      <w:bookmarkStart w:id="14" w:name="_Toc135947132"/>
      <w:r w:rsidRPr="00895819">
        <w:rPr>
          <w:lang w:val="sr-Cyrl-CS"/>
        </w:rPr>
        <w:t>Методе исплате</w:t>
      </w:r>
      <w:bookmarkEnd w:id="14"/>
    </w:p>
    <w:p w14:paraId="3B158C6E" w14:textId="77777777" w:rsidR="00B16F8D" w:rsidRPr="00895819" w:rsidRDefault="00560C15" w:rsidP="00B16F8D">
      <w:pPr>
        <w:pStyle w:val="AATitre3"/>
        <w:rPr>
          <w:lang w:val="sr-Cyrl-CS"/>
        </w:rPr>
      </w:pPr>
      <w:r w:rsidRPr="00895819">
        <w:rPr>
          <w:lang w:val="sr-Cyrl-CS"/>
        </w:rPr>
        <w:t>Методе исплате Транше буџетске подршке</w:t>
      </w:r>
    </w:p>
    <w:p w14:paraId="44B93386" w14:textId="77777777" w:rsidR="00B16F8D" w:rsidRPr="00895819" w:rsidRDefault="00560C15" w:rsidP="00B16F8D">
      <w:pPr>
        <w:pStyle w:val="BodyText1"/>
        <w:rPr>
          <w:lang w:val="sr-Cyrl-CS"/>
        </w:rPr>
      </w:pPr>
      <w:r w:rsidRPr="00895819">
        <w:rPr>
          <w:lang w:val="sr-Cyrl-CS"/>
        </w:rPr>
        <w:t>Средства Транше буџетске подршке биће уплаћена на Рачун трезора Зајмопримца или било који други рачун о чему ће Зајмопримац прописно обавестити Зајмодавца</w:t>
      </w:r>
      <w:r w:rsidR="00B16F8D" w:rsidRPr="00895819">
        <w:rPr>
          <w:lang w:val="sr-Cyrl-CS"/>
        </w:rPr>
        <w:t>.</w:t>
      </w:r>
    </w:p>
    <w:p w14:paraId="0FFA742C" w14:textId="77777777" w:rsidR="00B16F8D" w:rsidRPr="00895819" w:rsidRDefault="00560C15" w:rsidP="00B16F8D">
      <w:pPr>
        <w:pStyle w:val="AATitre3"/>
        <w:rPr>
          <w:lang w:val="sr-Cyrl-CS"/>
        </w:rPr>
      </w:pPr>
      <w:r w:rsidRPr="00895819">
        <w:rPr>
          <w:lang w:val="sr-Cyrl-CS"/>
        </w:rPr>
        <w:t>Методе исплате Транше техничке помоћи – авансно плаћање</w:t>
      </w:r>
    </w:p>
    <w:p w14:paraId="16478352" w14:textId="1BE14123" w:rsidR="00B16F8D" w:rsidRPr="00895819" w:rsidRDefault="00F242FA" w:rsidP="00B16F8D">
      <w:pPr>
        <w:pStyle w:val="BodyText1"/>
        <w:rPr>
          <w:lang w:val="sr-Cyrl-CS"/>
        </w:rPr>
      </w:pPr>
      <w:r w:rsidRPr="00895819">
        <w:rPr>
          <w:lang w:val="sr-Cyrl-CS"/>
        </w:rPr>
        <w:t>Зајм</w:t>
      </w:r>
      <w:r w:rsidR="00C427CD" w:rsidRPr="00895819">
        <w:rPr>
          <w:lang w:val="sr-Cyrl-CS"/>
        </w:rPr>
        <w:t>одавац може ставити с</w:t>
      </w:r>
      <w:r w:rsidRPr="00895819">
        <w:rPr>
          <w:lang w:val="sr-Cyrl-CS"/>
        </w:rPr>
        <w:t xml:space="preserve">редства Транше техничке помоћи на располагање </w:t>
      </w:r>
      <w:r w:rsidR="00C427CD" w:rsidRPr="00895819">
        <w:rPr>
          <w:lang w:val="sr-Cyrl-CS"/>
        </w:rPr>
        <w:t xml:space="preserve">у форми авансног плаћања </w:t>
      </w:r>
      <w:r w:rsidR="00B16F8D" w:rsidRPr="00895819">
        <w:rPr>
          <w:lang w:val="sr-Cyrl-CS"/>
        </w:rPr>
        <w:t>(</w:t>
      </w:r>
      <w:r w:rsidR="00C427CD" w:rsidRPr="00895819">
        <w:rPr>
          <w:lang w:val="sr-Cyrl-CS"/>
        </w:rPr>
        <w:t>„</w:t>
      </w:r>
      <w:r w:rsidR="00C427CD" w:rsidRPr="00895819">
        <w:rPr>
          <w:b/>
          <w:bCs/>
          <w:lang w:val="sr-Cyrl-CS"/>
        </w:rPr>
        <w:t>Авансно плаћање</w:t>
      </w:r>
      <w:r w:rsidR="003963A8" w:rsidRPr="00895819">
        <w:rPr>
          <w:lang w:val="sr-Cyrl-CS"/>
        </w:rPr>
        <w:t>”</w:t>
      </w:r>
      <w:r w:rsidR="00B16F8D" w:rsidRPr="00895819">
        <w:rPr>
          <w:lang w:val="sr-Cyrl-CS"/>
        </w:rPr>
        <w:t xml:space="preserve">) </w:t>
      </w:r>
      <w:r w:rsidR="00C427CD" w:rsidRPr="00895819">
        <w:rPr>
          <w:lang w:val="sr-Cyrl-CS"/>
        </w:rPr>
        <w:t>и уплатити их на Наменски рачун</w:t>
      </w:r>
      <w:r w:rsidR="00B16F8D" w:rsidRPr="00895819">
        <w:rPr>
          <w:lang w:val="sr-Cyrl-CS"/>
        </w:rPr>
        <w:t>.</w:t>
      </w:r>
    </w:p>
    <w:p w14:paraId="50859144" w14:textId="33976FD4" w:rsidR="00B16F8D" w:rsidRPr="00895819" w:rsidRDefault="00DB0B24" w:rsidP="00DB0B24">
      <w:pPr>
        <w:pStyle w:val="BodyText1"/>
        <w:rPr>
          <w:lang w:val="sr-Cyrl-CS"/>
        </w:rPr>
      </w:pPr>
      <w:r w:rsidRPr="00895819">
        <w:rPr>
          <w:lang w:val="sr-Cyrl-CS"/>
        </w:rPr>
        <w:t>(а)</w:t>
      </w:r>
      <w:r w:rsidRPr="00895819">
        <w:rPr>
          <w:lang w:val="sr-Cyrl-CS"/>
        </w:rPr>
        <w:tab/>
      </w:r>
      <w:r w:rsidR="00C427CD" w:rsidRPr="00895819">
        <w:rPr>
          <w:lang w:val="sr-Cyrl-CS"/>
        </w:rPr>
        <w:t>Отварање наменског рачуна</w:t>
      </w:r>
    </w:p>
    <w:p w14:paraId="2F22CB8D" w14:textId="7FC1520B" w:rsidR="00B16F8D" w:rsidRPr="00895819" w:rsidRDefault="00C427CD" w:rsidP="00B16F8D">
      <w:pPr>
        <w:pStyle w:val="BodyText1"/>
        <w:rPr>
          <w:lang w:val="sr-Cyrl-CS"/>
        </w:rPr>
      </w:pPr>
      <w:r w:rsidRPr="00895819">
        <w:rPr>
          <w:lang w:val="sr-Cyrl-CS"/>
        </w:rPr>
        <w:t>Зајмопримац ће отворити и одржавати рачун за потребе Операције</w:t>
      </w:r>
      <w:r w:rsidR="007D48BB" w:rsidRPr="00895819">
        <w:rPr>
          <w:lang w:val="sr-Cyrl-CS"/>
        </w:rPr>
        <w:t xml:space="preserve"> </w:t>
      </w:r>
      <w:r w:rsidR="00B16F8D" w:rsidRPr="00895819">
        <w:rPr>
          <w:lang w:val="sr-Cyrl-CS"/>
        </w:rPr>
        <w:t>(</w:t>
      </w:r>
      <w:r w:rsidRPr="00895819">
        <w:rPr>
          <w:lang w:val="sr-Cyrl-CS"/>
        </w:rPr>
        <w:t>„</w:t>
      </w:r>
      <w:r w:rsidRPr="00895819">
        <w:rPr>
          <w:b/>
          <w:bCs/>
          <w:lang w:val="sr-Cyrl-CS"/>
        </w:rPr>
        <w:t>Наменски рачун</w:t>
      </w:r>
      <w:r w:rsidR="003963A8" w:rsidRPr="00895819">
        <w:rPr>
          <w:lang w:val="sr-Cyrl-CS"/>
        </w:rPr>
        <w:t>”</w:t>
      </w:r>
      <w:r w:rsidR="00B16F8D" w:rsidRPr="00895819">
        <w:rPr>
          <w:lang w:val="sr-Cyrl-CS"/>
        </w:rPr>
        <w:t xml:space="preserve">), </w:t>
      </w:r>
      <w:r w:rsidRPr="00895819">
        <w:rPr>
          <w:lang w:val="sr-Cyrl-CS"/>
        </w:rPr>
        <w:t>код Народне банке Србије (</w:t>
      </w:r>
      <w:r w:rsidR="007635FA" w:rsidRPr="00895819">
        <w:rPr>
          <w:lang w:val="sr-Cyrl-CS"/>
        </w:rPr>
        <w:t>„</w:t>
      </w:r>
      <w:r w:rsidRPr="00895819">
        <w:rPr>
          <w:lang w:val="sr-Cyrl-CS"/>
        </w:rPr>
        <w:t>НБС</w:t>
      </w:r>
      <w:r w:rsidR="003963A8" w:rsidRPr="00895819">
        <w:rPr>
          <w:lang w:val="sr-Cyrl-CS"/>
        </w:rPr>
        <w:t>”</w:t>
      </w:r>
      <w:r w:rsidRPr="00895819">
        <w:rPr>
          <w:lang w:val="sr-Cyrl-CS"/>
        </w:rPr>
        <w:t xml:space="preserve">), само у сврху (i) пријема Повучених средстава Транше техничке помоћи у форми Авансног плаћања; и </w:t>
      </w:r>
      <w:r w:rsidR="00B16F8D" w:rsidRPr="00895819">
        <w:rPr>
          <w:lang w:val="sr-Cyrl-CS"/>
        </w:rPr>
        <w:t xml:space="preserve">(ii) </w:t>
      </w:r>
      <w:r w:rsidRPr="00895819">
        <w:rPr>
          <w:lang w:val="sr-Cyrl-CS"/>
        </w:rPr>
        <w:t>плаћања Дозвољених расхода у оквиру Техничке помоћи</w:t>
      </w:r>
      <w:r w:rsidR="00B16F8D" w:rsidRPr="00895819">
        <w:rPr>
          <w:lang w:val="sr-Cyrl-CS"/>
        </w:rPr>
        <w:t>.</w:t>
      </w:r>
    </w:p>
    <w:p w14:paraId="64E79EA3" w14:textId="77777777" w:rsidR="00B16F8D" w:rsidRPr="00895819" w:rsidRDefault="00802790" w:rsidP="00B16F8D">
      <w:pPr>
        <w:pStyle w:val="BodyText1"/>
        <w:rPr>
          <w:lang w:val="sr-Cyrl-CS"/>
        </w:rPr>
      </w:pPr>
      <w:r w:rsidRPr="00895819">
        <w:rPr>
          <w:lang w:val="sr-Cyrl-CS"/>
        </w:rPr>
        <w:t>Зајмопримац се овим обавезује и обезбеђује да се НБС одриче било којег права на поравнање било које стране у вези са Наменским рачуном и било којим другим рачуном отвореним на име Зајмопримца код НБС или за било који други дуг Зајмопримца</w:t>
      </w:r>
      <w:r w:rsidR="00B16F8D" w:rsidRPr="00895819">
        <w:rPr>
          <w:lang w:val="sr-Cyrl-CS"/>
        </w:rPr>
        <w:t>.</w:t>
      </w:r>
    </w:p>
    <w:p w14:paraId="24BDB8D2" w14:textId="63BE072F" w:rsidR="00B16F8D" w:rsidRPr="00895819" w:rsidRDefault="00DB0B24" w:rsidP="00DB0B24">
      <w:pPr>
        <w:pStyle w:val="BodyText1"/>
        <w:rPr>
          <w:lang w:val="sr-Cyrl-CS"/>
        </w:rPr>
      </w:pPr>
      <w:r w:rsidRPr="00895819">
        <w:rPr>
          <w:lang w:val="sr-Cyrl-CS"/>
        </w:rPr>
        <w:t>(б)</w:t>
      </w:r>
      <w:r w:rsidRPr="00895819">
        <w:rPr>
          <w:lang w:val="sr-Cyrl-CS"/>
        </w:rPr>
        <w:tab/>
      </w:r>
      <w:r w:rsidR="00802790" w:rsidRPr="00895819">
        <w:rPr>
          <w:lang w:val="sr-Cyrl-CS"/>
        </w:rPr>
        <w:t>Иницијални Аванс</w:t>
      </w:r>
    </w:p>
    <w:p w14:paraId="1D680F75" w14:textId="77777777" w:rsidR="00B16F8D" w:rsidRPr="00895819" w:rsidRDefault="00F874F6" w:rsidP="00B16F8D">
      <w:pPr>
        <w:pStyle w:val="BodyText1"/>
        <w:rPr>
          <w:lang w:val="sr-Cyrl-CS"/>
        </w:rPr>
      </w:pPr>
      <w:r w:rsidRPr="00895819">
        <w:rPr>
          <w:lang w:val="sr-Cyrl-CS"/>
        </w:rPr>
        <w:t>Под условом да су испуњени услови наведени у члану 2.4 (</w:t>
      </w:r>
      <w:r w:rsidRPr="00895819">
        <w:rPr>
          <w:i/>
          <w:lang w:val="sr-Cyrl-CS"/>
        </w:rPr>
        <w:t>Пре</w:t>
      </w:r>
      <w:r w:rsidR="00CE08CD" w:rsidRPr="00895819">
        <w:rPr>
          <w:i/>
          <w:lang w:val="sr-Cyrl-CS"/>
        </w:rPr>
        <w:t>тходни услови</w:t>
      </w:r>
      <w:r w:rsidRPr="00895819">
        <w:rPr>
          <w:lang w:val="sr-Cyrl-CS"/>
        </w:rPr>
        <w:t>), Зајмодавац ће на Наменски рачун уплатити иницијални Аванс у износу назначеном у одговарајућем Обавештењу о повлачењу средстава коју је Суфинансијер доставио Зајмодавцу</w:t>
      </w:r>
      <w:r w:rsidR="00B16F8D" w:rsidRPr="00895819">
        <w:rPr>
          <w:lang w:val="sr-Cyrl-CS"/>
        </w:rPr>
        <w:t>.</w:t>
      </w:r>
    </w:p>
    <w:p w14:paraId="3C25B3B3" w14:textId="7D3A2059" w:rsidR="00B16F8D" w:rsidRPr="00895819" w:rsidRDefault="00DB0B24" w:rsidP="00DB0B24">
      <w:pPr>
        <w:pStyle w:val="BodyText1"/>
        <w:rPr>
          <w:lang w:val="sr-Cyrl-CS"/>
        </w:rPr>
      </w:pPr>
      <w:r w:rsidRPr="00895819">
        <w:rPr>
          <w:lang w:val="sr-Cyrl-CS"/>
        </w:rPr>
        <w:t>(ц)</w:t>
      </w:r>
      <w:r w:rsidRPr="00895819">
        <w:rPr>
          <w:lang w:val="sr-Cyrl-CS"/>
        </w:rPr>
        <w:tab/>
      </w:r>
      <w:r w:rsidR="00F874F6" w:rsidRPr="00895819">
        <w:rPr>
          <w:lang w:val="sr-Cyrl-CS"/>
        </w:rPr>
        <w:t>Додатни аванс</w:t>
      </w:r>
    </w:p>
    <w:p w14:paraId="0D6BBCB6" w14:textId="77777777" w:rsidR="00B16F8D" w:rsidRPr="00895819" w:rsidRDefault="00215479" w:rsidP="00B16F8D">
      <w:pPr>
        <w:pStyle w:val="BodyText1"/>
        <w:rPr>
          <w:lang w:val="sr-Cyrl-CS"/>
        </w:rPr>
      </w:pPr>
      <w:r w:rsidRPr="00895819">
        <w:rPr>
          <w:lang w:val="sr-Cyrl-CS"/>
        </w:rPr>
        <w:lastRenderedPageBreak/>
        <w:t xml:space="preserve">Додатни аванси ће се </w:t>
      </w:r>
      <w:r w:rsidR="007635FA" w:rsidRPr="00895819">
        <w:rPr>
          <w:lang w:val="sr-Cyrl-CS"/>
        </w:rPr>
        <w:t>реализовати</w:t>
      </w:r>
      <w:r w:rsidRPr="00895819">
        <w:rPr>
          <w:lang w:val="sr-Cyrl-CS"/>
        </w:rPr>
        <w:t xml:space="preserve"> на захтев Зајмопримаца у складу са истим поступком који се захтева према Споразуму о зајму ИБРД-а и под условима наведеним у члану 2.4 (</w:t>
      </w:r>
      <w:r w:rsidRPr="00895819">
        <w:rPr>
          <w:i/>
          <w:lang w:val="sr-Cyrl-CS"/>
        </w:rPr>
        <w:t>Пре</w:t>
      </w:r>
      <w:r w:rsidR="00CE08CD" w:rsidRPr="00895819">
        <w:rPr>
          <w:i/>
          <w:lang w:val="sr-Cyrl-CS"/>
        </w:rPr>
        <w:t>тходни улови</w:t>
      </w:r>
      <w:r w:rsidRPr="00895819">
        <w:rPr>
          <w:lang w:val="sr-Cyrl-CS"/>
        </w:rPr>
        <w:t>).</w:t>
      </w:r>
    </w:p>
    <w:p w14:paraId="79334E0F" w14:textId="72AF6F9A" w:rsidR="00B16F8D" w:rsidRPr="00895819" w:rsidRDefault="00DB0B24" w:rsidP="00DB0B24">
      <w:pPr>
        <w:pStyle w:val="BodyText1"/>
        <w:rPr>
          <w:lang w:val="sr-Cyrl-CS"/>
        </w:rPr>
      </w:pPr>
      <w:r w:rsidRPr="00895819">
        <w:rPr>
          <w:lang w:val="sr-Cyrl-CS"/>
        </w:rPr>
        <w:t>(д)</w:t>
      </w:r>
      <w:r w:rsidRPr="00895819">
        <w:rPr>
          <w:lang w:val="sr-Cyrl-CS"/>
        </w:rPr>
        <w:tab/>
      </w:r>
      <w:r w:rsidR="00215479" w:rsidRPr="00895819">
        <w:rPr>
          <w:lang w:val="sr-Cyrl-CS"/>
        </w:rPr>
        <w:t>Коначни аванс</w:t>
      </w:r>
    </w:p>
    <w:p w14:paraId="40467B47" w14:textId="77777777" w:rsidR="00B16F8D" w:rsidRPr="00895819" w:rsidRDefault="004923A9" w:rsidP="00B16F8D">
      <w:pPr>
        <w:pStyle w:val="BodyText1"/>
        <w:rPr>
          <w:lang w:val="sr-Cyrl-CS"/>
        </w:rPr>
      </w:pPr>
      <w:r w:rsidRPr="00895819">
        <w:rPr>
          <w:lang w:val="sr-Cyrl-CS"/>
        </w:rPr>
        <w:t xml:space="preserve">Осим ако се Зајмодавац не договори другачије, </w:t>
      </w:r>
      <w:r w:rsidR="00C976B8" w:rsidRPr="00895819">
        <w:rPr>
          <w:lang w:val="sr-Cyrl-CS"/>
        </w:rPr>
        <w:t>К</w:t>
      </w:r>
      <w:r w:rsidRPr="00895819">
        <w:rPr>
          <w:lang w:val="sr-Cyrl-CS"/>
        </w:rPr>
        <w:t xml:space="preserve">оначни аванс ће </w:t>
      </w:r>
      <w:r w:rsidR="00C976B8" w:rsidRPr="00895819">
        <w:rPr>
          <w:lang w:val="sr-Cyrl-CS"/>
        </w:rPr>
        <w:t>бити</w:t>
      </w:r>
      <w:r w:rsidRPr="00895819">
        <w:rPr>
          <w:lang w:val="sr-Cyrl-CS"/>
        </w:rPr>
        <w:t xml:space="preserve"> испла</w:t>
      </w:r>
      <w:r w:rsidR="00C976B8" w:rsidRPr="00895819">
        <w:rPr>
          <w:lang w:val="sr-Cyrl-CS"/>
        </w:rPr>
        <w:t>ћен</w:t>
      </w:r>
      <w:r w:rsidRPr="00895819">
        <w:rPr>
          <w:lang w:val="sr-Cyrl-CS"/>
        </w:rPr>
        <w:t xml:space="preserve"> у складу са истим условима као и други аванси и, ако је примењиво, узимаће у обзир сваку промену у Плану финансирања Операције о којем су се Стране договориле</w:t>
      </w:r>
      <w:r w:rsidR="00B16F8D" w:rsidRPr="00895819">
        <w:rPr>
          <w:lang w:val="sr-Cyrl-CS"/>
        </w:rPr>
        <w:t>.</w:t>
      </w:r>
    </w:p>
    <w:p w14:paraId="6AF426EF" w14:textId="136D6FE9" w:rsidR="00B16F8D" w:rsidRPr="00895819" w:rsidRDefault="00DB0B24" w:rsidP="00DB0B24">
      <w:pPr>
        <w:pStyle w:val="BodyText1"/>
        <w:rPr>
          <w:lang w:val="sr-Cyrl-CS"/>
        </w:rPr>
      </w:pPr>
      <w:r w:rsidRPr="00895819">
        <w:rPr>
          <w:lang w:val="sr-Cyrl-CS"/>
        </w:rPr>
        <w:t>(е)</w:t>
      </w:r>
      <w:r w:rsidRPr="00895819">
        <w:rPr>
          <w:lang w:val="sr-Cyrl-CS"/>
        </w:rPr>
        <w:tab/>
      </w:r>
      <w:r w:rsidR="005E14ED" w:rsidRPr="00895819">
        <w:rPr>
          <w:lang w:val="sr-Cyrl-CS"/>
        </w:rPr>
        <w:t>Правдање коришћења Аванса</w:t>
      </w:r>
    </w:p>
    <w:p w14:paraId="33869E5A" w14:textId="77777777" w:rsidR="00B16F8D" w:rsidRPr="00895819" w:rsidRDefault="005E14ED" w:rsidP="00B16F8D">
      <w:pPr>
        <w:pStyle w:val="BodyText1"/>
        <w:rPr>
          <w:lang w:val="sr-Cyrl-CS"/>
        </w:rPr>
      </w:pPr>
      <w:r w:rsidRPr="00895819">
        <w:rPr>
          <w:lang w:val="sr-Cyrl-CS"/>
        </w:rPr>
        <w:t>Зајмопримац се сложио да Зајмодавцу достави</w:t>
      </w:r>
      <w:r w:rsidR="00B16F8D" w:rsidRPr="00895819">
        <w:rPr>
          <w:lang w:val="sr-Cyrl-CS"/>
        </w:rPr>
        <w:t>:</w:t>
      </w:r>
    </w:p>
    <w:p w14:paraId="4E75C287" w14:textId="411C37F8" w:rsidR="00B16F8D" w:rsidRPr="00895819" w:rsidRDefault="00DB0B24" w:rsidP="00DB0B24">
      <w:pPr>
        <w:pStyle w:val="BodyText1"/>
        <w:ind w:left="2070" w:hanging="630"/>
        <w:rPr>
          <w:lang w:val="sr-Cyrl-CS"/>
        </w:rPr>
      </w:pPr>
      <w:r w:rsidRPr="00895819">
        <w:rPr>
          <w:lang w:val="sr-Cyrl-CS"/>
        </w:rPr>
        <w:t>(а)</w:t>
      </w:r>
      <w:r w:rsidRPr="00895819">
        <w:rPr>
          <w:lang w:val="sr-Cyrl-CS"/>
        </w:rPr>
        <w:tab/>
      </w:r>
      <w:r w:rsidR="005E14ED" w:rsidRPr="00895819">
        <w:rPr>
          <w:lang w:val="sr-Cyrl-CS"/>
        </w:rPr>
        <w:t xml:space="preserve">најкасније до </w:t>
      </w:r>
      <w:r w:rsidR="00C976B8" w:rsidRPr="00895819">
        <w:rPr>
          <w:lang w:val="sr-Cyrl-CS"/>
        </w:rPr>
        <w:t>Р</w:t>
      </w:r>
      <w:r w:rsidR="005E14ED" w:rsidRPr="00895819">
        <w:rPr>
          <w:lang w:val="sr-Cyrl-CS"/>
        </w:rPr>
        <w:t>ока за коришћење средстава, потврду потписану од стране овлашћеног потписника Зајмопримаца којом се потврђује да је сто посто (100%) претпоследњег Аванса и последњег Аванса искоришћено, као и детаљну спецификацију плаћених износа који спадају у категорију Дозвољених расхода током релевантног периода; и</w:t>
      </w:r>
    </w:p>
    <w:p w14:paraId="16B49B19" w14:textId="49A62256" w:rsidR="00B16F8D" w:rsidRPr="00895819" w:rsidRDefault="00DB0B24" w:rsidP="00DB0B24">
      <w:pPr>
        <w:pStyle w:val="BodyText1"/>
        <w:ind w:left="2070" w:hanging="630"/>
        <w:rPr>
          <w:lang w:val="sr-Cyrl-CS"/>
        </w:rPr>
      </w:pPr>
      <w:r w:rsidRPr="00895819">
        <w:rPr>
          <w:lang w:val="sr-Cyrl-CS"/>
        </w:rPr>
        <w:t>(б)</w:t>
      </w:r>
      <w:r w:rsidRPr="00895819">
        <w:rPr>
          <w:lang w:val="sr-Cyrl-CS"/>
        </w:rPr>
        <w:tab/>
      </w:r>
      <w:r w:rsidR="00C976B8" w:rsidRPr="00895819">
        <w:rPr>
          <w:lang w:val="sr-Cyrl-CS"/>
        </w:rPr>
        <w:t>коначни</w:t>
      </w:r>
      <w:r w:rsidR="005E14ED" w:rsidRPr="00895819">
        <w:rPr>
          <w:lang w:val="sr-Cyrl-CS"/>
        </w:rPr>
        <w:t xml:space="preserve"> ревизорски извештај Наменског рачуна (</w:t>
      </w:r>
      <w:r w:rsidR="003963A8" w:rsidRPr="00895819">
        <w:rPr>
          <w:lang w:val="sr-Cyrl-CS"/>
        </w:rPr>
        <w:t>„</w:t>
      </w:r>
      <w:r w:rsidR="005E14ED" w:rsidRPr="00895819">
        <w:rPr>
          <w:lang w:val="sr-Cyrl-CS"/>
        </w:rPr>
        <w:t>Финални ревизорски извештај”), спроведеног у складу са одредбама Споразума о зајму ИБРД-а и инструкција из ДФИЛ-а</w:t>
      </w:r>
      <w:r w:rsidR="00B16F8D" w:rsidRPr="00895819">
        <w:rPr>
          <w:lang w:val="sr-Cyrl-CS"/>
        </w:rPr>
        <w:t xml:space="preserve">. </w:t>
      </w:r>
      <w:r w:rsidR="005E14ED" w:rsidRPr="00895819">
        <w:rPr>
          <w:lang w:val="sr-Cyrl-CS"/>
        </w:rPr>
        <w:t>Именовани ревизор провериће да ли су сви износи повучени у оквиру Кредита и уплаћени на Наменски рачун коришћени у склад</w:t>
      </w:r>
      <w:r w:rsidR="009609FE" w:rsidRPr="00895819">
        <w:rPr>
          <w:lang w:val="sr-Cyrl-CS"/>
        </w:rPr>
        <w:t>у са условима и одредбама овог у</w:t>
      </w:r>
      <w:r w:rsidR="005E14ED" w:rsidRPr="00895819">
        <w:rPr>
          <w:lang w:val="sr-Cyrl-CS"/>
        </w:rPr>
        <w:t>говора</w:t>
      </w:r>
      <w:r w:rsidR="00B16F8D" w:rsidRPr="00895819">
        <w:rPr>
          <w:lang w:val="sr-Cyrl-CS"/>
        </w:rPr>
        <w:t>.</w:t>
      </w:r>
    </w:p>
    <w:p w14:paraId="29AED0B2" w14:textId="1164DA4F" w:rsidR="00B16F8D" w:rsidRPr="00895819" w:rsidRDefault="00DB0B24" w:rsidP="00DB0B24">
      <w:pPr>
        <w:pStyle w:val="BodyText1"/>
        <w:rPr>
          <w:lang w:val="sr-Cyrl-CS"/>
        </w:rPr>
      </w:pPr>
      <w:r w:rsidRPr="00895819">
        <w:rPr>
          <w:lang w:val="sr-Cyrl-CS"/>
        </w:rPr>
        <w:t>(ф)</w:t>
      </w:r>
      <w:r w:rsidRPr="00895819">
        <w:rPr>
          <w:lang w:val="sr-Cyrl-CS"/>
        </w:rPr>
        <w:tab/>
      </w:r>
      <w:r w:rsidR="008D6C29" w:rsidRPr="00895819">
        <w:rPr>
          <w:lang w:val="sr-Cyrl-CS"/>
        </w:rPr>
        <w:t>Важећи курс</w:t>
      </w:r>
    </w:p>
    <w:p w14:paraId="32890280" w14:textId="77777777" w:rsidR="00B16F8D" w:rsidRPr="00895819" w:rsidRDefault="008D6C29" w:rsidP="00B16F8D">
      <w:pPr>
        <w:pStyle w:val="BodyText1"/>
        <w:rPr>
          <w:lang w:val="sr-Cyrl-CS"/>
        </w:rPr>
      </w:pPr>
      <w:r w:rsidRPr="00895819">
        <w:rPr>
          <w:lang w:val="sr-Cyrl-CS"/>
        </w:rPr>
        <w:t>Ако је било који Дозвољени расход техничке помоћи деноминован у валути која није евро, Зајмопримац ће конвертовати износ фактуре у еквивалентни износ у еврима, у складу са одредбама Споразума о зајму ИБРД-а и Оперативног приручника</w:t>
      </w:r>
      <w:r w:rsidR="00B16F8D" w:rsidRPr="00895819">
        <w:rPr>
          <w:lang w:val="sr-Cyrl-CS"/>
        </w:rPr>
        <w:t>.</w:t>
      </w:r>
    </w:p>
    <w:p w14:paraId="4D31A711" w14:textId="4313169A" w:rsidR="00B16F8D" w:rsidRPr="00895819" w:rsidRDefault="00DB0B24" w:rsidP="00DB0B24">
      <w:pPr>
        <w:pStyle w:val="BodyText1"/>
        <w:rPr>
          <w:lang w:val="sr-Cyrl-CS"/>
        </w:rPr>
      </w:pPr>
      <w:r w:rsidRPr="00895819">
        <w:rPr>
          <w:lang w:val="sr-Cyrl-CS"/>
        </w:rPr>
        <w:t>(г)</w:t>
      </w:r>
      <w:r w:rsidRPr="00895819">
        <w:rPr>
          <w:lang w:val="sr-Cyrl-CS"/>
        </w:rPr>
        <w:tab/>
      </w:r>
      <w:r w:rsidR="008D6C29" w:rsidRPr="00895819">
        <w:rPr>
          <w:lang w:val="sr-Cyrl-CS"/>
        </w:rPr>
        <w:t>Рок за коришћење средстава</w:t>
      </w:r>
    </w:p>
    <w:p w14:paraId="04E3045B" w14:textId="77777777" w:rsidR="00B16F8D" w:rsidRPr="00895819" w:rsidRDefault="008D6C29" w:rsidP="00B16F8D">
      <w:pPr>
        <w:pStyle w:val="BodyText1"/>
        <w:rPr>
          <w:lang w:val="sr-Cyrl-CS"/>
        </w:rPr>
      </w:pPr>
      <w:r w:rsidRPr="00895819">
        <w:rPr>
          <w:lang w:val="sr-Cyrl-CS"/>
        </w:rPr>
        <w:t>Зајмопримац је сагласан да ће се сва средства уплаћена у форми аванса у потпуности користити за плаћање Дозвољених трошкова Техничке помоћи најкасније до Рока за коришћење средстава</w:t>
      </w:r>
      <w:r w:rsidR="00B16F8D" w:rsidRPr="00895819">
        <w:rPr>
          <w:lang w:val="sr-Cyrl-CS"/>
        </w:rPr>
        <w:t>.</w:t>
      </w:r>
    </w:p>
    <w:p w14:paraId="142ACDFC" w14:textId="144B06D6" w:rsidR="00B16F8D" w:rsidRPr="00895819" w:rsidRDefault="00DB0B24" w:rsidP="00DB0B24">
      <w:pPr>
        <w:pStyle w:val="BodyText1"/>
        <w:rPr>
          <w:lang w:val="sr-Cyrl-CS"/>
        </w:rPr>
      </w:pPr>
      <w:r w:rsidRPr="00895819">
        <w:rPr>
          <w:lang w:val="sr-Cyrl-CS"/>
        </w:rPr>
        <w:t>(х)</w:t>
      </w:r>
      <w:r w:rsidRPr="00895819">
        <w:rPr>
          <w:lang w:val="sr-Cyrl-CS"/>
        </w:rPr>
        <w:tab/>
      </w:r>
      <w:r w:rsidR="008D6C29" w:rsidRPr="00895819">
        <w:rPr>
          <w:lang w:val="sr-Cyrl-CS"/>
        </w:rPr>
        <w:t>Контрола – Ревизија</w:t>
      </w:r>
    </w:p>
    <w:p w14:paraId="492CF57E" w14:textId="22EE3E02" w:rsidR="00B16F8D" w:rsidRPr="00895819" w:rsidRDefault="00EE68ED" w:rsidP="00B16F8D">
      <w:pPr>
        <w:pStyle w:val="BodyText1"/>
        <w:rPr>
          <w:lang w:val="sr-Cyrl-CS"/>
        </w:rPr>
      </w:pPr>
      <w:r w:rsidRPr="00895819">
        <w:rPr>
          <w:lang w:val="sr-Cyrl-CS"/>
        </w:rPr>
        <w:t>Зајмопримац је сагласан да ће, током Периода повлачења</w:t>
      </w:r>
      <w:r w:rsidR="005F70FE" w:rsidRPr="00895819">
        <w:rPr>
          <w:lang w:val="sr-Cyrl-CS"/>
        </w:rPr>
        <w:t xml:space="preserve"> средстава</w:t>
      </w:r>
      <w:r w:rsidRPr="00895819">
        <w:rPr>
          <w:lang w:val="sr-Cyrl-CS"/>
        </w:rPr>
        <w:t xml:space="preserve">, Наменски рачун бити предмет ревизије у складу са одредбама Споразума о зајму ИБРД-а и инструкција датих у ДФИЛ-у. </w:t>
      </w:r>
      <w:r w:rsidR="004007B9" w:rsidRPr="00895819">
        <w:rPr>
          <w:lang w:val="sr-Cyrl-CS"/>
        </w:rPr>
        <w:t>Ревизор ће верификовати да ли су сви износи повучени у оквиру Транше Техничке помоћи и уплаћени на Наменски рачун искориш</w:t>
      </w:r>
      <w:r w:rsidR="009609FE" w:rsidRPr="00895819">
        <w:rPr>
          <w:lang w:val="sr-Cyrl-CS"/>
        </w:rPr>
        <w:t>ћени у складу са условима овог у</w:t>
      </w:r>
      <w:r w:rsidR="004007B9" w:rsidRPr="00895819">
        <w:rPr>
          <w:lang w:val="sr-Cyrl-CS"/>
        </w:rPr>
        <w:t>говора</w:t>
      </w:r>
      <w:r w:rsidR="00B16F8D" w:rsidRPr="00895819">
        <w:rPr>
          <w:lang w:val="sr-Cyrl-CS"/>
        </w:rPr>
        <w:t>.</w:t>
      </w:r>
    </w:p>
    <w:p w14:paraId="5CD2BE69" w14:textId="77777777" w:rsidR="00B16F8D" w:rsidRPr="00895819" w:rsidRDefault="004007B9" w:rsidP="00B16F8D">
      <w:pPr>
        <w:pStyle w:val="BodyText1"/>
        <w:rPr>
          <w:lang w:val="sr-Cyrl-CS"/>
        </w:rPr>
      </w:pPr>
      <w:r w:rsidRPr="00895819">
        <w:rPr>
          <w:lang w:val="sr-Cyrl-CS"/>
        </w:rPr>
        <w:t>Зајмопримац ће извештаје о ревизији ставити на располагање Зајмодавцу преко Суфинансијера</w:t>
      </w:r>
      <w:r w:rsidR="00B16F8D" w:rsidRPr="00895819">
        <w:rPr>
          <w:lang w:val="sr-Cyrl-CS"/>
        </w:rPr>
        <w:t>.</w:t>
      </w:r>
    </w:p>
    <w:p w14:paraId="1BDFA19B" w14:textId="77777777" w:rsidR="00B16F8D" w:rsidRPr="00895819" w:rsidRDefault="004007B9" w:rsidP="00B16F8D">
      <w:pPr>
        <w:pStyle w:val="BodyText1"/>
        <w:rPr>
          <w:lang w:val="sr-Cyrl-CS"/>
        </w:rPr>
      </w:pPr>
      <w:r w:rsidRPr="00895819">
        <w:rPr>
          <w:lang w:val="sr-Cyrl-CS"/>
        </w:rPr>
        <w:t>Током Периода повлачења средстава, Зајмодавац може извршити или наручити да треће лице у његово име и о трошку Зајмопримца изврши насумичну, а не систематску контролу документације</w:t>
      </w:r>
      <w:r w:rsidR="00B16F8D" w:rsidRPr="00895819">
        <w:rPr>
          <w:lang w:val="sr-Cyrl-CS"/>
        </w:rPr>
        <w:t>.</w:t>
      </w:r>
    </w:p>
    <w:p w14:paraId="6D477A84" w14:textId="030C9454" w:rsidR="00B16F8D" w:rsidRPr="00895819" w:rsidRDefault="00DB0B24" w:rsidP="00DB0B24">
      <w:pPr>
        <w:pStyle w:val="BodyText1"/>
        <w:rPr>
          <w:lang w:val="sr-Cyrl-CS"/>
        </w:rPr>
      </w:pPr>
      <w:r w:rsidRPr="00895819">
        <w:rPr>
          <w:lang w:val="sr-Cyrl-CS"/>
        </w:rPr>
        <w:t>(и)</w:t>
      </w:r>
      <w:r w:rsidRPr="00895819">
        <w:rPr>
          <w:lang w:val="sr-Cyrl-CS"/>
        </w:rPr>
        <w:tab/>
      </w:r>
      <w:r w:rsidR="004007B9" w:rsidRPr="00895819">
        <w:rPr>
          <w:lang w:val="sr-Cyrl-CS"/>
        </w:rPr>
        <w:t>Пропуст да се оправда коришћење Аванса до Рока за коришћење средстава</w:t>
      </w:r>
    </w:p>
    <w:p w14:paraId="6A341788" w14:textId="77777777" w:rsidR="00B16F8D" w:rsidRPr="00895819" w:rsidRDefault="00794269" w:rsidP="00B16F8D">
      <w:pPr>
        <w:pStyle w:val="BodyText1"/>
        <w:rPr>
          <w:lang w:val="sr-Cyrl-CS"/>
        </w:rPr>
      </w:pPr>
      <w:r w:rsidRPr="00895819">
        <w:rPr>
          <w:lang w:val="sr-Cyrl-CS"/>
        </w:rPr>
        <w:lastRenderedPageBreak/>
        <w:t>Зајмодавац може захтевати да Зајмопримац врати све износе чије коришћење није било правилно или довољно оправдано, у складу са Споразумом о зајму ИБРД-а</w:t>
      </w:r>
      <w:r w:rsidR="00B16F8D" w:rsidRPr="00895819">
        <w:rPr>
          <w:lang w:val="sr-Cyrl-CS"/>
        </w:rPr>
        <w:t xml:space="preserve">, </w:t>
      </w:r>
      <w:r w:rsidRPr="00895819">
        <w:rPr>
          <w:lang w:val="sr-Cyrl-CS"/>
        </w:rPr>
        <w:t xml:space="preserve">заједно са свим осталим износима потражног салда на Наменском рачуну на дан </w:t>
      </w:r>
      <w:r w:rsidR="00C87C1F" w:rsidRPr="00895819">
        <w:rPr>
          <w:lang w:val="sr-Cyrl-CS"/>
        </w:rPr>
        <w:t>Р</w:t>
      </w:r>
      <w:r w:rsidRPr="00895819">
        <w:rPr>
          <w:lang w:val="sr-Cyrl-CS"/>
        </w:rPr>
        <w:t>ока за коришћење средстава</w:t>
      </w:r>
      <w:r w:rsidR="00B16F8D" w:rsidRPr="00895819">
        <w:rPr>
          <w:lang w:val="sr-Cyrl-CS"/>
        </w:rPr>
        <w:t xml:space="preserve">. </w:t>
      </w:r>
      <w:r w:rsidR="00FE6A05" w:rsidRPr="00895819">
        <w:rPr>
          <w:lang w:val="sr-Cyrl-CS"/>
        </w:rPr>
        <w:t>Зајмопримац ће вратити такве износе Зајмодавцу у року од двадесет (20) календарских дана од дана пријема таквог обавештења од Зајмодавца. Свака отплата коју ће Зајмопримац извршити према овом члану третираће се као обавезна превремена отплата у складу са одредбама члана 8.2 (</w:t>
      </w:r>
      <w:r w:rsidR="00FE6A05" w:rsidRPr="00895819">
        <w:rPr>
          <w:i/>
          <w:lang w:val="sr-Cyrl-CS"/>
        </w:rPr>
        <w:t>Обавезна превремена отплата</w:t>
      </w:r>
      <w:r w:rsidR="000D485C" w:rsidRPr="00895819">
        <w:rPr>
          <w:lang w:val="sr-Cyrl-CS"/>
        </w:rPr>
        <w:t>).</w:t>
      </w:r>
    </w:p>
    <w:p w14:paraId="6B77A6BA" w14:textId="22A8AAD6" w:rsidR="00B16F8D" w:rsidRPr="00895819" w:rsidRDefault="00DB0B24" w:rsidP="00DB0B24">
      <w:pPr>
        <w:pStyle w:val="BodyText1"/>
        <w:rPr>
          <w:lang w:val="sr-Cyrl-CS"/>
        </w:rPr>
      </w:pPr>
      <w:r w:rsidRPr="00895819">
        <w:rPr>
          <w:lang w:val="sr-Cyrl-CS"/>
        </w:rPr>
        <w:t>(ј)</w:t>
      </w:r>
      <w:r w:rsidRPr="00895819">
        <w:rPr>
          <w:lang w:val="sr-Cyrl-CS"/>
        </w:rPr>
        <w:tab/>
      </w:r>
      <w:r w:rsidR="003E0AB8" w:rsidRPr="00895819">
        <w:rPr>
          <w:lang w:val="sr-Cyrl-CS"/>
        </w:rPr>
        <w:t>Чување докумената</w:t>
      </w:r>
    </w:p>
    <w:p w14:paraId="6844241B" w14:textId="77777777" w:rsidR="00B16F8D" w:rsidRPr="00895819" w:rsidRDefault="003E0AB8" w:rsidP="00B16F8D">
      <w:pPr>
        <w:pStyle w:val="BodyText1"/>
        <w:rPr>
          <w:lang w:val="sr-Cyrl-CS"/>
        </w:rPr>
      </w:pPr>
      <w:r w:rsidRPr="00895819">
        <w:rPr>
          <w:lang w:val="sr-Cyrl-CS"/>
        </w:rPr>
        <w:t>Зајмопримац има обавезу чувања евиденције и других докумената у вези са Наменским рачуном и коришћењем аванса у периоду од десет (10) година од датума последњег Повлачења кредитних средстава</w:t>
      </w:r>
      <w:r w:rsidR="00B16F8D" w:rsidRPr="00895819">
        <w:rPr>
          <w:lang w:val="sr-Cyrl-CS"/>
        </w:rPr>
        <w:t>.</w:t>
      </w:r>
    </w:p>
    <w:p w14:paraId="192A0770" w14:textId="77777777" w:rsidR="00B16F8D" w:rsidRPr="00895819" w:rsidRDefault="003E0AB8" w:rsidP="00B16F8D">
      <w:pPr>
        <w:pStyle w:val="BodyText1"/>
        <w:rPr>
          <w:lang w:val="sr-Cyrl-CS"/>
        </w:rPr>
      </w:pPr>
      <w:r w:rsidRPr="00895819">
        <w:rPr>
          <w:lang w:val="sr-Cyrl-CS"/>
        </w:rPr>
        <w:t>Зајмопримац се обавезује да ће такву евиденцију и друга документа достављати Зајмодавцу, или било којој ревизорском фирми именованој од стране Зајмодавца, на захтев Зајмодавца</w:t>
      </w:r>
      <w:r w:rsidR="00B16F8D" w:rsidRPr="00895819">
        <w:rPr>
          <w:lang w:val="sr-Cyrl-CS"/>
        </w:rPr>
        <w:t xml:space="preserve">. </w:t>
      </w:r>
    </w:p>
    <w:p w14:paraId="7C6C0F2D" w14:textId="77777777" w:rsidR="00B16F8D" w:rsidRPr="00895819" w:rsidRDefault="003E0AB8" w:rsidP="00B16F8D">
      <w:pPr>
        <w:pStyle w:val="AATitre3"/>
        <w:rPr>
          <w:lang w:val="sr-Cyrl-CS"/>
        </w:rPr>
      </w:pPr>
      <w:r w:rsidRPr="00895819">
        <w:rPr>
          <w:lang w:val="sr-Cyrl-CS"/>
        </w:rPr>
        <w:t>Методе исплате Транше техничке помоћи – Рефундирање</w:t>
      </w:r>
    </w:p>
    <w:p w14:paraId="588F3A17" w14:textId="162F10A4" w:rsidR="00B16F8D" w:rsidRPr="00895819" w:rsidRDefault="003E0AB8" w:rsidP="00355131">
      <w:pPr>
        <w:ind w:left="709"/>
        <w:rPr>
          <w:lang w:val="sr-Cyrl-CS"/>
        </w:rPr>
      </w:pPr>
      <w:r w:rsidRPr="00895819">
        <w:rPr>
          <w:lang w:val="sr-Cyrl-CS"/>
        </w:rPr>
        <w:t>С</w:t>
      </w:r>
      <w:r w:rsidR="00AE17B7" w:rsidRPr="00895819">
        <w:rPr>
          <w:lang w:val="sr-Cyrl-CS"/>
        </w:rPr>
        <w:t>р</w:t>
      </w:r>
      <w:r w:rsidRPr="00895819">
        <w:rPr>
          <w:lang w:val="sr-Cyrl-CS"/>
        </w:rPr>
        <w:t xml:space="preserve">едства </w:t>
      </w:r>
      <w:r w:rsidR="00AE17B7" w:rsidRPr="00895819">
        <w:rPr>
          <w:lang w:val="sr-Cyrl-CS"/>
        </w:rPr>
        <w:t>која се повлаче из Транше техничке помоћи могу се уплатити директно Зајмопримцу у склад</w:t>
      </w:r>
      <w:r w:rsidR="009609FE" w:rsidRPr="00895819">
        <w:rPr>
          <w:lang w:val="sr-Cyrl-CS"/>
        </w:rPr>
        <w:t>у са одредбама и условима овог у</w:t>
      </w:r>
      <w:r w:rsidR="00AE17B7" w:rsidRPr="00895819">
        <w:rPr>
          <w:lang w:val="sr-Cyrl-CS"/>
        </w:rPr>
        <w:t>говора, под условом да су докази о плаћању трошкова Техничке помоћи наведени у Захтеву о повлачењу средстава достављени Зајмодавцу преко Суфинансијера у форми и садржине задовољавајуће за Зајмодавца</w:t>
      </w:r>
      <w:r w:rsidR="00B16F8D" w:rsidRPr="00895819">
        <w:rPr>
          <w:lang w:val="sr-Cyrl-CS"/>
        </w:rPr>
        <w:t xml:space="preserve">. </w:t>
      </w:r>
    </w:p>
    <w:p w14:paraId="09B4713B" w14:textId="77777777" w:rsidR="00E51175" w:rsidRPr="00895819" w:rsidRDefault="00E51175" w:rsidP="00B16F8D">
      <w:pPr>
        <w:ind w:left="709"/>
        <w:rPr>
          <w:lang w:val="sr-Cyrl-CS"/>
        </w:rPr>
      </w:pPr>
    </w:p>
    <w:p w14:paraId="6A6894FC" w14:textId="77777777" w:rsidR="00B16F8D" w:rsidRPr="00895819" w:rsidRDefault="00AE17B7" w:rsidP="00B16F8D">
      <w:pPr>
        <w:ind w:left="709"/>
        <w:rPr>
          <w:lang w:val="sr-Cyrl-CS"/>
        </w:rPr>
      </w:pPr>
      <w:r w:rsidRPr="00895819">
        <w:rPr>
          <w:lang w:val="sr-Cyrl-CS"/>
        </w:rPr>
        <w:t>Зајмодавац може од Зајмопримца, директно или преко Суфинансијера, тражити да достави друге доказе којима се потврђује да су радови или услуге који се односе на</w:t>
      </w:r>
      <w:r w:rsidR="00B16F8D" w:rsidRPr="00895819">
        <w:rPr>
          <w:lang w:val="sr-Cyrl-CS"/>
        </w:rPr>
        <w:t xml:space="preserve"> </w:t>
      </w:r>
      <w:r w:rsidRPr="00895819">
        <w:rPr>
          <w:lang w:val="sr-Cyrl-CS"/>
        </w:rPr>
        <w:t>Дозвољене расходе Техничке помоћи реализовани</w:t>
      </w:r>
      <w:r w:rsidR="00B16F8D" w:rsidRPr="00895819">
        <w:rPr>
          <w:lang w:val="sr-Cyrl-CS"/>
        </w:rPr>
        <w:t>.</w:t>
      </w:r>
    </w:p>
    <w:p w14:paraId="49287C5C" w14:textId="77777777" w:rsidR="00B16F8D" w:rsidRPr="00895819" w:rsidRDefault="00B16F8D" w:rsidP="00B16F8D">
      <w:pPr>
        <w:ind w:left="709"/>
        <w:rPr>
          <w:lang w:val="sr-Cyrl-CS"/>
        </w:rPr>
      </w:pPr>
    </w:p>
    <w:p w14:paraId="3137B615" w14:textId="77777777" w:rsidR="00B16F8D" w:rsidRPr="00895819" w:rsidRDefault="00AE17B7" w:rsidP="00B16F8D">
      <w:pPr>
        <w:pStyle w:val="AATitre3"/>
        <w:rPr>
          <w:lang w:val="sr-Cyrl-CS"/>
        </w:rPr>
      </w:pPr>
      <w:bookmarkStart w:id="15" w:name="_Ref125581490"/>
      <w:bookmarkStart w:id="16" w:name="_Ref379252030"/>
      <w:r w:rsidRPr="00895819">
        <w:rPr>
          <w:lang w:val="sr-Cyrl-CS"/>
        </w:rPr>
        <w:t xml:space="preserve">Методе плаћања Транше техничке помоћи – Директно плаћање </w:t>
      </w:r>
      <w:bookmarkEnd w:id="15"/>
    </w:p>
    <w:p w14:paraId="4151033E" w14:textId="77777777" w:rsidR="00B16F8D" w:rsidRPr="00895819" w:rsidRDefault="00554A5E" w:rsidP="00B16F8D">
      <w:pPr>
        <w:pStyle w:val="AATitre7"/>
        <w:numPr>
          <w:ilvl w:val="0"/>
          <w:numId w:val="0"/>
        </w:numPr>
        <w:ind w:left="720"/>
        <w:rPr>
          <w:lang w:val="sr-Cyrl-CS"/>
        </w:rPr>
      </w:pPr>
      <w:r w:rsidRPr="00895819">
        <w:rPr>
          <w:lang w:val="sr-Cyrl-CS"/>
        </w:rPr>
        <w:t>Зајмопримац може захтевати у Захтеву за повлачење средстава да се повучена средстава ставе на располагање директно било ком добављачу на име плаћања Дозвољених трошкова Техничке помоћи</w:t>
      </w:r>
      <w:r w:rsidR="00B16F8D" w:rsidRPr="00895819">
        <w:rPr>
          <w:lang w:val="sr-Cyrl-CS"/>
        </w:rPr>
        <w:t xml:space="preserve">. </w:t>
      </w:r>
    </w:p>
    <w:bookmarkEnd w:id="16"/>
    <w:p w14:paraId="5BF64387" w14:textId="77777777" w:rsidR="00B16F8D" w:rsidRPr="00895819" w:rsidRDefault="00554A5E" w:rsidP="00B16F8D">
      <w:pPr>
        <w:pStyle w:val="AATitre7"/>
        <w:numPr>
          <w:ilvl w:val="0"/>
          <w:numId w:val="0"/>
        </w:numPr>
        <w:ind w:left="709"/>
        <w:rPr>
          <w:lang w:val="sr-Cyrl-CS"/>
        </w:rPr>
      </w:pPr>
      <w:r w:rsidRPr="00895819">
        <w:rPr>
          <w:lang w:val="sr-Cyrl-CS"/>
        </w:rPr>
        <w:t xml:space="preserve">Зајмопримац овим овлашћује Зајмодавца да изврши директна плаћања </w:t>
      </w:r>
      <w:r w:rsidR="00562937" w:rsidRPr="00895819">
        <w:rPr>
          <w:lang w:val="sr-Cyrl-CS"/>
        </w:rPr>
        <w:t xml:space="preserve">из Повучених средстава </w:t>
      </w:r>
      <w:r w:rsidRPr="00895819">
        <w:rPr>
          <w:lang w:val="sr-Cyrl-CS"/>
        </w:rPr>
        <w:t>у складу са горе наведеним ставом</w:t>
      </w:r>
      <w:r w:rsidR="00B16F8D" w:rsidRPr="00895819">
        <w:rPr>
          <w:lang w:val="sr-Cyrl-CS"/>
        </w:rPr>
        <w:t xml:space="preserve">. </w:t>
      </w:r>
      <w:r w:rsidRPr="00895819">
        <w:rPr>
          <w:lang w:val="sr-Cyrl-CS"/>
        </w:rPr>
        <w:t>Зајмодавац неће бити у обавези, у било ком тренутку, да верификује да ли постоје ограничења било које природе везане за захтев за Повлачење средстава. Зајмодавац задржава право да одбије такав захтев ако сазна за било које такво ограничење</w:t>
      </w:r>
      <w:r w:rsidR="00B16F8D" w:rsidRPr="00895819">
        <w:rPr>
          <w:lang w:val="sr-Cyrl-CS"/>
        </w:rPr>
        <w:t>.</w:t>
      </w:r>
    </w:p>
    <w:p w14:paraId="1189825D" w14:textId="70DDF589" w:rsidR="00B16F8D" w:rsidRPr="00895819" w:rsidRDefault="00554A5E" w:rsidP="00B16F8D">
      <w:pPr>
        <w:pStyle w:val="Doctxt3"/>
        <w:ind w:left="709"/>
        <w:rPr>
          <w:lang w:val="sr-Cyrl-CS"/>
        </w:rPr>
      </w:pPr>
      <w:r w:rsidRPr="00895819">
        <w:rPr>
          <w:lang w:val="sr-Cyrl-CS"/>
        </w:rPr>
        <w:t>Зајмодавац неће бити одговоран ни на који начин за повлачење средстава и Зајмопримац се одриче било какве радње коју може предузети против Зајмодавца у том погледу. Зајмопримац ће надокнадити Зајмодавцу све трошкове, губитке или обавезе које Зајмодавац претрпи у вези са тужбама трећих страна против Зајмодавца у вези са таквим Повлачењем</w:t>
      </w:r>
      <w:r w:rsidR="005B326E" w:rsidRPr="00895819">
        <w:rPr>
          <w:lang w:val="sr-Cyrl-CS"/>
        </w:rPr>
        <w:t xml:space="preserve"> средстава</w:t>
      </w:r>
      <w:r w:rsidR="00B16F8D" w:rsidRPr="00895819">
        <w:rPr>
          <w:lang w:val="sr-Cyrl-CS"/>
        </w:rPr>
        <w:t xml:space="preserve">. </w:t>
      </w:r>
    </w:p>
    <w:p w14:paraId="635AE7F9" w14:textId="3A796E6D" w:rsidR="00B16F8D" w:rsidRPr="00895819" w:rsidRDefault="00554A5E" w:rsidP="00B16F8D">
      <w:pPr>
        <w:pStyle w:val="Doctxt3"/>
        <w:ind w:left="709"/>
        <w:rPr>
          <w:lang w:val="sr-Cyrl-CS"/>
        </w:rPr>
      </w:pPr>
      <w:r w:rsidRPr="00895819">
        <w:rPr>
          <w:lang w:val="sr-Cyrl-CS"/>
        </w:rPr>
        <w:t xml:space="preserve">Зајмопримац је сагласан да ће се било који износ који уплати Зајмодавац у складу са овим чланом </w:t>
      </w:r>
      <w:r w:rsidR="000D485C" w:rsidRPr="00895819">
        <w:rPr>
          <w:lang w:val="sr-Cyrl-CS"/>
        </w:rPr>
        <w:t>3.4.4</w:t>
      </w:r>
      <w:r w:rsidR="00B16F8D" w:rsidRPr="00895819">
        <w:rPr>
          <w:lang w:val="sr-Cyrl-CS"/>
        </w:rPr>
        <w:t xml:space="preserve"> </w:t>
      </w:r>
      <w:r w:rsidRPr="00895819">
        <w:rPr>
          <w:lang w:val="sr-Cyrl-CS"/>
        </w:rPr>
        <w:t xml:space="preserve">сматрати Повлачењем средстава и да ће у потпуности бити отплаћени Зајмодавцу сви износи плаћени у оквиру Кредита у складу са чланом </w:t>
      </w:r>
      <w:r w:rsidR="00B16F8D" w:rsidRPr="00895819">
        <w:rPr>
          <w:lang w:val="sr-Cyrl-CS"/>
        </w:rPr>
        <w:fldChar w:fldCharType="begin"/>
      </w:r>
      <w:r w:rsidR="00B16F8D" w:rsidRPr="00895819">
        <w:rPr>
          <w:lang w:val="sr-Cyrl-CS"/>
        </w:rPr>
        <w:instrText xml:space="preserve"> REF _Ref125581490 \r \h </w:instrText>
      </w:r>
      <w:r w:rsidR="004628E6" w:rsidRPr="00895819">
        <w:rPr>
          <w:lang w:val="sr-Cyrl-CS"/>
        </w:rPr>
        <w:instrText xml:space="preserve"> \* MERGEFORMAT </w:instrText>
      </w:r>
      <w:r w:rsidR="00B16F8D" w:rsidRPr="00895819">
        <w:rPr>
          <w:lang w:val="sr-Cyrl-CS"/>
        </w:rPr>
      </w:r>
      <w:r w:rsidR="00B16F8D" w:rsidRPr="00895819">
        <w:rPr>
          <w:lang w:val="sr-Cyrl-CS"/>
        </w:rPr>
        <w:fldChar w:fldCharType="separate"/>
      </w:r>
      <w:r w:rsidR="00AC1642">
        <w:rPr>
          <w:lang w:val="sr-Cyrl-CS"/>
        </w:rPr>
        <w:t>3.4.4</w:t>
      </w:r>
      <w:r w:rsidR="00B16F8D" w:rsidRPr="00895819">
        <w:rPr>
          <w:lang w:val="sr-Cyrl-CS"/>
        </w:rPr>
        <w:fldChar w:fldCharType="end"/>
      </w:r>
      <w:r w:rsidR="00FE6F14" w:rsidRPr="00895819">
        <w:rPr>
          <w:lang w:val="sr-Cyrl-CS"/>
        </w:rPr>
        <w:t>3.4.4</w:t>
      </w:r>
      <w:r w:rsidR="00B16F8D" w:rsidRPr="00895819">
        <w:rPr>
          <w:lang w:val="sr-Cyrl-CS"/>
        </w:rPr>
        <w:t xml:space="preserve">, </w:t>
      </w:r>
      <w:r w:rsidRPr="00895819">
        <w:rPr>
          <w:lang w:val="sr-Cyrl-CS"/>
        </w:rPr>
        <w:t>заједно са, и укључујући, али не ограничавајући се на све камате обрачунате на те износе од релевантних Датума повлачења</w:t>
      </w:r>
      <w:r w:rsidR="005B326E" w:rsidRPr="00895819">
        <w:rPr>
          <w:lang w:val="sr-Cyrl-CS"/>
        </w:rPr>
        <w:t xml:space="preserve"> средстава</w:t>
      </w:r>
      <w:r w:rsidR="00B16F8D" w:rsidRPr="00895819">
        <w:rPr>
          <w:lang w:val="sr-Cyrl-CS"/>
        </w:rPr>
        <w:t xml:space="preserve">. </w:t>
      </w:r>
    </w:p>
    <w:p w14:paraId="31823285" w14:textId="77777777" w:rsidR="00B16F8D" w:rsidRPr="00895819" w:rsidRDefault="00554A5E" w:rsidP="000F181A">
      <w:pPr>
        <w:pStyle w:val="AATitre2"/>
        <w:rPr>
          <w:lang w:val="sr-Cyrl-CS"/>
        </w:rPr>
      </w:pPr>
      <w:bookmarkStart w:id="17" w:name="_Toc135947133"/>
      <w:r w:rsidRPr="00895819">
        <w:rPr>
          <w:lang w:val="sr-Cyrl-CS"/>
        </w:rPr>
        <w:lastRenderedPageBreak/>
        <w:t>Рок за прво Повлачење средстава</w:t>
      </w:r>
      <w:bookmarkEnd w:id="17"/>
    </w:p>
    <w:p w14:paraId="6AD8E3D8" w14:textId="53201A4C" w:rsidR="00B16F8D" w:rsidRPr="00895819" w:rsidRDefault="00FE6F14" w:rsidP="00B16F8D">
      <w:pPr>
        <w:pStyle w:val="BodyText1"/>
        <w:rPr>
          <w:lang w:val="sr-Cyrl-CS"/>
        </w:rPr>
      </w:pPr>
      <w:r w:rsidRPr="00895819">
        <w:rPr>
          <w:lang w:val="sr-Cyrl-CS"/>
        </w:rPr>
        <w:t>Прво П</w:t>
      </w:r>
      <w:r w:rsidR="00A35B51" w:rsidRPr="00895819">
        <w:rPr>
          <w:lang w:val="sr-Cyrl-CS"/>
        </w:rPr>
        <w:t>овлачење средстава би</w:t>
      </w:r>
      <w:r w:rsidR="00895D5D" w:rsidRPr="00895819">
        <w:rPr>
          <w:lang w:val="sr-Cyrl-CS"/>
        </w:rPr>
        <w:t>ће</w:t>
      </w:r>
      <w:r w:rsidR="00A35B51" w:rsidRPr="00895819">
        <w:rPr>
          <w:lang w:val="sr-Cyrl-CS"/>
        </w:rPr>
        <w:t xml:space="preserve"> реализовано најкасније </w:t>
      </w:r>
      <w:r w:rsidR="00895D5D" w:rsidRPr="00895819">
        <w:rPr>
          <w:lang w:val="sr-Cyrl-CS"/>
        </w:rPr>
        <w:t>до Р</w:t>
      </w:r>
      <w:r w:rsidR="00A35B51" w:rsidRPr="00895819">
        <w:rPr>
          <w:lang w:val="sr-Cyrl-CS"/>
        </w:rPr>
        <w:t>ок</w:t>
      </w:r>
      <w:r w:rsidR="00895D5D" w:rsidRPr="00895819">
        <w:rPr>
          <w:lang w:val="sr-Cyrl-CS"/>
        </w:rPr>
        <w:t>а</w:t>
      </w:r>
      <w:r w:rsidR="00A35B51" w:rsidRPr="00895819">
        <w:rPr>
          <w:lang w:val="sr-Cyrl-CS"/>
        </w:rPr>
        <w:t xml:space="preserve"> за </w:t>
      </w:r>
      <w:r w:rsidR="00F51511" w:rsidRPr="00895819">
        <w:rPr>
          <w:lang w:val="sr-Cyrl-CS"/>
        </w:rPr>
        <w:t>п</w:t>
      </w:r>
      <w:r w:rsidRPr="00895819">
        <w:rPr>
          <w:lang w:val="sr-Cyrl-CS"/>
        </w:rPr>
        <w:t>рво П</w:t>
      </w:r>
      <w:r w:rsidR="00A35B51" w:rsidRPr="00895819">
        <w:rPr>
          <w:lang w:val="sr-Cyrl-CS"/>
        </w:rPr>
        <w:t>овлачење средстава.</w:t>
      </w:r>
      <w:r w:rsidR="00B16F8D" w:rsidRPr="00895819">
        <w:rPr>
          <w:lang w:val="sr-Cyrl-CS"/>
        </w:rPr>
        <w:t xml:space="preserve"> </w:t>
      </w:r>
    </w:p>
    <w:p w14:paraId="1DA9B2E8" w14:textId="4E40287C" w:rsidR="00B16F8D" w:rsidRPr="00895819" w:rsidRDefault="00A35B51" w:rsidP="00B16F8D">
      <w:pPr>
        <w:pStyle w:val="BodyText1"/>
        <w:rPr>
          <w:lang w:val="sr-Cyrl-CS"/>
        </w:rPr>
      </w:pPr>
      <w:r w:rsidRPr="00895819">
        <w:rPr>
          <w:lang w:val="sr-Cyrl-CS"/>
        </w:rPr>
        <w:t xml:space="preserve">Уколико до првог Повлачења средстава не дође у горе наведеном периоду, Зајмодавац може да откаже Кредитни аранжман у складу са чланом </w:t>
      </w:r>
      <w:r w:rsidR="000D485C" w:rsidRPr="00895819">
        <w:rPr>
          <w:lang w:val="sr-Cyrl-CS"/>
        </w:rPr>
        <w:t>8.4(</w:t>
      </w:r>
      <w:r w:rsidRPr="00895819">
        <w:rPr>
          <w:lang w:val="sr-Cyrl-CS"/>
        </w:rPr>
        <w:t>б</w:t>
      </w:r>
      <w:r w:rsidR="000D485C" w:rsidRPr="00895819">
        <w:rPr>
          <w:lang w:val="sr-Cyrl-CS"/>
        </w:rPr>
        <w:t>) (</w:t>
      </w:r>
      <w:r w:rsidR="00FE6F14" w:rsidRPr="00895819">
        <w:rPr>
          <w:i/>
          <w:lang w:val="sr-Cyrl-CS"/>
        </w:rPr>
        <w:t xml:space="preserve">Отказивање </w:t>
      </w:r>
      <w:r w:rsidRPr="00895819">
        <w:rPr>
          <w:i/>
          <w:lang w:val="sr-Cyrl-CS"/>
        </w:rPr>
        <w:t>од стране Зајмодавца</w:t>
      </w:r>
      <w:r w:rsidR="000D485C" w:rsidRPr="00895819">
        <w:rPr>
          <w:lang w:val="sr-Cyrl-CS"/>
        </w:rPr>
        <w:t>)</w:t>
      </w:r>
      <w:r w:rsidR="00B16F8D" w:rsidRPr="00895819">
        <w:rPr>
          <w:lang w:val="sr-Cyrl-CS"/>
        </w:rPr>
        <w:t>.</w:t>
      </w:r>
    </w:p>
    <w:p w14:paraId="1241353E" w14:textId="537D0B8E" w:rsidR="00B16F8D" w:rsidRPr="00895819" w:rsidRDefault="004C08F6" w:rsidP="00B16F8D">
      <w:pPr>
        <w:pStyle w:val="BodyText1"/>
        <w:rPr>
          <w:lang w:val="sr-Cyrl-CS"/>
        </w:rPr>
      </w:pPr>
      <w:r w:rsidRPr="00895819">
        <w:rPr>
          <w:lang w:val="sr-Cyrl-CS"/>
        </w:rPr>
        <w:t xml:space="preserve">Рок за </w:t>
      </w:r>
      <w:r w:rsidR="00F51511" w:rsidRPr="00895819">
        <w:rPr>
          <w:lang w:val="sr-Cyrl-CS"/>
        </w:rPr>
        <w:t>п</w:t>
      </w:r>
      <w:r w:rsidR="00FE6F14" w:rsidRPr="00895819">
        <w:rPr>
          <w:lang w:val="sr-Cyrl-CS"/>
        </w:rPr>
        <w:t>рво П</w:t>
      </w:r>
      <w:r w:rsidRPr="00895819">
        <w:rPr>
          <w:lang w:val="sr-Cyrl-CS"/>
        </w:rPr>
        <w:t>овлачење средстава не може се одложити без претходне сагласности Зајмодавца</w:t>
      </w:r>
      <w:r w:rsidR="00B16F8D" w:rsidRPr="00895819">
        <w:rPr>
          <w:lang w:val="sr-Cyrl-CS"/>
        </w:rPr>
        <w:t xml:space="preserve">. </w:t>
      </w:r>
    </w:p>
    <w:p w14:paraId="6AA43F85" w14:textId="0C459EA8" w:rsidR="00B16F8D" w:rsidRPr="00895819" w:rsidRDefault="00697D4A" w:rsidP="00B16F8D">
      <w:pPr>
        <w:pStyle w:val="BodyText1"/>
        <w:rPr>
          <w:lang w:val="sr-Cyrl-CS"/>
        </w:rPr>
      </w:pPr>
      <w:r w:rsidRPr="00895819">
        <w:rPr>
          <w:lang w:val="sr-Cyrl-CS"/>
        </w:rPr>
        <w:t xml:space="preserve">Свако одлагање </w:t>
      </w:r>
      <w:r w:rsidR="00F51511" w:rsidRPr="00895819">
        <w:rPr>
          <w:lang w:val="sr-Cyrl-CS"/>
        </w:rPr>
        <w:t>Р</w:t>
      </w:r>
      <w:r w:rsidRPr="00895819">
        <w:rPr>
          <w:lang w:val="sr-Cyrl-CS"/>
        </w:rPr>
        <w:t>о</w:t>
      </w:r>
      <w:r w:rsidR="00F51511" w:rsidRPr="00895819">
        <w:rPr>
          <w:lang w:val="sr-Cyrl-CS"/>
        </w:rPr>
        <w:t>к</w:t>
      </w:r>
      <w:r w:rsidRPr="00895819">
        <w:rPr>
          <w:lang w:val="sr-Cyrl-CS"/>
        </w:rPr>
        <w:t xml:space="preserve">а </w:t>
      </w:r>
      <w:r w:rsidR="00F51511" w:rsidRPr="00895819">
        <w:rPr>
          <w:lang w:val="sr-Cyrl-CS"/>
        </w:rPr>
        <w:t xml:space="preserve">за прво </w:t>
      </w:r>
      <w:r w:rsidR="005B326E" w:rsidRPr="00895819">
        <w:rPr>
          <w:lang w:val="sr-Cyrl-CS"/>
        </w:rPr>
        <w:t>П</w:t>
      </w:r>
      <w:r w:rsidRPr="00895819">
        <w:rPr>
          <w:lang w:val="sr-Cyrl-CS"/>
        </w:rPr>
        <w:t>овлачењ</w:t>
      </w:r>
      <w:r w:rsidR="00F51511" w:rsidRPr="00895819">
        <w:rPr>
          <w:lang w:val="sr-Cyrl-CS"/>
        </w:rPr>
        <w:t>е</w:t>
      </w:r>
      <w:r w:rsidRPr="00895819">
        <w:rPr>
          <w:lang w:val="sr-Cyrl-CS"/>
        </w:rPr>
        <w:t xml:space="preserve"> средстава биће </w:t>
      </w:r>
      <w:r w:rsidR="00B16F8D" w:rsidRPr="00895819">
        <w:rPr>
          <w:lang w:val="sr-Cyrl-CS"/>
        </w:rPr>
        <w:t xml:space="preserve">(i) </w:t>
      </w:r>
      <w:r w:rsidRPr="00895819">
        <w:rPr>
          <w:lang w:val="sr-Cyrl-CS"/>
        </w:rPr>
        <w:t xml:space="preserve">подложно накнадама и/или новим финансијским условима; и </w:t>
      </w:r>
      <w:r w:rsidR="00B16F8D" w:rsidRPr="00895819">
        <w:rPr>
          <w:lang w:val="sr-Cyrl-CS"/>
        </w:rPr>
        <w:t xml:space="preserve">(ii) </w:t>
      </w:r>
      <w:r w:rsidRPr="00895819">
        <w:rPr>
          <w:lang w:val="sr-Cyrl-CS"/>
        </w:rPr>
        <w:t>формализовано у писаној форми између Страна</w:t>
      </w:r>
      <w:r w:rsidR="00B16F8D" w:rsidRPr="00895819">
        <w:rPr>
          <w:lang w:val="sr-Cyrl-CS"/>
        </w:rPr>
        <w:t>.</w:t>
      </w:r>
    </w:p>
    <w:p w14:paraId="3A25D3C4" w14:textId="2A5C3360" w:rsidR="00B16F8D" w:rsidRPr="00895819" w:rsidRDefault="007423D5" w:rsidP="000F181A">
      <w:pPr>
        <w:pStyle w:val="AATitre2"/>
        <w:rPr>
          <w:lang w:val="sr-Cyrl-CS"/>
        </w:rPr>
      </w:pPr>
      <w:bookmarkStart w:id="18" w:name="_Toc135947134"/>
      <w:r w:rsidRPr="00895819">
        <w:rPr>
          <w:lang w:val="sr-Cyrl-CS"/>
        </w:rPr>
        <w:t>Рок за</w:t>
      </w:r>
      <w:r w:rsidR="005B326E" w:rsidRPr="00895819">
        <w:rPr>
          <w:lang w:val="sr-Cyrl-CS"/>
        </w:rPr>
        <w:t xml:space="preserve"> П</w:t>
      </w:r>
      <w:r w:rsidRPr="00895819">
        <w:rPr>
          <w:lang w:val="sr-Cyrl-CS"/>
        </w:rPr>
        <w:t>овлачење средстава</w:t>
      </w:r>
      <w:bookmarkEnd w:id="18"/>
    </w:p>
    <w:p w14:paraId="5839E91B" w14:textId="77777777" w:rsidR="00B16F8D" w:rsidRPr="00895819" w:rsidRDefault="009E3125" w:rsidP="00B16F8D">
      <w:pPr>
        <w:pStyle w:val="BodyText1"/>
        <w:rPr>
          <w:lang w:val="sr-Cyrl-CS"/>
        </w:rPr>
      </w:pPr>
      <w:r w:rsidRPr="00895819">
        <w:rPr>
          <w:lang w:val="sr-Cyrl-CS"/>
        </w:rPr>
        <w:t>Повлачење средстава у целини реализоваће се најкасније до истека Рока за повлачење средстава.</w:t>
      </w:r>
    </w:p>
    <w:p w14:paraId="40B0A805" w14:textId="662A1CD8" w:rsidR="00B16F8D" w:rsidRPr="00895819" w:rsidRDefault="009E3125" w:rsidP="00B16F8D">
      <w:pPr>
        <w:pStyle w:val="BodyText1"/>
        <w:rPr>
          <w:lang w:val="sr-Cyrl-CS"/>
        </w:rPr>
      </w:pPr>
      <w:r w:rsidRPr="00895819">
        <w:rPr>
          <w:lang w:val="sr-Cyrl-CS"/>
        </w:rPr>
        <w:t>Ако повлачење средстава у целини не наступи у напред наведеном року, Зајмодавац може да откаже</w:t>
      </w:r>
      <w:r w:rsidR="00FE6F14" w:rsidRPr="00895819">
        <w:rPr>
          <w:lang w:val="sr-Cyrl-CS"/>
        </w:rPr>
        <w:t xml:space="preserve"> Кредитни аранжман у складу са ч</w:t>
      </w:r>
      <w:r w:rsidRPr="00895819">
        <w:rPr>
          <w:lang w:val="sr-Cyrl-CS"/>
        </w:rPr>
        <w:t>ланом</w:t>
      </w:r>
      <w:r w:rsidR="000D485C" w:rsidRPr="00895819">
        <w:rPr>
          <w:lang w:val="sr-Cyrl-CS"/>
        </w:rPr>
        <w:t xml:space="preserve"> 8.4</w:t>
      </w:r>
      <w:r w:rsidR="005844C1" w:rsidRPr="00895819">
        <w:rPr>
          <w:lang w:val="sr-Cyrl-CS"/>
        </w:rPr>
        <w:t xml:space="preserve"> (</w:t>
      </w:r>
      <w:r w:rsidR="005844C1" w:rsidRPr="00895819">
        <w:rPr>
          <w:i/>
          <w:lang w:val="sr-Cyrl-CS"/>
        </w:rPr>
        <w:t>Отказивање</w:t>
      </w:r>
      <w:r w:rsidR="005B326E" w:rsidRPr="00895819">
        <w:rPr>
          <w:i/>
          <w:lang w:val="sr-Cyrl-CS"/>
        </w:rPr>
        <w:t xml:space="preserve"> </w:t>
      </w:r>
      <w:r w:rsidR="005844C1" w:rsidRPr="00895819">
        <w:rPr>
          <w:i/>
          <w:lang w:val="sr-Cyrl-CS"/>
        </w:rPr>
        <w:t>од стране Зајмодавца</w:t>
      </w:r>
      <w:r w:rsidR="005844C1" w:rsidRPr="00895819">
        <w:rPr>
          <w:lang w:val="sr-Cyrl-CS"/>
        </w:rPr>
        <w:t>)</w:t>
      </w:r>
      <w:r w:rsidR="00B16F8D" w:rsidRPr="00895819">
        <w:rPr>
          <w:lang w:val="sr-Cyrl-CS"/>
        </w:rPr>
        <w:t>.</w:t>
      </w:r>
    </w:p>
    <w:p w14:paraId="542AA148" w14:textId="77777777" w:rsidR="00B16F8D" w:rsidRPr="00895819" w:rsidRDefault="009E3125" w:rsidP="00B16F8D">
      <w:pPr>
        <w:pStyle w:val="BodyText1"/>
        <w:rPr>
          <w:lang w:val="sr-Cyrl-CS"/>
        </w:rPr>
      </w:pPr>
      <w:r w:rsidRPr="00895819">
        <w:rPr>
          <w:lang w:val="sr-Cyrl-CS"/>
        </w:rPr>
        <w:t>Рок за повлачење средстава не може се продужити без претходне сагласности Зајмодавца</w:t>
      </w:r>
      <w:r w:rsidR="00B16F8D" w:rsidRPr="00895819">
        <w:rPr>
          <w:lang w:val="sr-Cyrl-CS"/>
        </w:rPr>
        <w:t xml:space="preserve">. </w:t>
      </w:r>
    </w:p>
    <w:p w14:paraId="027A1C5B" w14:textId="77777777" w:rsidR="00B16F8D" w:rsidRPr="00895819" w:rsidRDefault="0046121A" w:rsidP="00B16F8D">
      <w:pPr>
        <w:pStyle w:val="BodyText1"/>
        <w:rPr>
          <w:lang w:val="sr-Cyrl-CS"/>
        </w:rPr>
      </w:pPr>
      <w:r w:rsidRPr="00895819">
        <w:rPr>
          <w:lang w:val="sr-Cyrl-CS"/>
        </w:rPr>
        <w:t>С</w:t>
      </w:r>
      <w:r w:rsidR="00F837A8" w:rsidRPr="00895819">
        <w:rPr>
          <w:lang w:val="sr-Cyrl-CS"/>
        </w:rPr>
        <w:t xml:space="preserve">вако </w:t>
      </w:r>
      <w:r w:rsidRPr="00895819">
        <w:rPr>
          <w:lang w:val="sr-Cyrl-CS"/>
        </w:rPr>
        <w:t>одлагање</w:t>
      </w:r>
      <w:r w:rsidR="00F837A8" w:rsidRPr="00895819">
        <w:rPr>
          <w:lang w:val="sr-Cyrl-CS"/>
        </w:rPr>
        <w:t xml:space="preserve"> Рока за повлачење средстава </w:t>
      </w:r>
      <w:r w:rsidRPr="00895819">
        <w:rPr>
          <w:lang w:val="sr-Cyrl-CS"/>
        </w:rPr>
        <w:t>биће (i) подложно накнадама и/или новим финансијским условима; и (ii) формализовано у писаној форми између Страна</w:t>
      </w:r>
      <w:r w:rsidR="00B16F8D" w:rsidRPr="00895819">
        <w:rPr>
          <w:lang w:val="sr-Cyrl-CS"/>
        </w:rPr>
        <w:t>.</w:t>
      </w:r>
    </w:p>
    <w:p w14:paraId="219E7054" w14:textId="77777777" w:rsidR="00B16F8D" w:rsidRPr="00895819" w:rsidRDefault="00F837A8" w:rsidP="00A32298">
      <w:pPr>
        <w:pStyle w:val="AATitre1"/>
        <w:rPr>
          <w:lang w:val="sr-Cyrl-CS"/>
        </w:rPr>
      </w:pPr>
      <w:bookmarkStart w:id="19" w:name="_Ref125648474"/>
      <w:bookmarkStart w:id="20" w:name="_Ref125648478"/>
      <w:bookmarkStart w:id="21" w:name="_Toc135947135"/>
      <w:r w:rsidRPr="00895819">
        <w:rPr>
          <w:lang w:val="sr-Cyrl-CS"/>
        </w:rPr>
        <w:t>КАМАТА</w:t>
      </w:r>
      <w:bookmarkEnd w:id="19"/>
      <w:bookmarkEnd w:id="20"/>
      <w:bookmarkEnd w:id="21"/>
    </w:p>
    <w:p w14:paraId="564812DE" w14:textId="77777777" w:rsidR="00B16F8D" w:rsidRPr="00895819" w:rsidRDefault="00F837A8" w:rsidP="000F181A">
      <w:pPr>
        <w:pStyle w:val="AATitre2"/>
        <w:rPr>
          <w:u w:val="none"/>
          <w:lang w:val="sr-Cyrl-CS"/>
        </w:rPr>
      </w:pPr>
      <w:bookmarkStart w:id="22" w:name="_Toc135947136"/>
      <w:r w:rsidRPr="00895819">
        <w:rPr>
          <w:lang w:val="sr-Cyrl-CS"/>
        </w:rPr>
        <w:t>Каматна стопа</w:t>
      </w:r>
      <w:bookmarkEnd w:id="22"/>
    </w:p>
    <w:p w14:paraId="2608C304" w14:textId="77777777" w:rsidR="00B16F8D" w:rsidRPr="00895819" w:rsidRDefault="00F837A8" w:rsidP="00B16F8D">
      <w:pPr>
        <w:pStyle w:val="AATitre3"/>
        <w:rPr>
          <w:lang w:val="sr-Cyrl-CS"/>
        </w:rPr>
      </w:pPr>
      <w:bookmarkStart w:id="23" w:name="_Ref125581839"/>
      <w:r w:rsidRPr="00895819">
        <w:rPr>
          <w:lang w:val="sr-Cyrl-CS"/>
        </w:rPr>
        <w:t>Избор каматне стопе</w:t>
      </w:r>
      <w:bookmarkEnd w:id="23"/>
    </w:p>
    <w:p w14:paraId="392E274D" w14:textId="77777777" w:rsidR="00B16F8D" w:rsidRPr="00895819" w:rsidRDefault="00AC2C0E" w:rsidP="00B16F8D">
      <w:pPr>
        <w:pStyle w:val="Doctxt2"/>
        <w:rPr>
          <w:lang w:val="sr-Cyrl-CS"/>
        </w:rPr>
      </w:pPr>
      <w:r w:rsidRPr="00895819">
        <w:rPr>
          <w:lang w:val="sr-Cyrl-CS"/>
        </w:rPr>
        <w:t xml:space="preserve">За потребе Кредитног аранжмана, Зајмопримац може одабрати фиксну Каматну стопу или </w:t>
      </w:r>
      <w:r w:rsidR="00CE08CD" w:rsidRPr="00895819">
        <w:rPr>
          <w:lang w:val="sr-Cyrl-CS"/>
        </w:rPr>
        <w:t>променљиву</w:t>
      </w:r>
      <w:r w:rsidRPr="00895819">
        <w:rPr>
          <w:lang w:val="sr-Cyrl-CS"/>
        </w:rPr>
        <w:t xml:space="preserve"> Каматну стопу, која ће се примењивати на износ дефинисан у одговарајућем Захтеву за повлачење средстава, тако што ће одабрану Каматну стопу, односно фиксну или </w:t>
      </w:r>
      <w:r w:rsidR="00CE08CD" w:rsidRPr="00895819">
        <w:rPr>
          <w:lang w:val="sr-Cyrl-CS"/>
        </w:rPr>
        <w:t>променљиву</w:t>
      </w:r>
      <w:r w:rsidRPr="00895819">
        <w:rPr>
          <w:lang w:val="sr-Cyrl-CS"/>
        </w:rPr>
        <w:t xml:space="preserve">, навести у Захтеву за повлачење средстава достављеном Зајмодавцу и сачињеном у највећој мери у форми датој у Прилогу </w:t>
      </w:r>
      <w:r w:rsidR="004758A9" w:rsidRPr="00895819">
        <w:rPr>
          <w:lang w:val="sr-Cyrl-CS"/>
        </w:rPr>
        <w:t>5A (</w:t>
      </w:r>
      <w:r w:rsidRPr="00895819">
        <w:rPr>
          <w:i/>
          <w:lang w:val="sr-Cyrl-CS"/>
        </w:rPr>
        <w:t>Образац захтева за конверзију стопе</w:t>
      </w:r>
      <w:r w:rsidR="004758A9" w:rsidRPr="00895819">
        <w:rPr>
          <w:lang w:val="sr-Cyrl-CS"/>
        </w:rPr>
        <w:t>)</w:t>
      </w:r>
      <w:r w:rsidR="00B16F8D" w:rsidRPr="00895819">
        <w:rPr>
          <w:lang w:val="sr-Cyrl-CS"/>
        </w:rPr>
        <w:t xml:space="preserve">, </w:t>
      </w:r>
      <w:r w:rsidRPr="00895819">
        <w:rPr>
          <w:lang w:val="sr-Cyrl-CS"/>
        </w:rPr>
        <w:t>под следећим условима</w:t>
      </w:r>
      <w:r w:rsidR="00B16F8D" w:rsidRPr="00895819">
        <w:rPr>
          <w:lang w:val="sr-Cyrl-CS"/>
        </w:rPr>
        <w:t>:</w:t>
      </w:r>
    </w:p>
    <w:p w14:paraId="3AA68D50" w14:textId="2B86F532" w:rsidR="00B16F8D" w:rsidRPr="00895819" w:rsidRDefault="005B326E" w:rsidP="005B326E">
      <w:pPr>
        <w:pStyle w:val="AATitre6"/>
        <w:numPr>
          <w:ilvl w:val="0"/>
          <w:numId w:val="0"/>
        </w:numPr>
        <w:ind w:left="720" w:hanging="720"/>
        <w:rPr>
          <w:lang w:val="sr-Cyrl-CS"/>
        </w:rPr>
      </w:pPr>
      <w:r w:rsidRPr="00895819">
        <w:rPr>
          <w:lang w:val="sr-Cyrl-CS"/>
        </w:rPr>
        <w:t>(а)</w:t>
      </w:r>
      <w:r w:rsidRPr="00895819">
        <w:rPr>
          <w:lang w:val="sr-Cyrl-CS"/>
        </w:rPr>
        <w:tab/>
      </w:r>
      <w:r w:rsidR="00CE08CD" w:rsidRPr="00895819">
        <w:rPr>
          <w:lang w:val="sr-Cyrl-CS"/>
        </w:rPr>
        <w:t>Променљива</w:t>
      </w:r>
      <w:r w:rsidR="00AC2C0E" w:rsidRPr="00895819">
        <w:rPr>
          <w:lang w:val="sr-Cyrl-CS"/>
        </w:rPr>
        <w:t xml:space="preserve"> каматна стопа</w:t>
      </w:r>
    </w:p>
    <w:p w14:paraId="228815D3" w14:textId="77777777" w:rsidR="00B16F8D" w:rsidRPr="00895819" w:rsidRDefault="00966830" w:rsidP="00B16F8D">
      <w:pPr>
        <w:pStyle w:val="Doctxt3"/>
        <w:rPr>
          <w:lang w:val="sr-Cyrl-CS"/>
        </w:rPr>
      </w:pPr>
      <w:r w:rsidRPr="00895819">
        <w:rPr>
          <w:lang w:val="sr-Cyrl-CS"/>
        </w:rPr>
        <w:t xml:space="preserve">Зајмопримац може изабрати </w:t>
      </w:r>
      <w:r w:rsidR="00CE08CD" w:rsidRPr="00895819">
        <w:rPr>
          <w:lang w:val="sr-Cyrl-CS"/>
        </w:rPr>
        <w:t>променљиву</w:t>
      </w:r>
      <w:r w:rsidRPr="00895819">
        <w:rPr>
          <w:lang w:val="sr-Cyrl-CS"/>
        </w:rPr>
        <w:t xml:space="preserve"> Каматну стопу, </w:t>
      </w:r>
      <w:r w:rsidR="00B47773" w:rsidRPr="00895819">
        <w:rPr>
          <w:lang w:val="sr-Cyrl-CS"/>
        </w:rPr>
        <w:t>која ће бити процентуална годишња стопа, која је збир</w:t>
      </w:r>
      <w:r w:rsidR="00B16F8D" w:rsidRPr="00895819">
        <w:rPr>
          <w:lang w:val="sr-Cyrl-CS"/>
        </w:rPr>
        <w:t>:</w:t>
      </w:r>
    </w:p>
    <w:p w14:paraId="59B9F85F" w14:textId="0E906EE8" w:rsidR="00B16F8D" w:rsidRPr="00895819" w:rsidRDefault="00B47773" w:rsidP="00B16F8D">
      <w:pPr>
        <w:pStyle w:val="Bullet1"/>
        <w:ind w:left="2841"/>
        <w:rPr>
          <w:lang w:val="sr-Cyrl-CS"/>
        </w:rPr>
      </w:pPr>
      <w:r w:rsidRPr="00895819">
        <w:rPr>
          <w:lang w:val="sr-Cyrl-CS"/>
        </w:rPr>
        <w:t xml:space="preserve">шестомесечног </w:t>
      </w:r>
      <w:r w:rsidR="005B326E" w:rsidRPr="00895819">
        <w:rPr>
          <w:lang w:val="sr-Cyrl-CS"/>
        </w:rPr>
        <w:t>EURIBOR</w:t>
      </w:r>
      <w:r w:rsidRPr="00895819">
        <w:rPr>
          <w:lang w:val="sr-Cyrl-CS"/>
        </w:rPr>
        <w:t>-а, или, зависно од случаја, Заменске камате увећане за било коју Маржу за прилагођавање, утврђене у складу са одредбама члана 5 (</w:t>
      </w:r>
      <w:r w:rsidRPr="00895819">
        <w:rPr>
          <w:i/>
          <w:lang w:val="sr-Cyrl-CS"/>
        </w:rPr>
        <w:t>Измена обрачуна камате</w:t>
      </w:r>
      <w:r w:rsidRPr="00895819">
        <w:rPr>
          <w:lang w:val="sr-Cyrl-CS"/>
        </w:rPr>
        <w:t>) Уговора; и</w:t>
      </w:r>
    </w:p>
    <w:p w14:paraId="4E7A419B" w14:textId="77777777" w:rsidR="00B16F8D" w:rsidRPr="00895819" w:rsidRDefault="00B47773" w:rsidP="00B16F8D">
      <w:pPr>
        <w:pStyle w:val="Bullet1"/>
        <w:ind w:left="2838"/>
        <w:rPr>
          <w:rFonts w:cs="Times New Roman"/>
          <w:lang w:val="sr-Cyrl-CS"/>
        </w:rPr>
      </w:pPr>
      <w:r w:rsidRPr="00895819">
        <w:rPr>
          <w:lang w:val="sr-Cyrl-CS"/>
        </w:rPr>
        <w:t>Марже</w:t>
      </w:r>
      <w:r w:rsidR="00B16F8D" w:rsidRPr="00895819">
        <w:rPr>
          <w:rFonts w:cs="Times New Roman"/>
          <w:lang w:val="sr-Cyrl-CS"/>
        </w:rPr>
        <w:t>.</w:t>
      </w:r>
    </w:p>
    <w:p w14:paraId="4333C321" w14:textId="6A560E7F" w:rsidR="00B16F8D" w:rsidRPr="00895819" w:rsidRDefault="00B47773" w:rsidP="00B16F8D">
      <w:pPr>
        <w:pStyle w:val="Doctxt3"/>
        <w:rPr>
          <w:lang w:val="sr-Cyrl-CS"/>
        </w:rPr>
      </w:pPr>
      <w:r w:rsidRPr="00895819">
        <w:rPr>
          <w:lang w:val="sr-Cyrl-CS"/>
        </w:rPr>
        <w:lastRenderedPageBreak/>
        <w:t>Не доводећи у питање горе наведено</w:t>
      </w:r>
      <w:r w:rsidR="00B16F8D" w:rsidRPr="00895819">
        <w:rPr>
          <w:lang w:val="sr-Cyrl-CS"/>
        </w:rPr>
        <w:t xml:space="preserve">, </w:t>
      </w:r>
      <w:r w:rsidR="00F34475" w:rsidRPr="00895819">
        <w:rPr>
          <w:lang w:val="sr-Cyrl-CS"/>
        </w:rPr>
        <w:t>за свако П</w:t>
      </w:r>
      <w:r w:rsidR="001D173F" w:rsidRPr="00895819">
        <w:rPr>
          <w:lang w:val="sr-Cyrl-CS"/>
        </w:rPr>
        <w:t xml:space="preserve">овлачење, у случају првог Каматног периода, </w:t>
      </w:r>
      <w:r w:rsidRPr="00895819">
        <w:rPr>
          <w:lang w:val="sr-Cyrl-CS"/>
        </w:rPr>
        <w:t xml:space="preserve">ако је први Каматни период краћи од сто тридесет и пет (135) дана, примењиви </w:t>
      </w:r>
      <w:r w:rsidR="005B326E" w:rsidRPr="00895819">
        <w:rPr>
          <w:lang w:val="sr-Cyrl-CS"/>
        </w:rPr>
        <w:t xml:space="preserve">EURIBOR </w:t>
      </w:r>
      <w:r w:rsidRPr="00895819">
        <w:rPr>
          <w:lang w:val="sr-Cyrl-CS"/>
        </w:rPr>
        <w:t>ће бити</w:t>
      </w:r>
      <w:r w:rsidR="00B16F8D" w:rsidRPr="00895819">
        <w:rPr>
          <w:lang w:val="sr-Cyrl-CS"/>
        </w:rPr>
        <w:t>:</w:t>
      </w:r>
    </w:p>
    <w:p w14:paraId="33D1B170" w14:textId="6C652832" w:rsidR="00B16F8D" w:rsidRPr="00895819" w:rsidRDefault="00B47773" w:rsidP="00B16F8D">
      <w:pPr>
        <w:pStyle w:val="Bullet1"/>
        <w:ind w:left="2835" w:hanging="675"/>
        <w:rPr>
          <w:lang w:val="sr-Cyrl-CS"/>
        </w:rPr>
      </w:pPr>
      <w:r w:rsidRPr="00895819">
        <w:rPr>
          <w:lang w:val="sr-Cyrl-CS"/>
        </w:rPr>
        <w:t xml:space="preserve">једномесечни </w:t>
      </w:r>
      <w:r w:rsidR="005B326E" w:rsidRPr="00895819">
        <w:rPr>
          <w:lang w:val="sr-Cyrl-CS"/>
        </w:rPr>
        <w:t xml:space="preserve">EURIBOR </w:t>
      </w:r>
      <w:r w:rsidRPr="00895819">
        <w:rPr>
          <w:lang w:val="sr-Cyrl-CS"/>
        </w:rPr>
        <w:t>или, зависно од случаја, Заменска камата увећан</w:t>
      </w:r>
      <w:r w:rsidR="003F4FA5" w:rsidRPr="00895819">
        <w:rPr>
          <w:lang w:val="sr-Cyrl-CS"/>
        </w:rPr>
        <w:t>а</w:t>
      </w:r>
      <w:r w:rsidRPr="00895819">
        <w:rPr>
          <w:lang w:val="sr-Cyrl-CS"/>
        </w:rPr>
        <w:t xml:space="preserve"> за било коју Маржу за прилагођавање, утврђен у складу са одредбама члана 5 (</w:t>
      </w:r>
      <w:r w:rsidRPr="00895819">
        <w:rPr>
          <w:i/>
          <w:lang w:val="sr-Cyrl-CS"/>
        </w:rPr>
        <w:t>Измена обрачуна камате</w:t>
      </w:r>
      <w:r w:rsidRPr="00895819">
        <w:rPr>
          <w:lang w:val="sr-Cyrl-CS"/>
        </w:rPr>
        <w:t>) Уговора, уколико је први Каматни период краћи од шездесет (60) дана; или</w:t>
      </w:r>
    </w:p>
    <w:p w14:paraId="0E90F779" w14:textId="406087FE" w:rsidR="00B16F8D" w:rsidRPr="00895819" w:rsidRDefault="00B47773" w:rsidP="00B16F8D">
      <w:pPr>
        <w:pStyle w:val="Bullet1"/>
        <w:ind w:left="2838"/>
        <w:rPr>
          <w:rFonts w:cs="Times New Roman"/>
          <w:lang w:val="sr-Cyrl-CS"/>
        </w:rPr>
      </w:pPr>
      <w:r w:rsidRPr="00895819">
        <w:rPr>
          <w:lang w:val="sr-Cyrl-CS"/>
        </w:rPr>
        <w:t xml:space="preserve">тромесечни </w:t>
      </w:r>
      <w:r w:rsidR="005B326E" w:rsidRPr="00895819">
        <w:rPr>
          <w:lang w:val="sr-Cyrl-CS"/>
        </w:rPr>
        <w:t xml:space="preserve">EURIBOR </w:t>
      </w:r>
      <w:r w:rsidRPr="00895819">
        <w:rPr>
          <w:lang w:val="sr-Cyrl-CS"/>
        </w:rPr>
        <w:t>или, зависно од случаја, Заменска камата увећан</w:t>
      </w:r>
      <w:r w:rsidR="003F4FA5" w:rsidRPr="00895819">
        <w:rPr>
          <w:lang w:val="sr-Cyrl-CS"/>
        </w:rPr>
        <w:t>а</w:t>
      </w:r>
      <w:r w:rsidRPr="00895819">
        <w:rPr>
          <w:lang w:val="sr-Cyrl-CS"/>
        </w:rPr>
        <w:t xml:space="preserve"> за било коју Маржу за прилагођавање, утврђен у складу са одредбама члана 5 (</w:t>
      </w:r>
      <w:r w:rsidRPr="00895819">
        <w:rPr>
          <w:i/>
          <w:lang w:val="sr-Cyrl-CS"/>
        </w:rPr>
        <w:t>Измена обрачуна камате</w:t>
      </w:r>
      <w:r w:rsidRPr="00895819">
        <w:rPr>
          <w:lang w:val="sr-Cyrl-CS"/>
        </w:rPr>
        <w:t>) Уговора, уколико је први Каматни период између шездесет (60) и сто тридесет пет (135) дана</w:t>
      </w:r>
      <w:r w:rsidR="00B16F8D" w:rsidRPr="00895819">
        <w:rPr>
          <w:rFonts w:cs="Times New Roman"/>
          <w:lang w:val="sr-Cyrl-CS"/>
        </w:rPr>
        <w:t>.</w:t>
      </w:r>
    </w:p>
    <w:p w14:paraId="6A729201" w14:textId="6C069A85" w:rsidR="00B16F8D" w:rsidRPr="00895819" w:rsidRDefault="005B326E" w:rsidP="005B326E">
      <w:pPr>
        <w:pStyle w:val="AATitre6"/>
        <w:numPr>
          <w:ilvl w:val="0"/>
          <w:numId w:val="0"/>
        </w:numPr>
        <w:ind w:left="720" w:hanging="720"/>
        <w:rPr>
          <w:lang w:val="sr-Cyrl-CS"/>
        </w:rPr>
      </w:pPr>
      <w:r w:rsidRPr="00895819">
        <w:rPr>
          <w:lang w:val="sr-Cyrl-CS"/>
        </w:rPr>
        <w:t>(б)</w:t>
      </w:r>
      <w:r w:rsidRPr="00895819">
        <w:rPr>
          <w:lang w:val="sr-Cyrl-CS"/>
        </w:rPr>
        <w:tab/>
      </w:r>
      <w:r w:rsidR="003E3792" w:rsidRPr="00895819">
        <w:rPr>
          <w:lang w:val="sr-Cyrl-CS"/>
        </w:rPr>
        <w:t>Фиксна каматна стопа</w:t>
      </w:r>
    </w:p>
    <w:p w14:paraId="48582148" w14:textId="4200972A" w:rsidR="00B16F8D" w:rsidRPr="00895819" w:rsidRDefault="006D4EE8" w:rsidP="00B16F8D">
      <w:pPr>
        <w:pStyle w:val="AATitre6"/>
        <w:numPr>
          <w:ilvl w:val="0"/>
          <w:numId w:val="0"/>
        </w:numPr>
        <w:ind w:left="2160"/>
        <w:rPr>
          <w:lang w:val="sr-Cyrl-CS"/>
        </w:rPr>
      </w:pPr>
      <w:r w:rsidRPr="00895819">
        <w:rPr>
          <w:lang w:val="sr-Cyrl-CS"/>
        </w:rPr>
        <w:t>Под условом да је износ траженог Повлачења средстава једнак или већи од три милиона евра (3.000.000 ЕУР), Зајмопримац може одабрати фиксну Каматну стопу за такво захтевано повлачење. Фиксна Каматна стопа представља Фиксну референтну стопу увећану или умањену за сваку флуктуацију Индексне стопе за период од Датума потписивања до релевантног Да</w:t>
      </w:r>
      <w:r w:rsidR="005B326E" w:rsidRPr="00895819">
        <w:rPr>
          <w:lang w:val="sr-Cyrl-CS"/>
        </w:rPr>
        <w:t>тума утврђивања стопе за свако П</w:t>
      </w:r>
      <w:r w:rsidRPr="00895819">
        <w:rPr>
          <w:lang w:val="sr-Cyrl-CS"/>
        </w:rPr>
        <w:t>овлачење средстава</w:t>
      </w:r>
      <w:r w:rsidR="00B16F8D" w:rsidRPr="00895819">
        <w:rPr>
          <w:lang w:val="sr-Cyrl-CS"/>
        </w:rPr>
        <w:t xml:space="preserve">. </w:t>
      </w:r>
    </w:p>
    <w:p w14:paraId="780196BA" w14:textId="77777777" w:rsidR="00B16F8D" w:rsidRPr="00895819" w:rsidRDefault="007C6A47" w:rsidP="00B16F8D">
      <w:pPr>
        <w:pStyle w:val="AATitre6"/>
        <w:numPr>
          <w:ilvl w:val="0"/>
          <w:numId w:val="0"/>
        </w:numPr>
        <w:ind w:left="2127"/>
        <w:rPr>
          <w:lang w:val="sr-Cyrl-CS"/>
        </w:rPr>
      </w:pPr>
      <w:r w:rsidRPr="00895819">
        <w:rPr>
          <w:lang w:val="sr-Cyrl-CS"/>
        </w:rPr>
        <w:t>Зајмопримац може навести у Захтеву за повлачење средстава максимални износ фиксне Каматне стопе. Ако фиксна Каматна стопа, обрачуната на Да</w:t>
      </w:r>
      <w:r w:rsidR="00A12BD2" w:rsidRPr="00895819">
        <w:rPr>
          <w:lang w:val="sr-Cyrl-CS"/>
        </w:rPr>
        <w:t>тум</w:t>
      </w:r>
      <w:r w:rsidRPr="00895819">
        <w:rPr>
          <w:lang w:val="sr-Cyrl-CS"/>
        </w:rPr>
        <w:t xml:space="preserve"> утврђивања каматне стопе премаши максимални износ фиксне Каматне стопе наведене у релевантном Захтеву за повлачење средстава, такав Захтев за повлачење средстава се поништава, а износ Повлачења средстава наведен у поништеном Захтеву за повлачење средстава биће приписан Доступним крединим средствима.</w:t>
      </w:r>
    </w:p>
    <w:p w14:paraId="70005A06" w14:textId="77777777" w:rsidR="00B16F8D" w:rsidRPr="00895819" w:rsidRDefault="00826566" w:rsidP="00B16F8D">
      <w:pPr>
        <w:pStyle w:val="AATitre3"/>
        <w:rPr>
          <w:lang w:val="sr-Cyrl-CS"/>
        </w:rPr>
      </w:pPr>
      <w:r w:rsidRPr="00895819">
        <w:rPr>
          <w:lang w:val="sr-Cyrl-CS"/>
        </w:rPr>
        <w:t>Минимална каматна стопа</w:t>
      </w:r>
      <w:r w:rsidR="00B16F8D" w:rsidRPr="00895819">
        <w:rPr>
          <w:lang w:val="sr-Cyrl-CS"/>
        </w:rPr>
        <w:t xml:space="preserve"> </w:t>
      </w:r>
    </w:p>
    <w:p w14:paraId="588A8D24" w14:textId="303F4E16" w:rsidR="00B16F8D" w:rsidRPr="00895819" w:rsidRDefault="00826566" w:rsidP="00B16F8D">
      <w:pPr>
        <w:pStyle w:val="Doctxt2"/>
        <w:rPr>
          <w:lang w:val="sr-Cyrl-CS"/>
        </w:rPr>
      </w:pPr>
      <w:r w:rsidRPr="00895819">
        <w:rPr>
          <w:lang w:val="sr-Cyrl-CS"/>
        </w:rPr>
        <w:t xml:space="preserve">Каматна стопа утврђена у складу са чланом </w:t>
      </w:r>
      <w:r w:rsidR="000D485C" w:rsidRPr="00895819">
        <w:rPr>
          <w:lang w:val="sr-Cyrl-CS"/>
        </w:rPr>
        <w:t>4.1.1 (</w:t>
      </w:r>
      <w:r w:rsidR="007E135D" w:rsidRPr="00895819">
        <w:rPr>
          <w:i/>
          <w:lang w:val="sr-Cyrl-CS"/>
        </w:rPr>
        <w:t>Избор к</w:t>
      </w:r>
      <w:r w:rsidRPr="00895819">
        <w:rPr>
          <w:i/>
          <w:lang w:val="sr-Cyrl-CS"/>
        </w:rPr>
        <w:t>аматне стопе</w:t>
      </w:r>
      <w:r w:rsidR="000D485C" w:rsidRPr="00895819">
        <w:rPr>
          <w:lang w:val="sr-Cyrl-CS"/>
        </w:rPr>
        <w:t>)</w:t>
      </w:r>
      <w:r w:rsidR="00B16F8D" w:rsidRPr="00895819">
        <w:rPr>
          <w:lang w:val="sr-Cyrl-CS"/>
        </w:rPr>
        <w:t xml:space="preserve">, </w:t>
      </w:r>
      <w:r w:rsidR="00EC334D" w:rsidRPr="00895819">
        <w:rPr>
          <w:lang w:val="sr-Cyrl-CS"/>
        </w:rPr>
        <w:t>без обзира на то која је могућност одабрана, не може бити нижа од нула кома двадесет пет одсто (0,25%) годишње, без обзира на могуће смањење Каматне стопе</w:t>
      </w:r>
      <w:r w:rsidR="00B16F8D" w:rsidRPr="00895819">
        <w:rPr>
          <w:lang w:val="sr-Cyrl-CS"/>
        </w:rPr>
        <w:t>.</w:t>
      </w:r>
    </w:p>
    <w:p w14:paraId="56558CBF" w14:textId="77777777" w:rsidR="00B16F8D" w:rsidRPr="00895819" w:rsidRDefault="009B4EF7" w:rsidP="00B16F8D">
      <w:pPr>
        <w:pStyle w:val="AATitre3"/>
        <w:rPr>
          <w:lang w:val="sr-Cyrl-CS"/>
        </w:rPr>
      </w:pPr>
      <w:bookmarkStart w:id="24" w:name="_Ref77760323"/>
      <w:r w:rsidRPr="00895819">
        <w:rPr>
          <w:lang w:val="sr-Cyrl-CS"/>
        </w:rPr>
        <w:t xml:space="preserve">Конверзија из </w:t>
      </w:r>
      <w:r w:rsidR="00CE08CD" w:rsidRPr="00895819">
        <w:rPr>
          <w:lang w:val="sr-Cyrl-CS"/>
        </w:rPr>
        <w:t>променљиве</w:t>
      </w:r>
      <w:r w:rsidRPr="00895819">
        <w:rPr>
          <w:lang w:val="sr-Cyrl-CS"/>
        </w:rPr>
        <w:t xml:space="preserve"> Каматне стопе у фиксну Каматну стопу</w:t>
      </w:r>
      <w:bookmarkEnd w:id="24"/>
    </w:p>
    <w:p w14:paraId="2B056018" w14:textId="77777777" w:rsidR="00B16F8D" w:rsidRPr="00895819" w:rsidRDefault="00CE08CD" w:rsidP="00B16F8D">
      <w:pPr>
        <w:pStyle w:val="Doctxt2"/>
        <w:rPr>
          <w:lang w:val="sr-Cyrl-CS"/>
        </w:rPr>
      </w:pPr>
      <w:r w:rsidRPr="00895819">
        <w:rPr>
          <w:lang w:val="sr-Cyrl-CS"/>
        </w:rPr>
        <w:t>Променљива</w:t>
      </w:r>
      <w:r w:rsidR="006F3A71" w:rsidRPr="00895819">
        <w:rPr>
          <w:lang w:val="sr-Cyrl-CS"/>
        </w:rPr>
        <w:t xml:space="preserve"> Каматна стопа која се примењује на Повлачење средстава, конвертује се у фиксну Каматну стопу у складу са напред наведеним условима</w:t>
      </w:r>
      <w:r w:rsidR="00B16F8D" w:rsidRPr="00895819">
        <w:rPr>
          <w:lang w:val="sr-Cyrl-CS"/>
        </w:rPr>
        <w:t>:</w:t>
      </w:r>
    </w:p>
    <w:p w14:paraId="084430FE" w14:textId="77777777" w:rsidR="00B16F8D" w:rsidRPr="00895819" w:rsidRDefault="00DE31F4" w:rsidP="00B16F8D">
      <w:pPr>
        <w:pStyle w:val="AATitre6"/>
        <w:rPr>
          <w:lang w:val="sr-Cyrl-CS"/>
        </w:rPr>
      </w:pPr>
      <w:r w:rsidRPr="00895819">
        <w:rPr>
          <w:lang w:val="sr-Cyrl-CS"/>
        </w:rPr>
        <w:t>Конверзија стопе на захтев Зајмопримца</w:t>
      </w:r>
      <w:r w:rsidR="00B16F8D" w:rsidRPr="00895819">
        <w:rPr>
          <w:lang w:val="sr-Cyrl-CS"/>
        </w:rPr>
        <w:t xml:space="preserve"> </w:t>
      </w:r>
    </w:p>
    <w:p w14:paraId="3B18438F" w14:textId="77777777" w:rsidR="00B16F8D" w:rsidRPr="00895819" w:rsidRDefault="00B07712" w:rsidP="00B16F8D">
      <w:pPr>
        <w:pStyle w:val="Doctxt3"/>
        <w:rPr>
          <w:lang w:val="sr-Cyrl-CS"/>
        </w:rPr>
      </w:pPr>
      <w:r w:rsidRPr="00895819">
        <w:rPr>
          <w:lang w:val="sr-Cyrl-CS"/>
        </w:rPr>
        <w:t xml:space="preserve">У било ком тренутку, Зајмопримац може тражити да Зајмодавац конвертује </w:t>
      </w:r>
      <w:r w:rsidR="00CE08CD" w:rsidRPr="00895819">
        <w:rPr>
          <w:lang w:val="sr-Cyrl-CS"/>
        </w:rPr>
        <w:t>променљиву</w:t>
      </w:r>
      <w:r w:rsidRPr="00895819">
        <w:rPr>
          <w:lang w:val="sr-Cyrl-CS"/>
        </w:rPr>
        <w:t xml:space="preserve"> Каматну стопу примењиву на Повлачење средстава у фиксну Каматну стопу</w:t>
      </w:r>
      <w:r w:rsidR="00B16F8D" w:rsidRPr="00895819">
        <w:rPr>
          <w:lang w:val="sr-Cyrl-CS"/>
        </w:rPr>
        <w:t>.</w:t>
      </w:r>
    </w:p>
    <w:p w14:paraId="2CE4A323" w14:textId="77777777" w:rsidR="00B16F8D" w:rsidRPr="00895819" w:rsidRDefault="007C3DB0" w:rsidP="00B16F8D">
      <w:pPr>
        <w:pStyle w:val="Doctxt3"/>
        <w:rPr>
          <w:lang w:val="sr-Cyrl-CS"/>
        </w:rPr>
      </w:pPr>
      <w:r w:rsidRPr="00895819">
        <w:rPr>
          <w:lang w:val="sr-Cyrl-CS"/>
        </w:rPr>
        <w:t>У том смислу, Зајмопримац доставља Зајмодавцу Захтев за конверзију стопе сачињен у највећој мери у складу са обрасцем из Прилога</w:t>
      </w:r>
      <w:r w:rsidR="004758A9" w:rsidRPr="00895819">
        <w:rPr>
          <w:lang w:val="sr-Cyrl-CS"/>
        </w:rPr>
        <w:t xml:space="preserve"> 5</w:t>
      </w:r>
      <w:r w:rsidRPr="00895819">
        <w:rPr>
          <w:lang w:val="sr-Cyrl-CS"/>
        </w:rPr>
        <w:t>Ц</w:t>
      </w:r>
      <w:r w:rsidR="004758A9" w:rsidRPr="00895819">
        <w:rPr>
          <w:lang w:val="sr-Cyrl-CS"/>
        </w:rPr>
        <w:t xml:space="preserve"> (</w:t>
      </w:r>
      <w:r w:rsidRPr="00895819">
        <w:rPr>
          <w:i/>
          <w:iCs/>
          <w:lang w:val="sr-Cyrl-CS"/>
        </w:rPr>
        <w:t>Образац Захтева за конверзију стопе</w:t>
      </w:r>
      <w:r w:rsidR="004758A9" w:rsidRPr="00895819">
        <w:rPr>
          <w:lang w:val="sr-Cyrl-CS"/>
        </w:rPr>
        <w:t>)</w:t>
      </w:r>
      <w:r w:rsidR="00B16F8D" w:rsidRPr="00895819">
        <w:rPr>
          <w:lang w:val="sr-Cyrl-CS"/>
        </w:rPr>
        <w:t xml:space="preserve">. </w:t>
      </w:r>
      <w:r w:rsidRPr="00895819">
        <w:rPr>
          <w:lang w:val="sr-Cyrl-CS"/>
        </w:rPr>
        <w:t>Зајмопримац у Захтеву за конверзију стопе може навести максимални износ фиксне Каматне стопе. Ако фиксна Каматна стопа обрачуната на Да</w:t>
      </w:r>
      <w:r w:rsidR="000E3C78" w:rsidRPr="00895819">
        <w:rPr>
          <w:lang w:val="sr-Cyrl-CS"/>
        </w:rPr>
        <w:t>тум</w:t>
      </w:r>
      <w:r w:rsidRPr="00895819">
        <w:rPr>
          <w:lang w:val="sr-Cyrl-CS"/>
        </w:rPr>
        <w:t xml:space="preserve"> утврђивања каматне стопе прелази максимални износ фиксне Каматне стопе коју Зајмопримац </w:t>
      </w:r>
      <w:r w:rsidRPr="00895819">
        <w:rPr>
          <w:lang w:val="sr-Cyrl-CS"/>
        </w:rPr>
        <w:lastRenderedPageBreak/>
        <w:t>наведе у Захтеву за конверзију стопе, такав Захтев за конверзију стопе се аутоматски поништава</w:t>
      </w:r>
      <w:r w:rsidR="00B16F8D" w:rsidRPr="00895819">
        <w:rPr>
          <w:lang w:val="sr-Cyrl-CS"/>
        </w:rPr>
        <w:t>.</w:t>
      </w:r>
    </w:p>
    <w:p w14:paraId="5A53358D" w14:textId="77777777" w:rsidR="00B16F8D" w:rsidRPr="00895819" w:rsidRDefault="0096755C" w:rsidP="00B16F8D">
      <w:pPr>
        <w:pStyle w:val="Doctxt3"/>
        <w:rPr>
          <w:lang w:val="sr-Cyrl-CS"/>
        </w:rPr>
      </w:pPr>
      <w:r w:rsidRPr="00895819">
        <w:rPr>
          <w:lang w:val="sr-Cyrl-CS"/>
        </w:rPr>
        <w:t>Фиксна Каматна стопа ступа на снагу два (2) Радна дана након Да</w:t>
      </w:r>
      <w:r w:rsidR="000E3C78" w:rsidRPr="00895819">
        <w:rPr>
          <w:lang w:val="sr-Cyrl-CS"/>
        </w:rPr>
        <w:t>тума</w:t>
      </w:r>
      <w:r w:rsidRPr="00895819">
        <w:rPr>
          <w:lang w:val="sr-Cyrl-CS"/>
        </w:rPr>
        <w:t xml:space="preserve"> утврђивања каматне стопе</w:t>
      </w:r>
      <w:r w:rsidR="00B16F8D" w:rsidRPr="00895819">
        <w:rPr>
          <w:lang w:val="sr-Cyrl-CS"/>
        </w:rPr>
        <w:t xml:space="preserve">. </w:t>
      </w:r>
    </w:p>
    <w:p w14:paraId="453A5922" w14:textId="5311685A" w:rsidR="00B16F8D" w:rsidRPr="00895819" w:rsidRDefault="007E135D" w:rsidP="007E135D">
      <w:pPr>
        <w:pStyle w:val="AATitre6"/>
        <w:numPr>
          <w:ilvl w:val="0"/>
          <w:numId w:val="0"/>
        </w:numPr>
        <w:ind w:left="720" w:hanging="720"/>
        <w:rPr>
          <w:lang w:val="sr-Cyrl-CS"/>
        </w:rPr>
      </w:pPr>
      <w:r w:rsidRPr="00895819">
        <w:rPr>
          <w:lang w:val="sr-Cyrl-CS"/>
        </w:rPr>
        <w:t>(б)</w:t>
      </w:r>
      <w:r w:rsidRPr="00895819">
        <w:rPr>
          <w:lang w:val="sr-Cyrl-CS"/>
        </w:rPr>
        <w:tab/>
      </w:r>
      <w:r w:rsidR="0096755C" w:rsidRPr="00895819">
        <w:rPr>
          <w:lang w:val="sr-Cyrl-CS"/>
        </w:rPr>
        <w:t>Механизми за Конверзију стопе</w:t>
      </w:r>
    </w:p>
    <w:p w14:paraId="6A7A514E" w14:textId="3446E9A9" w:rsidR="00B16F8D" w:rsidRPr="00895819" w:rsidRDefault="00DE0267" w:rsidP="00B16F8D">
      <w:pPr>
        <w:pStyle w:val="Doctxt3"/>
        <w:rPr>
          <w:lang w:val="sr-Cyrl-CS"/>
        </w:rPr>
      </w:pPr>
      <w:r w:rsidRPr="00895819">
        <w:rPr>
          <w:lang w:val="sr-Cyrl-CS"/>
        </w:rPr>
        <w:t>Фиксна Каматна стопа која се примењује на одговарајуће Повлачење средстава утврђуј</w:t>
      </w:r>
      <w:r w:rsidR="007E135D" w:rsidRPr="00895819">
        <w:rPr>
          <w:lang w:val="sr-Cyrl-CS"/>
        </w:rPr>
        <w:t>е се у складу са чланом 4.1.1(б</w:t>
      </w:r>
      <w:r w:rsidRPr="00895819">
        <w:rPr>
          <w:lang w:val="sr-Cyrl-CS"/>
        </w:rPr>
        <w:t>) (</w:t>
      </w:r>
      <w:r w:rsidRPr="00895819">
        <w:rPr>
          <w:i/>
          <w:iCs/>
          <w:lang w:val="sr-Cyrl-CS"/>
        </w:rPr>
        <w:t>Фиксна каматна стопа</w:t>
      </w:r>
      <w:r w:rsidRPr="00895819">
        <w:rPr>
          <w:lang w:val="sr-Cyrl-CS"/>
        </w:rPr>
        <w:t>) на Датум утврђивања каматне стопе из горе наведене тачке (i)</w:t>
      </w:r>
      <w:r w:rsidR="00B16F8D" w:rsidRPr="00895819">
        <w:rPr>
          <w:lang w:val="sr-Cyrl-CS"/>
        </w:rPr>
        <w:t xml:space="preserve">. </w:t>
      </w:r>
      <w:r w:rsidRPr="00895819">
        <w:rPr>
          <w:lang w:val="sr-Cyrl-CS"/>
        </w:rPr>
        <w:t>Зајмодавац доставља Зајмопримцу писмо о потврди Конверзије стопе које ће у највећој мери бити сачињено у складу са обрасцем из Прилога 5Д</w:t>
      </w:r>
      <w:r w:rsidR="004758A9" w:rsidRPr="00895819">
        <w:rPr>
          <w:lang w:val="sr-Cyrl-CS"/>
        </w:rPr>
        <w:t xml:space="preserve"> (</w:t>
      </w:r>
      <w:r w:rsidRPr="00895819">
        <w:rPr>
          <w:i/>
          <w:lang w:val="sr-Cyrl-CS"/>
        </w:rPr>
        <w:t>Образац потврде</w:t>
      </w:r>
      <w:r w:rsidR="00016477" w:rsidRPr="00895819">
        <w:rPr>
          <w:i/>
          <w:lang w:val="sr-Cyrl-CS"/>
        </w:rPr>
        <w:t xml:space="preserve"> за конверзију</w:t>
      </w:r>
      <w:r w:rsidRPr="00895819">
        <w:rPr>
          <w:i/>
          <w:lang w:val="sr-Cyrl-CS"/>
        </w:rPr>
        <w:t xml:space="preserve"> стопе</w:t>
      </w:r>
      <w:r w:rsidR="004758A9" w:rsidRPr="00895819">
        <w:rPr>
          <w:lang w:val="sr-Cyrl-CS"/>
        </w:rPr>
        <w:t>)</w:t>
      </w:r>
      <w:r w:rsidR="00B16F8D" w:rsidRPr="00895819">
        <w:rPr>
          <w:lang w:val="sr-Cyrl-CS"/>
        </w:rPr>
        <w:t>.</w:t>
      </w:r>
    </w:p>
    <w:p w14:paraId="718E0303" w14:textId="77777777" w:rsidR="00B16F8D" w:rsidRPr="00895819" w:rsidRDefault="00DE0267" w:rsidP="00B16F8D">
      <w:pPr>
        <w:pStyle w:val="Doctxt3"/>
        <w:rPr>
          <w:lang w:val="sr-Cyrl-CS"/>
        </w:rPr>
      </w:pPr>
      <w:r w:rsidRPr="00895819">
        <w:rPr>
          <w:lang w:val="sr-Cyrl-CS"/>
        </w:rPr>
        <w:t>Конверзија стопе је коначна и врши се без накнаде</w:t>
      </w:r>
      <w:r w:rsidR="00B16F8D" w:rsidRPr="00895819">
        <w:rPr>
          <w:lang w:val="sr-Cyrl-CS"/>
        </w:rPr>
        <w:t xml:space="preserve">. </w:t>
      </w:r>
    </w:p>
    <w:p w14:paraId="70167695" w14:textId="77777777" w:rsidR="00B16F8D" w:rsidRPr="00895819" w:rsidRDefault="00745EB7" w:rsidP="000F181A">
      <w:pPr>
        <w:pStyle w:val="AATitre2"/>
        <w:rPr>
          <w:u w:val="none"/>
          <w:lang w:val="sr-Cyrl-CS"/>
        </w:rPr>
      </w:pPr>
      <w:bookmarkStart w:id="25" w:name="_Toc135947137"/>
      <w:r w:rsidRPr="00895819">
        <w:rPr>
          <w:lang w:val="sr-Cyrl-CS"/>
        </w:rPr>
        <w:t>Обрачун и плаћање камат</w:t>
      </w:r>
      <w:r w:rsidR="008F29E8" w:rsidRPr="00895819">
        <w:rPr>
          <w:lang w:val="sr-Cyrl-CS"/>
        </w:rPr>
        <w:t>е</w:t>
      </w:r>
      <w:bookmarkEnd w:id="25"/>
    </w:p>
    <w:p w14:paraId="28D032EF" w14:textId="77777777" w:rsidR="00B16F8D" w:rsidRPr="00895819" w:rsidRDefault="00745EB7" w:rsidP="00B16F8D">
      <w:pPr>
        <w:pStyle w:val="Doctxt1"/>
        <w:rPr>
          <w:lang w:val="sr-Cyrl-CS"/>
        </w:rPr>
      </w:pPr>
      <w:r w:rsidRPr="00895819">
        <w:rPr>
          <w:lang w:val="sr-Cyrl-CS"/>
        </w:rPr>
        <w:t>Зајмопримац плаћа доспелу камату на Повлачење средстава на сваки Датум плаћања</w:t>
      </w:r>
      <w:r w:rsidR="00B16F8D" w:rsidRPr="00895819">
        <w:rPr>
          <w:lang w:val="sr-Cyrl-CS"/>
        </w:rPr>
        <w:t>.</w:t>
      </w:r>
    </w:p>
    <w:p w14:paraId="563EB797" w14:textId="77777777" w:rsidR="00B16F8D" w:rsidRPr="00895819" w:rsidRDefault="00FF1C31" w:rsidP="00B16F8D">
      <w:pPr>
        <w:pStyle w:val="Doctxt1"/>
        <w:rPr>
          <w:lang w:val="sr-Cyrl-CS"/>
        </w:rPr>
      </w:pPr>
      <w:r w:rsidRPr="00895819">
        <w:rPr>
          <w:lang w:val="sr-Cyrl-CS"/>
        </w:rPr>
        <w:t>Износ камате који је Зајмопримац дужан да плати на одговарајући Датум плаћања и за одговарајући Каматни период једнак је збиру камате коју је Зајмопримац дужан да плати на износ Неизмирене главнице по основу сваког Повлачења средстава. Камата коју је Зајмопримац дужан да плати по основу сваког Повлачења средстава обрачунава се на основу</w:t>
      </w:r>
      <w:r w:rsidR="00B16F8D" w:rsidRPr="00895819">
        <w:rPr>
          <w:lang w:val="sr-Cyrl-CS"/>
        </w:rPr>
        <w:t>:</w:t>
      </w:r>
    </w:p>
    <w:p w14:paraId="3F16019C" w14:textId="4E8A187C" w:rsidR="00B16F8D" w:rsidRPr="00895819" w:rsidRDefault="00016477" w:rsidP="00016477">
      <w:pPr>
        <w:pStyle w:val="AATitre6"/>
        <w:numPr>
          <w:ilvl w:val="0"/>
          <w:numId w:val="0"/>
        </w:numPr>
        <w:ind w:left="720" w:hanging="720"/>
        <w:rPr>
          <w:lang w:val="sr-Cyrl-CS"/>
        </w:rPr>
      </w:pPr>
      <w:r w:rsidRPr="00895819">
        <w:rPr>
          <w:lang w:val="sr-Cyrl-CS"/>
        </w:rPr>
        <w:t>(а)</w:t>
      </w:r>
      <w:r w:rsidRPr="00895819">
        <w:rPr>
          <w:lang w:val="sr-Cyrl-CS"/>
        </w:rPr>
        <w:tab/>
      </w:r>
      <w:r w:rsidR="00B53D0C" w:rsidRPr="00895819">
        <w:rPr>
          <w:lang w:val="sr-Cyrl-CS"/>
        </w:rPr>
        <w:t>Неизмирене главнице коју Зајмопримац дугује по основу релевантног Повлачења средстава са стањем на први претходни Датум плаћања или, за први Каматни период, на одговарајући Датум повлачења средстава</w:t>
      </w:r>
      <w:r w:rsidR="00B16F8D" w:rsidRPr="00895819">
        <w:rPr>
          <w:lang w:val="sr-Cyrl-CS"/>
        </w:rPr>
        <w:t>;</w:t>
      </w:r>
    </w:p>
    <w:p w14:paraId="4A488AC6" w14:textId="36F0000B" w:rsidR="00B16F8D" w:rsidRPr="00895819" w:rsidRDefault="00016477" w:rsidP="00016477">
      <w:pPr>
        <w:pStyle w:val="AATitre6"/>
        <w:numPr>
          <w:ilvl w:val="0"/>
          <w:numId w:val="0"/>
        </w:numPr>
        <w:ind w:left="720" w:hanging="720"/>
        <w:rPr>
          <w:lang w:val="sr-Cyrl-CS"/>
        </w:rPr>
      </w:pPr>
      <w:r w:rsidRPr="00895819">
        <w:rPr>
          <w:lang w:val="sr-Cyrl-CS"/>
        </w:rPr>
        <w:t>(б)</w:t>
      </w:r>
      <w:r w:rsidRPr="00895819">
        <w:rPr>
          <w:lang w:val="sr-Cyrl-CS"/>
        </w:rPr>
        <w:tab/>
      </w:r>
      <w:r w:rsidR="00B53D0C" w:rsidRPr="00895819">
        <w:rPr>
          <w:lang w:val="sr-Cyrl-CS"/>
        </w:rPr>
        <w:t>тачног броја дана који су протекли током одговарајућег Каматног периода на основу године од три стотине шездесет (360) дана</w:t>
      </w:r>
      <w:r w:rsidR="00B16F8D" w:rsidRPr="00895819">
        <w:rPr>
          <w:lang w:val="sr-Cyrl-CS"/>
        </w:rPr>
        <w:t>;</w:t>
      </w:r>
      <w:r w:rsidR="00B53D0C" w:rsidRPr="00895819">
        <w:rPr>
          <w:lang w:val="sr-Cyrl-CS"/>
        </w:rPr>
        <w:t xml:space="preserve"> и</w:t>
      </w:r>
    </w:p>
    <w:p w14:paraId="5C00A43F" w14:textId="35DBD430" w:rsidR="00B16F8D" w:rsidRPr="00895819" w:rsidRDefault="00016477" w:rsidP="00016477">
      <w:pPr>
        <w:pStyle w:val="AATitre6"/>
        <w:numPr>
          <w:ilvl w:val="0"/>
          <w:numId w:val="0"/>
        </w:numPr>
        <w:ind w:left="720" w:hanging="720"/>
        <w:rPr>
          <w:lang w:val="sr-Cyrl-CS"/>
        </w:rPr>
      </w:pPr>
      <w:r w:rsidRPr="00895819">
        <w:rPr>
          <w:lang w:val="sr-Cyrl-CS"/>
        </w:rPr>
        <w:t>(ц)</w:t>
      </w:r>
      <w:r w:rsidRPr="00895819">
        <w:rPr>
          <w:lang w:val="sr-Cyrl-CS"/>
        </w:rPr>
        <w:tab/>
      </w:r>
      <w:r w:rsidR="00B53D0C" w:rsidRPr="00895819">
        <w:rPr>
          <w:lang w:val="sr-Cyrl-CS"/>
        </w:rPr>
        <w:t>применљиве Каматне стопе утврђене у складу са одредбама члана</w:t>
      </w:r>
      <w:r w:rsidR="000D485C" w:rsidRPr="00895819">
        <w:rPr>
          <w:lang w:val="sr-Cyrl-CS"/>
        </w:rPr>
        <w:t xml:space="preserve"> 4.1 (</w:t>
      </w:r>
      <w:r w:rsidR="00B53D0C" w:rsidRPr="00895819">
        <w:rPr>
          <w:i/>
          <w:lang w:val="sr-Cyrl-CS"/>
        </w:rPr>
        <w:t>Каматна стопа</w:t>
      </w:r>
      <w:r w:rsidR="000D485C" w:rsidRPr="00895819">
        <w:rPr>
          <w:lang w:val="sr-Cyrl-CS"/>
        </w:rPr>
        <w:t>)</w:t>
      </w:r>
      <w:r w:rsidR="00B16F8D" w:rsidRPr="00895819">
        <w:rPr>
          <w:lang w:val="sr-Cyrl-CS"/>
        </w:rPr>
        <w:t>.</w:t>
      </w:r>
    </w:p>
    <w:p w14:paraId="1FA9E852" w14:textId="77777777" w:rsidR="00B16F8D" w:rsidRPr="00895819" w:rsidRDefault="00B53D0C" w:rsidP="000F181A">
      <w:pPr>
        <w:pStyle w:val="AATitre2"/>
        <w:rPr>
          <w:u w:val="none"/>
          <w:lang w:val="sr-Cyrl-CS"/>
        </w:rPr>
      </w:pPr>
      <w:bookmarkStart w:id="26" w:name="_Ref77758805"/>
      <w:bookmarkStart w:id="27" w:name="_Toc130385322"/>
      <w:bookmarkStart w:id="28" w:name="_Toc135947138"/>
      <w:r w:rsidRPr="00895819">
        <w:rPr>
          <w:lang w:val="sr-Cyrl-CS"/>
        </w:rPr>
        <w:t>К</w:t>
      </w:r>
      <w:r w:rsidR="00AF6AC3" w:rsidRPr="00895819">
        <w:rPr>
          <w:lang w:val="sr-Cyrl-CS"/>
        </w:rPr>
        <w:t>амата на доцњу и</w:t>
      </w:r>
      <w:r w:rsidRPr="00895819">
        <w:rPr>
          <w:lang w:val="sr-Cyrl-CS"/>
        </w:rPr>
        <w:t xml:space="preserve"> затезна камата</w:t>
      </w:r>
      <w:bookmarkEnd w:id="26"/>
      <w:bookmarkEnd w:id="27"/>
      <w:bookmarkEnd w:id="28"/>
    </w:p>
    <w:p w14:paraId="544246B0" w14:textId="665994C9" w:rsidR="00B16F8D" w:rsidRPr="00895819" w:rsidRDefault="00016477" w:rsidP="00016477">
      <w:pPr>
        <w:pStyle w:val="AATitre9"/>
        <w:numPr>
          <w:ilvl w:val="0"/>
          <w:numId w:val="0"/>
        </w:numPr>
        <w:ind w:left="1410" w:hanging="690"/>
        <w:rPr>
          <w:lang w:val="sr-Cyrl-CS"/>
        </w:rPr>
      </w:pPr>
      <w:r w:rsidRPr="00895819">
        <w:rPr>
          <w:lang w:val="sr-Cyrl-CS"/>
        </w:rPr>
        <w:t>(а)</w:t>
      </w:r>
      <w:r w:rsidRPr="00895819">
        <w:rPr>
          <w:lang w:val="sr-Cyrl-CS"/>
        </w:rPr>
        <w:tab/>
      </w:r>
      <w:r w:rsidR="00AF6AC3" w:rsidRPr="00895819">
        <w:rPr>
          <w:lang w:val="sr-Cyrl-CS"/>
        </w:rPr>
        <w:t xml:space="preserve">Камата на доцњу и затезна камата на све доспеле неизмирене износе </w:t>
      </w:r>
      <w:r w:rsidR="00B16F8D" w:rsidRPr="00895819">
        <w:rPr>
          <w:lang w:val="sr-Cyrl-CS"/>
        </w:rPr>
        <w:t>(</w:t>
      </w:r>
      <w:r w:rsidR="00AF6AC3" w:rsidRPr="00895819">
        <w:rPr>
          <w:lang w:val="sr-Cyrl-CS"/>
        </w:rPr>
        <w:t>осим камате</w:t>
      </w:r>
      <w:r w:rsidR="00B16F8D" w:rsidRPr="00895819">
        <w:rPr>
          <w:lang w:val="sr-Cyrl-CS"/>
        </w:rPr>
        <w:t xml:space="preserve">) </w:t>
      </w:r>
    </w:p>
    <w:p w14:paraId="0D9EB0EC" w14:textId="217A9315" w:rsidR="00B16F8D" w:rsidRPr="00895819" w:rsidRDefault="00AF6AC3" w:rsidP="00B16F8D">
      <w:pPr>
        <w:pStyle w:val="Doctxt1"/>
        <w:ind w:left="1418"/>
        <w:rPr>
          <w:lang w:val="sr-Cyrl-CS"/>
        </w:rPr>
      </w:pPr>
      <w:r w:rsidRPr="00895819">
        <w:rPr>
          <w:lang w:val="sr-Cyrl-CS"/>
        </w:rPr>
        <w:t>Ако Зајмопримац Зајмодавцу не исплати било који износ досп</w:t>
      </w:r>
      <w:r w:rsidR="009609FE" w:rsidRPr="00895819">
        <w:rPr>
          <w:lang w:val="sr-Cyrl-CS"/>
        </w:rPr>
        <w:t>ео за плаћање у складу са овим у</w:t>
      </w:r>
      <w:r w:rsidRPr="00895819">
        <w:rPr>
          <w:lang w:val="sr-Cyrl-CS"/>
        </w:rPr>
        <w:t>говором</w:t>
      </w:r>
      <w:r w:rsidR="00B16F8D" w:rsidRPr="00895819">
        <w:rPr>
          <w:lang w:val="sr-Cyrl-CS"/>
        </w:rPr>
        <w:t xml:space="preserve"> (</w:t>
      </w:r>
      <w:r w:rsidRPr="00895819">
        <w:rPr>
          <w:lang w:val="sr-Cyrl-CS"/>
        </w:rPr>
        <w:t>било да је реч о отплати главнице, Авансној накнади или евентуалним накнадама или повезаним трошковима било које врсте, осим доспеле неизмирене камате) на дан доспећа, на доспели неизмирени износ обрачунава се камата, у мери допуштеној законом, од дана доспећа до дана измирења обавезе (како пре тако и после одлуке арбитражног суда, ако је таква одлука донета) по Каматној стопи која се примењује за текући Каматни период (затезна камата) увећаној за три кома пет одсто (3,5%) (камата за доцњу). Није потребно никакво претходно званично обавештење Зајмодавца</w:t>
      </w:r>
      <w:r w:rsidR="00B16F8D" w:rsidRPr="00895819">
        <w:rPr>
          <w:lang w:val="sr-Cyrl-CS"/>
        </w:rPr>
        <w:t>.</w:t>
      </w:r>
    </w:p>
    <w:p w14:paraId="1BF5FF31" w14:textId="6181C8B4" w:rsidR="00B16F8D" w:rsidRPr="00895819" w:rsidRDefault="00016477" w:rsidP="00016477">
      <w:pPr>
        <w:pStyle w:val="AATitre9"/>
        <w:numPr>
          <w:ilvl w:val="0"/>
          <w:numId w:val="0"/>
        </w:numPr>
        <w:ind w:left="720" w:hanging="12"/>
        <w:rPr>
          <w:lang w:val="sr-Cyrl-CS"/>
        </w:rPr>
      </w:pPr>
      <w:r w:rsidRPr="00895819">
        <w:rPr>
          <w:lang w:val="sr-Cyrl-CS"/>
        </w:rPr>
        <w:t>(б)</w:t>
      </w:r>
      <w:r w:rsidRPr="00895819">
        <w:rPr>
          <w:lang w:val="sr-Cyrl-CS"/>
        </w:rPr>
        <w:tab/>
      </w:r>
      <w:r w:rsidR="00AF6AC3" w:rsidRPr="00895819">
        <w:rPr>
          <w:lang w:val="sr-Cyrl-CS"/>
        </w:rPr>
        <w:t>Камата на доцњу и затезна камата на доспелу неизмирену камату</w:t>
      </w:r>
    </w:p>
    <w:p w14:paraId="474BA9C8" w14:textId="77777777" w:rsidR="00B16F8D" w:rsidRPr="00895819" w:rsidRDefault="0089219A" w:rsidP="00B16F8D">
      <w:pPr>
        <w:pStyle w:val="Doctxt1"/>
        <w:ind w:left="1418"/>
        <w:rPr>
          <w:lang w:val="sr-Cyrl-CS"/>
        </w:rPr>
      </w:pPr>
      <w:r w:rsidRPr="00895819">
        <w:rPr>
          <w:lang w:val="sr-Cyrl-CS"/>
        </w:rPr>
        <w:t xml:space="preserve">На камату која није измирена на дан доспећа обрачунава се камата, у мери допуштеној законом, по Каматној стопи која се примењује за текући Каматни период (затезна камата) увећаној за три кома пет одсто (3,5%) (камата за доцњу), </w:t>
      </w:r>
      <w:r w:rsidRPr="00895819">
        <w:rPr>
          <w:lang w:val="sr-Cyrl-CS"/>
        </w:rPr>
        <w:lastRenderedPageBreak/>
        <w:t>у случају да је таква камата доспела за плаћање најмање једну (1) годину. Није потребно никакво претходно званично обавештење Зајмодавца</w:t>
      </w:r>
      <w:r w:rsidR="00B16F8D" w:rsidRPr="00895819">
        <w:rPr>
          <w:lang w:val="sr-Cyrl-CS"/>
        </w:rPr>
        <w:t>.</w:t>
      </w:r>
    </w:p>
    <w:p w14:paraId="3CBD333A" w14:textId="77777777" w:rsidR="00B16F8D" w:rsidRPr="00895819" w:rsidRDefault="0089219A" w:rsidP="00B16F8D">
      <w:pPr>
        <w:pStyle w:val="Doctxt1"/>
        <w:ind w:left="1418"/>
        <w:rPr>
          <w:lang w:val="sr-Cyrl-CS"/>
        </w:rPr>
      </w:pPr>
      <w:r w:rsidRPr="00895819">
        <w:rPr>
          <w:lang w:val="sr-Cyrl-CS"/>
        </w:rPr>
        <w:t xml:space="preserve">Зајмопримац је дужан да плати сву доспелу а неизмирену камату у складу са чланом </w:t>
      </w:r>
      <w:r w:rsidR="000D485C" w:rsidRPr="00895819">
        <w:rPr>
          <w:lang w:val="sr-Cyrl-CS"/>
        </w:rPr>
        <w:t>4.3 (</w:t>
      </w:r>
      <w:r w:rsidRPr="00895819">
        <w:rPr>
          <w:i/>
          <w:lang w:val="sr-Cyrl-CS"/>
        </w:rPr>
        <w:t>Камата на доцњу и затезна камата</w:t>
      </w:r>
      <w:r w:rsidR="000D485C" w:rsidRPr="00895819">
        <w:rPr>
          <w:lang w:val="sr-Cyrl-CS"/>
        </w:rPr>
        <w:t>)</w:t>
      </w:r>
      <w:r w:rsidR="00B16F8D" w:rsidRPr="00895819">
        <w:rPr>
          <w:lang w:val="sr-Cyrl-CS"/>
        </w:rPr>
        <w:t xml:space="preserve"> </w:t>
      </w:r>
      <w:r w:rsidRPr="00895819">
        <w:rPr>
          <w:lang w:val="sr-Cyrl-CS"/>
        </w:rPr>
        <w:t>без одлагања на захтев Зајмодавца на сваки Датум плаћања који уследи након дана доспећа неизмирене обавезе</w:t>
      </w:r>
      <w:r w:rsidR="00B16F8D" w:rsidRPr="00895819">
        <w:rPr>
          <w:lang w:val="sr-Cyrl-CS"/>
        </w:rPr>
        <w:t>.</w:t>
      </w:r>
    </w:p>
    <w:p w14:paraId="4162FC2E" w14:textId="5F7C7135" w:rsidR="00B16F8D" w:rsidRPr="00895819" w:rsidRDefault="00016477" w:rsidP="00016477">
      <w:pPr>
        <w:pStyle w:val="AATitre9"/>
        <w:numPr>
          <w:ilvl w:val="0"/>
          <w:numId w:val="0"/>
        </w:numPr>
        <w:ind w:left="1413" w:hanging="705"/>
        <w:rPr>
          <w:lang w:val="sr-Cyrl-CS"/>
        </w:rPr>
      </w:pPr>
      <w:r w:rsidRPr="00895819">
        <w:rPr>
          <w:lang w:val="sr-Cyrl-CS"/>
        </w:rPr>
        <w:t>(ц)</w:t>
      </w:r>
      <w:r w:rsidRPr="00895819">
        <w:rPr>
          <w:lang w:val="sr-Cyrl-CS"/>
        </w:rPr>
        <w:tab/>
      </w:r>
      <w:r w:rsidR="005E4BDA" w:rsidRPr="00895819">
        <w:rPr>
          <w:lang w:val="sr-Cyrl-CS"/>
        </w:rPr>
        <w:t xml:space="preserve">Ако Зајмодавац прими било какву задоцнелу </w:t>
      </w:r>
      <w:r w:rsidR="00736496" w:rsidRPr="00895819">
        <w:rPr>
          <w:lang w:val="sr-Cyrl-CS"/>
        </w:rPr>
        <w:t>ис</w:t>
      </w:r>
      <w:r w:rsidR="005E4BDA" w:rsidRPr="00895819">
        <w:rPr>
          <w:lang w:val="sr-Cyrl-CS"/>
        </w:rPr>
        <w:t xml:space="preserve">плату камате или затезне камате, то се не сматра продужењем рока за плаћање који је остављен Зајмопримцу, нити се сматра одрицањем Зајмодавца од </w:t>
      </w:r>
      <w:r w:rsidR="009609FE" w:rsidRPr="00895819">
        <w:rPr>
          <w:lang w:val="sr-Cyrl-CS"/>
        </w:rPr>
        <w:t>његових права у складу са овим у</w:t>
      </w:r>
      <w:r w:rsidR="005E4BDA" w:rsidRPr="00895819">
        <w:rPr>
          <w:lang w:val="sr-Cyrl-CS"/>
        </w:rPr>
        <w:t>говором</w:t>
      </w:r>
      <w:r w:rsidR="00B16F8D" w:rsidRPr="00895819">
        <w:rPr>
          <w:lang w:val="sr-Cyrl-CS"/>
        </w:rPr>
        <w:t>.</w:t>
      </w:r>
    </w:p>
    <w:p w14:paraId="0D714ED3" w14:textId="77777777" w:rsidR="00B16F8D" w:rsidRPr="00895819" w:rsidRDefault="005E4BDA" w:rsidP="000F181A">
      <w:pPr>
        <w:pStyle w:val="AATitre2"/>
        <w:rPr>
          <w:lang w:val="sr-Cyrl-CS"/>
        </w:rPr>
      </w:pPr>
      <w:bookmarkStart w:id="29" w:name="_Toc130385323"/>
      <w:bookmarkStart w:id="30" w:name="_Toc135947139"/>
      <w:r w:rsidRPr="00895819">
        <w:rPr>
          <w:lang w:val="sr-Cyrl-CS"/>
        </w:rPr>
        <w:t>Информисање о Каматним стопама</w:t>
      </w:r>
      <w:bookmarkEnd w:id="29"/>
      <w:bookmarkEnd w:id="30"/>
    </w:p>
    <w:p w14:paraId="4EE9AD86" w14:textId="24667E44" w:rsidR="00B16F8D" w:rsidRPr="00895819" w:rsidRDefault="00670022" w:rsidP="00B16F8D">
      <w:pPr>
        <w:pStyle w:val="Doctxt1"/>
        <w:rPr>
          <w:lang w:val="sr-Cyrl-CS"/>
        </w:rPr>
      </w:pPr>
      <w:r w:rsidRPr="00895819">
        <w:rPr>
          <w:lang w:val="sr-Cyrl-CS"/>
        </w:rPr>
        <w:t xml:space="preserve">Зајмодавац ће без одлагања обавестити Зајмопримца о утврђивању сваке Каматне стопе у складу са овим </w:t>
      </w:r>
      <w:r w:rsidR="009609FE" w:rsidRPr="00895819">
        <w:rPr>
          <w:lang w:val="sr-Cyrl-CS"/>
        </w:rPr>
        <w:t>у</w:t>
      </w:r>
      <w:r w:rsidRPr="00895819">
        <w:rPr>
          <w:lang w:val="sr-Cyrl-CS"/>
        </w:rPr>
        <w:t>говором</w:t>
      </w:r>
      <w:r w:rsidR="00B16F8D" w:rsidRPr="00895819">
        <w:rPr>
          <w:lang w:val="sr-Cyrl-CS"/>
        </w:rPr>
        <w:t>.</w:t>
      </w:r>
    </w:p>
    <w:p w14:paraId="75B2C259" w14:textId="77777777" w:rsidR="00B16F8D" w:rsidRPr="00895819" w:rsidRDefault="00670022" w:rsidP="000F181A">
      <w:pPr>
        <w:pStyle w:val="AATitre2"/>
        <w:rPr>
          <w:u w:val="none"/>
          <w:lang w:val="sr-Cyrl-CS"/>
        </w:rPr>
      </w:pPr>
      <w:bookmarkStart w:id="31" w:name="_Toc135947140"/>
      <w:r w:rsidRPr="00895819">
        <w:rPr>
          <w:lang w:val="sr-Cyrl-CS"/>
        </w:rPr>
        <w:t xml:space="preserve">Ефективна глобална стопа </w:t>
      </w:r>
      <w:r w:rsidR="00B16F8D" w:rsidRPr="00895819">
        <w:rPr>
          <w:lang w:val="sr-Cyrl-CS"/>
        </w:rPr>
        <w:t>(Taux Effectif Global)</w:t>
      </w:r>
      <w:bookmarkEnd w:id="31"/>
    </w:p>
    <w:p w14:paraId="65D6B3E9" w14:textId="29E9D257" w:rsidR="00B16F8D" w:rsidRPr="00895819" w:rsidRDefault="00670022" w:rsidP="00B16F8D">
      <w:pPr>
        <w:pStyle w:val="Doctxt1"/>
        <w:rPr>
          <w:lang w:val="sr-Cyrl-CS"/>
        </w:rPr>
      </w:pPr>
      <w:r w:rsidRPr="00895819">
        <w:rPr>
          <w:lang w:val="sr-Cyrl-CS"/>
        </w:rPr>
        <w:t xml:space="preserve">У складу са члановима Л. 314-1 - Л.314-5 и Р.314-1 и даље француског </w:t>
      </w:r>
      <w:r w:rsidR="005F4C02" w:rsidRPr="00895819">
        <w:rPr>
          <w:lang w:val="sr-Cyrl-CS"/>
        </w:rPr>
        <w:t>З</w:t>
      </w:r>
      <w:r w:rsidRPr="00895819">
        <w:rPr>
          <w:lang w:val="sr-Cyrl-CS"/>
        </w:rPr>
        <w:t xml:space="preserve">акона о потрошачима и Л. 313-4 француског </w:t>
      </w:r>
      <w:r w:rsidR="005F4C02" w:rsidRPr="00895819">
        <w:rPr>
          <w:lang w:val="sr-Cyrl-CS"/>
        </w:rPr>
        <w:t>М</w:t>
      </w:r>
      <w:r w:rsidRPr="00895819">
        <w:rPr>
          <w:lang w:val="sr-Cyrl-CS"/>
        </w:rPr>
        <w:t>онетарног и финансијског законика, Зајмодавац обавештава Зајмопримца, а Зајмопримац прихвата да се ефективна глобална стопа (</w:t>
      </w:r>
      <w:r w:rsidRPr="00895819">
        <w:rPr>
          <w:i/>
          <w:lang w:val="sr-Cyrl-CS"/>
        </w:rPr>
        <w:t>taux effectif global</w:t>
      </w:r>
      <w:r w:rsidRPr="00895819">
        <w:rPr>
          <w:lang w:val="sr-Cyrl-CS"/>
        </w:rPr>
        <w:t xml:space="preserve">) која се примењује на Кредит може утврђивати по годишњој стопи од </w:t>
      </w:r>
      <w:r w:rsidR="008938CF" w:rsidRPr="00895819">
        <w:rPr>
          <w:lang w:val="sr-Cyrl-CS"/>
        </w:rPr>
        <w:t>три кома осамдесет три</w:t>
      </w:r>
      <w:r w:rsidR="00292A03" w:rsidRPr="00895819">
        <w:rPr>
          <w:lang w:val="sr-Cyrl-CS"/>
        </w:rPr>
        <w:t xml:space="preserve"> </w:t>
      </w:r>
      <w:r w:rsidRPr="00895819">
        <w:rPr>
          <w:lang w:val="sr-Cyrl-CS"/>
        </w:rPr>
        <w:t>процената</w:t>
      </w:r>
      <w:r w:rsidR="00B16F8D" w:rsidRPr="00895819">
        <w:rPr>
          <w:lang w:val="sr-Cyrl-CS"/>
        </w:rPr>
        <w:t xml:space="preserve"> (</w:t>
      </w:r>
      <w:r w:rsidR="008938CF" w:rsidRPr="00895819">
        <w:rPr>
          <w:lang w:val="sr-Cyrl-CS"/>
        </w:rPr>
        <w:t>3,83</w:t>
      </w:r>
      <w:r w:rsidR="00B16F8D" w:rsidRPr="00895819">
        <w:rPr>
          <w:lang w:val="sr-Cyrl-CS"/>
        </w:rPr>
        <w:t xml:space="preserve">%) </w:t>
      </w:r>
      <w:r w:rsidRPr="00895819">
        <w:rPr>
          <w:lang w:val="sr-Cyrl-CS"/>
        </w:rPr>
        <w:t>на основу календарске године од триста шездесет пет (365) дана и шестомесечног (6) Каматног периода</w:t>
      </w:r>
      <w:r w:rsidR="00B16F8D" w:rsidRPr="00895819">
        <w:rPr>
          <w:lang w:val="sr-Cyrl-CS"/>
        </w:rPr>
        <w:t xml:space="preserve">, </w:t>
      </w:r>
      <w:r w:rsidRPr="00895819">
        <w:rPr>
          <w:lang w:val="sr-Cyrl-CS"/>
        </w:rPr>
        <w:t xml:space="preserve">по стопи за период од </w:t>
      </w:r>
      <w:r w:rsidR="008938CF" w:rsidRPr="00895819">
        <w:rPr>
          <w:lang w:val="sr-Cyrl-CS"/>
        </w:rPr>
        <w:t xml:space="preserve">један кома деведесет </w:t>
      </w:r>
      <w:r w:rsidRPr="00895819">
        <w:rPr>
          <w:lang w:val="sr-Cyrl-CS"/>
        </w:rPr>
        <w:t>процената</w:t>
      </w:r>
      <w:r w:rsidR="00B16F8D" w:rsidRPr="00895819">
        <w:rPr>
          <w:lang w:val="sr-Cyrl-CS"/>
        </w:rPr>
        <w:t xml:space="preserve"> (</w:t>
      </w:r>
      <w:r w:rsidR="008938CF" w:rsidRPr="00895819">
        <w:rPr>
          <w:lang w:val="sr-Cyrl-CS"/>
        </w:rPr>
        <w:t>1,90</w:t>
      </w:r>
      <w:r w:rsidR="00B16F8D" w:rsidRPr="00895819">
        <w:rPr>
          <w:lang w:val="sr-Cyrl-CS"/>
        </w:rPr>
        <w:t xml:space="preserve">%), </w:t>
      </w:r>
      <w:r w:rsidRPr="00895819">
        <w:rPr>
          <w:lang w:val="sr-Cyrl-CS"/>
        </w:rPr>
        <w:t>под следећим условима</w:t>
      </w:r>
      <w:r w:rsidR="00B16F8D" w:rsidRPr="00895819">
        <w:rPr>
          <w:lang w:val="sr-Cyrl-CS"/>
        </w:rPr>
        <w:t>:</w:t>
      </w:r>
    </w:p>
    <w:p w14:paraId="78C0DAEA" w14:textId="57A0C54D" w:rsidR="00B16F8D" w:rsidRPr="00895819" w:rsidRDefault="00016477" w:rsidP="00016477">
      <w:pPr>
        <w:pStyle w:val="AATitre4"/>
        <w:numPr>
          <w:ilvl w:val="0"/>
          <w:numId w:val="0"/>
        </w:numPr>
        <w:ind w:left="1440" w:hanging="720"/>
        <w:rPr>
          <w:lang w:val="sr-Cyrl-CS"/>
        </w:rPr>
      </w:pPr>
      <w:r w:rsidRPr="00895819">
        <w:rPr>
          <w:lang w:val="sr-Cyrl-CS"/>
        </w:rPr>
        <w:t>(а)</w:t>
      </w:r>
      <w:r w:rsidRPr="00895819">
        <w:rPr>
          <w:lang w:val="sr-Cyrl-CS"/>
        </w:rPr>
        <w:tab/>
      </w:r>
      <w:r w:rsidR="00670022" w:rsidRPr="00895819">
        <w:rPr>
          <w:lang w:val="sr-Cyrl-CS"/>
        </w:rPr>
        <w:t>горе наведена стопа је дата само у информативне сврхе</w:t>
      </w:r>
      <w:r w:rsidR="00B16F8D" w:rsidRPr="00895819">
        <w:rPr>
          <w:lang w:val="sr-Cyrl-CS"/>
        </w:rPr>
        <w:t>;</w:t>
      </w:r>
    </w:p>
    <w:p w14:paraId="199B4B15" w14:textId="5EF43D00" w:rsidR="00B16F8D" w:rsidRPr="00895819" w:rsidRDefault="00016477" w:rsidP="00016477">
      <w:pPr>
        <w:pStyle w:val="AATitre4"/>
        <w:numPr>
          <w:ilvl w:val="0"/>
          <w:numId w:val="0"/>
        </w:numPr>
        <w:ind w:left="1440" w:hanging="720"/>
        <w:rPr>
          <w:lang w:val="sr-Cyrl-CS"/>
        </w:rPr>
      </w:pPr>
      <w:r w:rsidRPr="00895819">
        <w:rPr>
          <w:lang w:val="sr-Cyrl-CS"/>
        </w:rPr>
        <w:t>(б)</w:t>
      </w:r>
      <w:r w:rsidRPr="00895819">
        <w:rPr>
          <w:lang w:val="sr-Cyrl-CS"/>
        </w:rPr>
        <w:tab/>
      </w:r>
      <w:r w:rsidR="00670022" w:rsidRPr="00895819">
        <w:rPr>
          <w:lang w:val="sr-Cyrl-CS"/>
        </w:rPr>
        <w:t>горе наведена стопа обрачунава се на основу следећег</w:t>
      </w:r>
      <w:r w:rsidR="00B16F8D" w:rsidRPr="00895819">
        <w:rPr>
          <w:lang w:val="sr-Cyrl-CS"/>
        </w:rPr>
        <w:t>:</w:t>
      </w:r>
    </w:p>
    <w:p w14:paraId="759C12B5" w14:textId="20FAA7D1" w:rsidR="00B16F8D" w:rsidRPr="00895819" w:rsidRDefault="00016477" w:rsidP="00016477">
      <w:pPr>
        <w:pStyle w:val="AATitre6"/>
        <w:numPr>
          <w:ilvl w:val="0"/>
          <w:numId w:val="0"/>
        </w:numPr>
        <w:ind w:left="720" w:hanging="720"/>
        <w:rPr>
          <w:lang w:val="sr-Cyrl-CS"/>
        </w:rPr>
      </w:pPr>
      <w:r w:rsidRPr="00895819">
        <w:rPr>
          <w:lang w:val="sr-Cyrl-CS"/>
        </w:rPr>
        <w:t>(а)</w:t>
      </w:r>
      <w:r w:rsidRPr="00895819">
        <w:rPr>
          <w:lang w:val="sr-Cyrl-CS"/>
        </w:rPr>
        <w:tab/>
      </w:r>
      <w:r w:rsidR="00670022" w:rsidRPr="00895819">
        <w:rPr>
          <w:lang w:val="sr-Cyrl-CS"/>
        </w:rPr>
        <w:t>повлачењ</w:t>
      </w:r>
      <w:r w:rsidR="00E04067" w:rsidRPr="00895819">
        <w:rPr>
          <w:lang w:val="sr-Cyrl-CS"/>
        </w:rPr>
        <w:t>е</w:t>
      </w:r>
      <w:r w:rsidR="00670022" w:rsidRPr="00895819">
        <w:rPr>
          <w:lang w:val="sr-Cyrl-CS"/>
        </w:rPr>
        <w:t xml:space="preserve"> Кредита је </w:t>
      </w:r>
      <w:r w:rsidR="00E04067" w:rsidRPr="00895819">
        <w:rPr>
          <w:lang w:val="sr-Cyrl-CS"/>
        </w:rPr>
        <w:t xml:space="preserve">у </w:t>
      </w:r>
      <w:r w:rsidR="00670022" w:rsidRPr="00895819">
        <w:rPr>
          <w:lang w:val="sr-Cyrl-CS"/>
        </w:rPr>
        <w:t>потпуно</w:t>
      </w:r>
      <w:r w:rsidR="00E04067" w:rsidRPr="00895819">
        <w:rPr>
          <w:lang w:val="sr-Cyrl-CS"/>
        </w:rPr>
        <w:t>сти</w:t>
      </w:r>
      <w:r w:rsidR="00670022" w:rsidRPr="00895819">
        <w:rPr>
          <w:lang w:val="sr-Cyrl-CS"/>
        </w:rPr>
        <w:t xml:space="preserve"> по фиксној стопи на Датум потписивања</w:t>
      </w:r>
      <w:r w:rsidR="00B16F8D" w:rsidRPr="00895819">
        <w:rPr>
          <w:lang w:val="sr-Cyrl-CS"/>
        </w:rPr>
        <w:t xml:space="preserve">; </w:t>
      </w:r>
    </w:p>
    <w:p w14:paraId="7F869ECA" w14:textId="75A8F1A4" w:rsidR="00B16F8D" w:rsidRPr="00895819" w:rsidRDefault="00016477" w:rsidP="00016477">
      <w:pPr>
        <w:pStyle w:val="AATitre6"/>
        <w:numPr>
          <w:ilvl w:val="0"/>
          <w:numId w:val="0"/>
        </w:numPr>
        <w:ind w:left="720" w:hanging="720"/>
        <w:rPr>
          <w:lang w:val="sr-Cyrl-CS"/>
        </w:rPr>
      </w:pPr>
      <w:r w:rsidRPr="00895819">
        <w:rPr>
          <w:lang w:val="sr-Cyrl-CS"/>
        </w:rPr>
        <w:t>(б)</w:t>
      </w:r>
      <w:r w:rsidRPr="00895819">
        <w:rPr>
          <w:lang w:val="sr-Cyrl-CS"/>
        </w:rPr>
        <w:tab/>
      </w:r>
      <w:r w:rsidR="00670022" w:rsidRPr="00895819">
        <w:rPr>
          <w:lang w:val="sr-Cyrl-CS"/>
        </w:rPr>
        <w:t xml:space="preserve">фиксна стопа током трајања </w:t>
      </w:r>
      <w:r w:rsidR="008938CF" w:rsidRPr="00895819">
        <w:rPr>
          <w:lang w:val="sr-Cyrl-CS"/>
        </w:rPr>
        <w:t>к</w:t>
      </w:r>
      <w:r w:rsidR="00670022" w:rsidRPr="00895819">
        <w:rPr>
          <w:lang w:val="sr-Cyrl-CS"/>
        </w:rPr>
        <w:t xml:space="preserve">редита </w:t>
      </w:r>
      <w:r w:rsidR="00F076AE" w:rsidRPr="00895819">
        <w:rPr>
          <w:lang w:val="sr-Cyrl-CS"/>
        </w:rPr>
        <w:t xml:space="preserve">треба да буде </w:t>
      </w:r>
      <w:r w:rsidR="00670022" w:rsidRPr="00895819">
        <w:rPr>
          <w:lang w:val="sr-Cyrl-CS"/>
        </w:rPr>
        <w:t xml:space="preserve">једнака </w:t>
      </w:r>
      <w:r w:rsidR="008938CF" w:rsidRPr="00895819">
        <w:rPr>
          <w:lang w:val="sr-Cyrl-CS"/>
        </w:rPr>
        <w:t>три кома седамдесет</w:t>
      </w:r>
      <w:r w:rsidR="00292A03" w:rsidRPr="00895819">
        <w:rPr>
          <w:lang w:val="sr-Cyrl-CS"/>
        </w:rPr>
        <w:t xml:space="preserve"> </w:t>
      </w:r>
      <w:r w:rsidR="00F076AE" w:rsidRPr="00895819">
        <w:rPr>
          <w:lang w:val="sr-Cyrl-CS"/>
        </w:rPr>
        <w:t>процената</w:t>
      </w:r>
      <w:r w:rsidR="00292A03" w:rsidRPr="00895819">
        <w:rPr>
          <w:lang w:val="sr-Cyrl-CS"/>
        </w:rPr>
        <w:t xml:space="preserve"> </w:t>
      </w:r>
      <w:r w:rsidR="008938CF" w:rsidRPr="00895819">
        <w:rPr>
          <w:lang w:val="sr-Cyrl-CS"/>
        </w:rPr>
        <w:t>(3,70</w:t>
      </w:r>
      <w:r w:rsidR="00B16F8D" w:rsidRPr="00895819">
        <w:rPr>
          <w:lang w:val="sr-Cyrl-CS"/>
        </w:rPr>
        <w:t xml:space="preserve">%); </w:t>
      </w:r>
    </w:p>
    <w:p w14:paraId="6A86A118" w14:textId="7F07F967" w:rsidR="00B16F8D" w:rsidRPr="00895819" w:rsidRDefault="00016477" w:rsidP="00016477">
      <w:pPr>
        <w:pStyle w:val="AATitre4"/>
        <w:numPr>
          <w:ilvl w:val="0"/>
          <w:numId w:val="0"/>
        </w:numPr>
        <w:ind w:left="1440" w:hanging="720"/>
        <w:rPr>
          <w:lang w:val="sr-Cyrl-CS"/>
        </w:rPr>
      </w:pPr>
      <w:r w:rsidRPr="00895819">
        <w:rPr>
          <w:lang w:val="sr-Cyrl-CS"/>
        </w:rPr>
        <w:t>(ц)</w:t>
      </w:r>
      <w:r w:rsidRPr="00895819">
        <w:rPr>
          <w:lang w:val="sr-Cyrl-CS"/>
        </w:rPr>
        <w:tab/>
      </w:r>
      <w:r w:rsidR="00F076AE" w:rsidRPr="00895819">
        <w:rPr>
          <w:lang w:val="sr-Cyrl-CS"/>
        </w:rPr>
        <w:t>горе наведена стопа узима у обзир накнаде и трошкове кој</w:t>
      </w:r>
      <w:r w:rsidR="009609FE" w:rsidRPr="00895819">
        <w:rPr>
          <w:lang w:val="sr-Cyrl-CS"/>
        </w:rPr>
        <w:t>е Зајмопримац плаћа према овом у</w:t>
      </w:r>
      <w:r w:rsidR="00F076AE" w:rsidRPr="00895819">
        <w:rPr>
          <w:lang w:val="sr-Cyrl-CS"/>
        </w:rPr>
        <w:t>говору, под претпоставком да ће те накнаде и трошкови остати фиксни и да ће се примењива</w:t>
      </w:r>
      <w:r w:rsidR="009609FE" w:rsidRPr="00895819">
        <w:rPr>
          <w:lang w:val="sr-Cyrl-CS"/>
        </w:rPr>
        <w:t>ти до истека рока трајања овог у</w:t>
      </w:r>
      <w:r w:rsidR="00F076AE" w:rsidRPr="00895819">
        <w:rPr>
          <w:lang w:val="sr-Cyrl-CS"/>
        </w:rPr>
        <w:t>говора</w:t>
      </w:r>
      <w:r w:rsidR="00B16F8D" w:rsidRPr="00895819">
        <w:rPr>
          <w:lang w:val="sr-Cyrl-CS"/>
        </w:rPr>
        <w:t>.</w:t>
      </w:r>
    </w:p>
    <w:p w14:paraId="49DEFD58" w14:textId="77777777" w:rsidR="00B16F8D" w:rsidRPr="00895819" w:rsidRDefault="00E04067" w:rsidP="00A32298">
      <w:pPr>
        <w:pStyle w:val="AATitre1"/>
        <w:rPr>
          <w:lang w:val="sr-Cyrl-CS"/>
        </w:rPr>
      </w:pPr>
      <w:bookmarkStart w:id="32" w:name="_Toc135947141"/>
      <w:r w:rsidRPr="00895819">
        <w:rPr>
          <w:lang w:val="sr-Cyrl-CS"/>
        </w:rPr>
        <w:t>ИЗМЕНА ОБРАЧУНА КАМАТе</w:t>
      </w:r>
      <w:bookmarkEnd w:id="32"/>
    </w:p>
    <w:p w14:paraId="0AA9FAD4" w14:textId="77777777" w:rsidR="00B16F8D" w:rsidRPr="00895819" w:rsidRDefault="00E04067" w:rsidP="000F181A">
      <w:pPr>
        <w:pStyle w:val="AATitre2"/>
        <w:rPr>
          <w:lang w:val="sr-Cyrl-CS"/>
        </w:rPr>
      </w:pPr>
      <w:bookmarkStart w:id="33" w:name="_Toc135947142"/>
      <w:r w:rsidRPr="00895819">
        <w:rPr>
          <w:lang w:val="sr-Cyrl-CS"/>
        </w:rPr>
        <w:t>Поремећај тржишта</w:t>
      </w:r>
      <w:bookmarkEnd w:id="33"/>
      <w:r w:rsidR="00B16F8D" w:rsidRPr="00895819">
        <w:rPr>
          <w:lang w:val="sr-Cyrl-CS"/>
        </w:rPr>
        <w:t xml:space="preserve"> </w:t>
      </w:r>
    </w:p>
    <w:p w14:paraId="36085309" w14:textId="77777777" w:rsidR="00B16F8D" w:rsidRPr="00895819" w:rsidRDefault="00B16F8D" w:rsidP="00B16F8D">
      <w:pPr>
        <w:spacing w:after="200"/>
        <w:ind w:left="1276" w:hanging="556"/>
        <w:rPr>
          <w:szCs w:val="22"/>
          <w:lang w:val="sr-Cyrl-CS"/>
        </w:rPr>
      </w:pPr>
      <w:r w:rsidRPr="00895819">
        <w:rPr>
          <w:szCs w:val="22"/>
          <w:lang w:val="sr-Cyrl-CS"/>
        </w:rPr>
        <w:t>(a)</w:t>
      </w:r>
      <w:r w:rsidRPr="00895819">
        <w:rPr>
          <w:szCs w:val="22"/>
          <w:lang w:val="sr-Cyrl-CS"/>
        </w:rPr>
        <w:tab/>
      </w:r>
      <w:r w:rsidR="00E04067" w:rsidRPr="00895819">
        <w:rPr>
          <w:szCs w:val="22"/>
          <w:lang w:val="sr-Cyrl-CS"/>
        </w:rPr>
        <w:t>Ако Случај поремећаја тржишта утиче на међубанкарско тржиште у Еврозони и није могуће</w:t>
      </w:r>
      <w:r w:rsidRPr="00895819">
        <w:rPr>
          <w:szCs w:val="22"/>
          <w:lang w:val="sr-Cyrl-CS"/>
        </w:rPr>
        <w:t>:</w:t>
      </w:r>
    </w:p>
    <w:p w14:paraId="786646B3" w14:textId="77777777" w:rsidR="00B16F8D" w:rsidRPr="00895819" w:rsidRDefault="00B16F8D" w:rsidP="00B16F8D">
      <w:pPr>
        <w:pStyle w:val="AATitre6"/>
        <w:numPr>
          <w:ilvl w:val="0"/>
          <w:numId w:val="0"/>
        </w:numPr>
        <w:spacing w:after="200"/>
        <w:ind w:left="1843" w:hanging="567"/>
        <w:rPr>
          <w:szCs w:val="22"/>
          <w:lang w:val="sr-Cyrl-CS"/>
        </w:rPr>
      </w:pPr>
      <w:r w:rsidRPr="00895819">
        <w:rPr>
          <w:szCs w:val="22"/>
          <w:lang w:val="sr-Cyrl-CS"/>
        </w:rPr>
        <w:t>(i)</w:t>
      </w:r>
      <w:r w:rsidRPr="00895819">
        <w:rPr>
          <w:szCs w:val="22"/>
          <w:lang w:val="sr-Cyrl-CS"/>
        </w:rPr>
        <w:tab/>
      </w:r>
      <w:r w:rsidR="00E04067" w:rsidRPr="00895819">
        <w:rPr>
          <w:szCs w:val="22"/>
          <w:lang w:val="sr-Cyrl-CS"/>
        </w:rPr>
        <w:t>за фиксну Каматну стопу, утврдити фиксну Каматну стопу која се примењује на Повлачење средстава, или</w:t>
      </w:r>
      <w:r w:rsidRPr="00895819">
        <w:rPr>
          <w:szCs w:val="22"/>
          <w:lang w:val="sr-Cyrl-CS"/>
        </w:rPr>
        <w:t xml:space="preserve"> </w:t>
      </w:r>
    </w:p>
    <w:p w14:paraId="06B33758" w14:textId="6ED14218" w:rsidR="00B16F8D" w:rsidRPr="00895819" w:rsidRDefault="00B16F8D" w:rsidP="00B16F8D">
      <w:pPr>
        <w:spacing w:after="200"/>
        <w:ind w:left="1843" w:hanging="567"/>
        <w:rPr>
          <w:szCs w:val="22"/>
          <w:lang w:val="sr-Cyrl-CS"/>
        </w:rPr>
      </w:pPr>
      <w:r w:rsidRPr="00895819">
        <w:rPr>
          <w:szCs w:val="22"/>
          <w:lang w:val="sr-Cyrl-CS"/>
        </w:rPr>
        <w:t>(ii)</w:t>
      </w:r>
      <w:r w:rsidRPr="00895819">
        <w:rPr>
          <w:szCs w:val="22"/>
          <w:lang w:val="sr-Cyrl-CS"/>
        </w:rPr>
        <w:tab/>
      </w:r>
      <w:r w:rsidR="00E04067" w:rsidRPr="00895819">
        <w:rPr>
          <w:szCs w:val="22"/>
          <w:lang w:val="sr-Cyrl-CS"/>
        </w:rPr>
        <w:t xml:space="preserve">за </w:t>
      </w:r>
      <w:r w:rsidR="00CE08CD" w:rsidRPr="00895819">
        <w:rPr>
          <w:szCs w:val="22"/>
          <w:lang w:val="sr-Cyrl-CS"/>
        </w:rPr>
        <w:t>променљиву</w:t>
      </w:r>
      <w:r w:rsidR="00E04067" w:rsidRPr="00895819">
        <w:rPr>
          <w:szCs w:val="22"/>
          <w:lang w:val="sr-Cyrl-CS"/>
        </w:rPr>
        <w:t xml:space="preserve"> Каматну стопу, утврдити </w:t>
      </w:r>
      <w:r w:rsidR="00016477" w:rsidRPr="00895819">
        <w:rPr>
          <w:szCs w:val="22"/>
          <w:lang w:val="sr-Cyrl-CS"/>
        </w:rPr>
        <w:t xml:space="preserve">EURIBOR </w:t>
      </w:r>
      <w:r w:rsidR="00E04067" w:rsidRPr="00895819">
        <w:rPr>
          <w:szCs w:val="22"/>
          <w:lang w:val="sr-Cyrl-CS"/>
        </w:rPr>
        <w:t>који се примењује на одговарајући Каматни период</w:t>
      </w:r>
      <w:r w:rsidRPr="00895819">
        <w:rPr>
          <w:szCs w:val="22"/>
          <w:lang w:val="sr-Cyrl-CS"/>
        </w:rPr>
        <w:t xml:space="preserve">, </w:t>
      </w:r>
    </w:p>
    <w:p w14:paraId="245ED741" w14:textId="77777777" w:rsidR="00B16F8D" w:rsidRPr="00895819" w:rsidRDefault="00B16F8D" w:rsidP="00B16F8D">
      <w:pPr>
        <w:spacing w:after="200"/>
        <w:ind w:left="1276" w:hanging="556"/>
        <w:rPr>
          <w:szCs w:val="22"/>
          <w:lang w:val="sr-Cyrl-CS"/>
        </w:rPr>
      </w:pPr>
      <w:r w:rsidRPr="00895819">
        <w:rPr>
          <w:szCs w:val="22"/>
          <w:lang w:val="sr-Cyrl-CS"/>
        </w:rPr>
        <w:tab/>
      </w:r>
      <w:r w:rsidR="00E04067" w:rsidRPr="00895819">
        <w:rPr>
          <w:szCs w:val="22"/>
          <w:lang w:val="sr-Cyrl-CS"/>
        </w:rPr>
        <w:t>Зајмодавац ће о томе обавестити Зајмопримца</w:t>
      </w:r>
      <w:r w:rsidRPr="00895819">
        <w:rPr>
          <w:szCs w:val="22"/>
          <w:lang w:val="sr-Cyrl-CS"/>
        </w:rPr>
        <w:t xml:space="preserve">. </w:t>
      </w:r>
    </w:p>
    <w:p w14:paraId="65749980" w14:textId="31559C10" w:rsidR="00B16F8D" w:rsidRPr="00895819" w:rsidRDefault="00016477" w:rsidP="00B16F8D">
      <w:pPr>
        <w:spacing w:after="200"/>
        <w:ind w:left="1276" w:hanging="556"/>
        <w:rPr>
          <w:szCs w:val="22"/>
          <w:lang w:val="sr-Cyrl-CS"/>
        </w:rPr>
      </w:pPr>
      <w:r w:rsidRPr="00895819">
        <w:rPr>
          <w:szCs w:val="22"/>
          <w:lang w:val="sr-Cyrl-CS"/>
        </w:rPr>
        <w:lastRenderedPageBreak/>
        <w:t>(б)</w:t>
      </w:r>
      <w:r w:rsidRPr="00895819">
        <w:rPr>
          <w:szCs w:val="22"/>
          <w:lang w:val="sr-Cyrl-CS"/>
        </w:rPr>
        <w:tab/>
      </w:r>
      <w:r w:rsidR="00E04067" w:rsidRPr="00895819">
        <w:rPr>
          <w:szCs w:val="22"/>
          <w:lang w:val="sr-Cyrl-CS"/>
        </w:rPr>
        <w:t xml:space="preserve">По наступању догађаја из става (а) овог </w:t>
      </w:r>
      <w:r w:rsidR="0005735F" w:rsidRPr="00895819">
        <w:rPr>
          <w:szCs w:val="22"/>
          <w:lang w:val="sr-Cyrl-CS"/>
        </w:rPr>
        <w:t>ч</w:t>
      </w:r>
      <w:r w:rsidR="00E04067" w:rsidRPr="00895819">
        <w:rPr>
          <w:szCs w:val="22"/>
          <w:lang w:val="sr-Cyrl-CS"/>
        </w:rPr>
        <w:t>лана, Каматна стопа применљива, према случају, на одговарајуће Повлачење средстава или на одговарајући Каматни период је збир</w:t>
      </w:r>
      <w:r w:rsidR="00B16F8D" w:rsidRPr="00895819">
        <w:rPr>
          <w:szCs w:val="22"/>
          <w:lang w:val="sr-Cyrl-CS"/>
        </w:rPr>
        <w:t>:</w:t>
      </w:r>
    </w:p>
    <w:p w14:paraId="4531A8E1" w14:textId="77777777" w:rsidR="00B16F8D" w:rsidRPr="00895819" w:rsidRDefault="00B16F8D" w:rsidP="00B16F8D">
      <w:pPr>
        <w:spacing w:after="200"/>
        <w:ind w:left="1843" w:hanging="567"/>
        <w:rPr>
          <w:szCs w:val="22"/>
          <w:lang w:val="sr-Cyrl-CS"/>
        </w:rPr>
      </w:pPr>
      <w:r w:rsidRPr="00895819">
        <w:rPr>
          <w:szCs w:val="22"/>
          <w:lang w:val="sr-Cyrl-CS"/>
        </w:rPr>
        <w:t>(i)</w:t>
      </w:r>
      <w:r w:rsidRPr="00895819">
        <w:rPr>
          <w:szCs w:val="22"/>
          <w:lang w:val="sr-Cyrl-CS"/>
        </w:rPr>
        <w:tab/>
      </w:r>
      <w:r w:rsidR="00E04067" w:rsidRPr="00895819">
        <w:rPr>
          <w:szCs w:val="22"/>
          <w:lang w:val="sr-Cyrl-CS"/>
        </w:rPr>
        <w:t>Марже</w:t>
      </w:r>
      <w:r w:rsidRPr="00895819">
        <w:rPr>
          <w:szCs w:val="22"/>
          <w:lang w:val="sr-Cyrl-CS"/>
        </w:rPr>
        <w:t xml:space="preserve">; </w:t>
      </w:r>
      <w:r w:rsidR="00E04067" w:rsidRPr="00895819">
        <w:rPr>
          <w:szCs w:val="22"/>
          <w:lang w:val="sr-Cyrl-CS"/>
        </w:rPr>
        <w:t>и</w:t>
      </w:r>
    </w:p>
    <w:p w14:paraId="1D28905D" w14:textId="77777777" w:rsidR="00B16F8D" w:rsidRPr="00895819" w:rsidRDefault="00B16F8D" w:rsidP="00B16F8D">
      <w:pPr>
        <w:spacing w:after="200"/>
        <w:ind w:left="1843" w:hanging="567"/>
        <w:rPr>
          <w:szCs w:val="22"/>
          <w:lang w:val="sr-Cyrl-CS"/>
        </w:rPr>
      </w:pPr>
      <w:r w:rsidRPr="00895819">
        <w:rPr>
          <w:szCs w:val="22"/>
          <w:lang w:val="sr-Cyrl-CS"/>
        </w:rPr>
        <w:t>(ii)</w:t>
      </w:r>
      <w:r w:rsidRPr="00895819">
        <w:rPr>
          <w:szCs w:val="22"/>
          <w:lang w:val="sr-Cyrl-CS"/>
        </w:rPr>
        <w:tab/>
      </w:r>
      <w:r w:rsidR="008B498A" w:rsidRPr="00895819">
        <w:rPr>
          <w:szCs w:val="22"/>
          <w:lang w:val="sr-Cyrl-CS"/>
        </w:rPr>
        <w:t>годишње стопе, у процентима, која одговара трошковима које Зајмодавац сноси за финансирање одговарајућег (односно одговарајућих) Повлачења средстава из извора који може разумно да одабере. Зајмопримац ће бити обавештен о тој стопи без одлагања, а у сваком случају пре (1) првог Да</w:t>
      </w:r>
      <w:r w:rsidR="00D94775" w:rsidRPr="00895819">
        <w:rPr>
          <w:szCs w:val="22"/>
          <w:lang w:val="sr-Cyrl-CS"/>
        </w:rPr>
        <w:t>тума</w:t>
      </w:r>
      <w:r w:rsidR="008B498A" w:rsidRPr="00895819">
        <w:rPr>
          <w:szCs w:val="22"/>
          <w:lang w:val="sr-Cyrl-CS"/>
        </w:rPr>
        <w:t xml:space="preserve"> плаћања за камату која се дугује по основу таквог Повлачења средстава за фиксну Каматну стопу</w:t>
      </w:r>
      <w:r w:rsidR="000D48F1" w:rsidRPr="00895819">
        <w:rPr>
          <w:szCs w:val="22"/>
          <w:lang w:val="sr-Cyrl-CS"/>
        </w:rPr>
        <w:t>;</w:t>
      </w:r>
      <w:r w:rsidR="008B498A" w:rsidRPr="00895819">
        <w:rPr>
          <w:szCs w:val="22"/>
          <w:lang w:val="sr-Cyrl-CS"/>
        </w:rPr>
        <w:t xml:space="preserve"> или (2) Да</w:t>
      </w:r>
      <w:r w:rsidR="00D94775" w:rsidRPr="00895819">
        <w:rPr>
          <w:szCs w:val="22"/>
          <w:lang w:val="sr-Cyrl-CS"/>
        </w:rPr>
        <w:t>тума</w:t>
      </w:r>
      <w:r w:rsidR="008B498A" w:rsidRPr="00895819">
        <w:rPr>
          <w:szCs w:val="22"/>
          <w:lang w:val="sr-Cyrl-CS"/>
        </w:rPr>
        <w:t xml:space="preserve"> плаћања за камату која се дугује за тај Каматни период за променљиву Каматну стопу</w:t>
      </w:r>
      <w:r w:rsidRPr="00895819">
        <w:rPr>
          <w:szCs w:val="22"/>
          <w:lang w:val="sr-Cyrl-CS"/>
        </w:rPr>
        <w:t>.</w:t>
      </w:r>
    </w:p>
    <w:p w14:paraId="38370458" w14:textId="77777777" w:rsidR="00B16F8D" w:rsidRPr="00895819" w:rsidRDefault="008B498A" w:rsidP="000F181A">
      <w:pPr>
        <w:pStyle w:val="AATitre2"/>
        <w:rPr>
          <w:lang w:val="sr-Cyrl-CS"/>
        </w:rPr>
      </w:pPr>
      <w:bookmarkStart w:id="34" w:name="_Ref26999216"/>
      <w:bookmarkStart w:id="35" w:name="_Toc130385326"/>
      <w:bookmarkStart w:id="36" w:name="_Toc135947143"/>
      <w:r w:rsidRPr="00895819">
        <w:rPr>
          <w:lang w:val="sr-Cyrl-CS"/>
        </w:rPr>
        <w:t>Замена Приказа каматне стопе</w:t>
      </w:r>
      <w:bookmarkEnd w:id="34"/>
      <w:bookmarkEnd w:id="35"/>
      <w:bookmarkEnd w:id="36"/>
      <w:r w:rsidR="00B16F8D" w:rsidRPr="00895819">
        <w:rPr>
          <w:lang w:val="sr-Cyrl-CS"/>
        </w:rPr>
        <w:t xml:space="preserve"> </w:t>
      </w:r>
    </w:p>
    <w:p w14:paraId="31AE8587" w14:textId="77777777" w:rsidR="00B16F8D" w:rsidRPr="00895819" w:rsidRDefault="00B16F8D" w:rsidP="00B16F8D">
      <w:pPr>
        <w:keepNext/>
        <w:spacing w:after="200"/>
        <w:ind w:left="720"/>
        <w:rPr>
          <w:szCs w:val="22"/>
          <w:lang w:val="sr-Cyrl-CS"/>
        </w:rPr>
      </w:pPr>
      <w:r w:rsidRPr="00895819">
        <w:rPr>
          <w:szCs w:val="22"/>
          <w:lang w:val="sr-Cyrl-CS"/>
        </w:rPr>
        <w:t>5.2.1</w:t>
      </w:r>
      <w:r w:rsidRPr="00895819">
        <w:rPr>
          <w:szCs w:val="22"/>
          <w:lang w:val="sr-Cyrl-CS"/>
        </w:rPr>
        <w:tab/>
      </w:r>
      <w:r w:rsidR="008B498A" w:rsidRPr="00895819">
        <w:rPr>
          <w:szCs w:val="22"/>
          <w:lang w:val="sr-Cyrl-CS"/>
        </w:rPr>
        <w:t>Дефиниције</w:t>
      </w:r>
    </w:p>
    <w:p w14:paraId="0F45528E" w14:textId="0E58F6F6" w:rsidR="00B16F8D" w:rsidRPr="00895819" w:rsidRDefault="008B498A" w:rsidP="00B16F8D">
      <w:pPr>
        <w:spacing w:after="200"/>
        <w:ind w:left="1440"/>
        <w:rPr>
          <w:szCs w:val="22"/>
          <w:lang w:val="sr-Cyrl-CS"/>
        </w:rPr>
      </w:pPr>
      <w:r w:rsidRPr="00895819">
        <w:rPr>
          <w:rFonts w:eastAsia="Calibri"/>
          <w:szCs w:val="22"/>
          <w:lang w:val="sr-Cyrl-CS" w:eastAsia="en-US"/>
        </w:rPr>
        <w:t>„</w:t>
      </w:r>
      <w:r w:rsidRPr="00895819">
        <w:rPr>
          <w:rFonts w:eastAsia="Calibri"/>
          <w:b/>
          <w:bCs/>
          <w:szCs w:val="22"/>
          <w:lang w:val="sr-Cyrl-CS" w:eastAsia="en-US"/>
        </w:rPr>
        <w:t>Релевантно предлагачко тело</w:t>
      </w:r>
      <w:r w:rsidR="003963A8" w:rsidRPr="00895819">
        <w:rPr>
          <w:lang w:val="sr-Cyrl-CS"/>
        </w:rPr>
        <w:t>”</w:t>
      </w:r>
      <w:r w:rsidRPr="00895819">
        <w:rPr>
          <w:rFonts w:eastAsia="Calibri"/>
          <w:szCs w:val="22"/>
          <w:lang w:val="sr-Cyrl-CS" w:eastAsia="en-US"/>
        </w:rPr>
        <w:t xml:space="preserve"> је свака централна банка, регулаторни орган, надзорни орган или радна група или одбор који организује или којим то тело председава, или који се формира на захтев било ког таквог тела</w:t>
      </w:r>
      <w:r w:rsidR="00B16F8D" w:rsidRPr="00895819">
        <w:rPr>
          <w:szCs w:val="22"/>
          <w:lang w:val="sr-Cyrl-CS"/>
        </w:rPr>
        <w:t xml:space="preserve">. </w:t>
      </w:r>
    </w:p>
    <w:p w14:paraId="717CC223" w14:textId="22478C20" w:rsidR="00B16F8D" w:rsidRPr="00895819" w:rsidRDefault="008B498A" w:rsidP="00B16F8D">
      <w:pPr>
        <w:spacing w:after="200"/>
        <w:ind w:left="1440"/>
        <w:rPr>
          <w:szCs w:val="22"/>
          <w:lang w:val="sr-Cyrl-CS"/>
        </w:rPr>
      </w:pPr>
      <w:r w:rsidRPr="00895819">
        <w:rPr>
          <w:szCs w:val="22"/>
          <w:lang w:val="sr-Cyrl-CS"/>
        </w:rPr>
        <w:t>„</w:t>
      </w:r>
      <w:r w:rsidRPr="00895819">
        <w:rPr>
          <w:b/>
          <w:bCs/>
          <w:szCs w:val="22"/>
          <w:lang w:val="sr-Cyrl-CS"/>
        </w:rPr>
        <w:t>Случај замене приказа каматне стопе</w:t>
      </w:r>
      <w:r w:rsidR="003963A8" w:rsidRPr="00895819">
        <w:rPr>
          <w:lang w:val="sr-Cyrl-CS"/>
        </w:rPr>
        <w:t>”</w:t>
      </w:r>
      <w:r w:rsidRPr="00895819">
        <w:rPr>
          <w:szCs w:val="22"/>
          <w:lang w:val="sr-Cyrl-CS"/>
        </w:rPr>
        <w:t xml:space="preserve"> је сваки следећи случај или низ случајева</w:t>
      </w:r>
      <w:r w:rsidR="00B16F8D" w:rsidRPr="00895819">
        <w:rPr>
          <w:szCs w:val="22"/>
          <w:lang w:val="sr-Cyrl-CS"/>
        </w:rPr>
        <w:t xml:space="preserve">: </w:t>
      </w:r>
    </w:p>
    <w:p w14:paraId="5A30AD87" w14:textId="77777777" w:rsidR="00B16F8D" w:rsidRPr="00895819" w:rsidRDefault="00B16F8D" w:rsidP="00B16F8D">
      <w:pPr>
        <w:spacing w:after="200"/>
        <w:ind w:left="1985" w:hanging="567"/>
        <w:rPr>
          <w:szCs w:val="22"/>
          <w:lang w:val="sr-Cyrl-CS"/>
        </w:rPr>
      </w:pPr>
      <w:r w:rsidRPr="00895819">
        <w:rPr>
          <w:szCs w:val="22"/>
          <w:lang w:val="sr-Cyrl-CS"/>
        </w:rPr>
        <w:t>(a)</w:t>
      </w:r>
      <w:r w:rsidRPr="00895819">
        <w:rPr>
          <w:szCs w:val="22"/>
          <w:lang w:val="sr-Cyrl-CS"/>
        </w:rPr>
        <w:tab/>
      </w:r>
      <w:r w:rsidR="008B498A" w:rsidRPr="00895819">
        <w:rPr>
          <w:szCs w:val="22"/>
          <w:lang w:val="sr-Cyrl-CS"/>
        </w:rPr>
        <w:t>значајна измена дефиниције, методологије, формуле или средства за утврђивање Приказа каматне стопе</w:t>
      </w:r>
      <w:r w:rsidRPr="00895819">
        <w:rPr>
          <w:szCs w:val="22"/>
          <w:lang w:val="sr-Cyrl-CS"/>
        </w:rPr>
        <w:t xml:space="preserve">; </w:t>
      </w:r>
    </w:p>
    <w:p w14:paraId="187DF4C7" w14:textId="64E4DBFF" w:rsidR="00B16F8D" w:rsidRPr="00895819" w:rsidRDefault="00016477" w:rsidP="00B16F8D">
      <w:pPr>
        <w:spacing w:after="200"/>
        <w:ind w:left="1985" w:hanging="567"/>
        <w:rPr>
          <w:szCs w:val="22"/>
          <w:lang w:val="sr-Cyrl-CS"/>
        </w:rPr>
      </w:pPr>
      <w:r w:rsidRPr="00895819">
        <w:rPr>
          <w:szCs w:val="22"/>
          <w:lang w:val="sr-Cyrl-CS"/>
        </w:rPr>
        <w:t>(б)</w:t>
      </w:r>
      <w:r w:rsidRPr="00895819">
        <w:rPr>
          <w:szCs w:val="22"/>
          <w:lang w:val="sr-Cyrl-CS"/>
        </w:rPr>
        <w:tab/>
      </w:r>
      <w:r w:rsidR="008B498A" w:rsidRPr="00895819">
        <w:rPr>
          <w:szCs w:val="22"/>
          <w:lang w:val="sr-Cyrl-CS"/>
        </w:rPr>
        <w:t>усвајање закона или прописа којим се забрањује употреба Приказа каматне стопе, при чему се наводи, како би се избегла свака сумња, да настанак тог случаја не представља случај који доводи до обавезне превремене отплате</w:t>
      </w:r>
      <w:r w:rsidR="00B16F8D" w:rsidRPr="00895819">
        <w:rPr>
          <w:szCs w:val="22"/>
          <w:lang w:val="sr-Cyrl-CS"/>
        </w:rPr>
        <w:t>;</w:t>
      </w:r>
    </w:p>
    <w:p w14:paraId="33243CE0" w14:textId="339927C7" w:rsidR="00B16F8D" w:rsidRPr="00895819" w:rsidRDefault="00016477" w:rsidP="00B16F8D">
      <w:pPr>
        <w:spacing w:after="200"/>
        <w:ind w:left="1985" w:hanging="567"/>
        <w:rPr>
          <w:szCs w:val="22"/>
          <w:lang w:val="sr-Cyrl-CS"/>
        </w:rPr>
      </w:pPr>
      <w:r w:rsidRPr="00895819">
        <w:rPr>
          <w:szCs w:val="22"/>
          <w:lang w:val="sr-Cyrl-CS"/>
        </w:rPr>
        <w:t>(ц</w:t>
      </w:r>
      <w:r w:rsidR="00B16F8D" w:rsidRPr="00895819">
        <w:rPr>
          <w:szCs w:val="22"/>
          <w:lang w:val="sr-Cyrl-CS"/>
        </w:rPr>
        <w:t>)</w:t>
      </w:r>
      <w:r w:rsidR="00B16F8D" w:rsidRPr="00895819">
        <w:rPr>
          <w:szCs w:val="22"/>
          <w:lang w:val="sr-Cyrl-CS"/>
        </w:rPr>
        <w:tab/>
      </w:r>
      <w:r w:rsidR="008B498A" w:rsidRPr="00895819">
        <w:rPr>
          <w:szCs w:val="22"/>
          <w:lang w:val="sr-Cyrl-CS"/>
        </w:rPr>
        <w:t>ако тело који управља Приказом каматне стопе или његово надзорно тело јавно објави</w:t>
      </w:r>
      <w:r w:rsidR="00B16F8D" w:rsidRPr="00895819">
        <w:rPr>
          <w:szCs w:val="22"/>
          <w:lang w:val="sr-Cyrl-CS"/>
        </w:rPr>
        <w:t xml:space="preserve">: </w:t>
      </w:r>
    </w:p>
    <w:p w14:paraId="10403B43" w14:textId="77777777" w:rsidR="00B16F8D" w:rsidRPr="00895819" w:rsidRDefault="00B16F8D" w:rsidP="00B16F8D">
      <w:pPr>
        <w:spacing w:after="200"/>
        <w:ind w:left="2552" w:hanging="567"/>
        <w:rPr>
          <w:szCs w:val="22"/>
          <w:lang w:val="sr-Cyrl-CS"/>
        </w:rPr>
      </w:pPr>
      <w:r w:rsidRPr="00895819">
        <w:rPr>
          <w:szCs w:val="22"/>
          <w:lang w:val="sr-Cyrl-CS"/>
        </w:rPr>
        <w:t>(i)</w:t>
      </w:r>
      <w:r w:rsidRPr="00895819">
        <w:rPr>
          <w:szCs w:val="22"/>
          <w:lang w:val="sr-Cyrl-CS"/>
        </w:rPr>
        <w:tab/>
      </w:r>
      <w:r w:rsidR="008B498A" w:rsidRPr="00895819">
        <w:rPr>
          <w:szCs w:val="22"/>
          <w:lang w:val="sr-Cyrl-CS"/>
        </w:rPr>
        <w:t>да је трајно или на неодређени временски рок престало или ће престати да обезбеђује Приказ каматне стопе, а да у том тренутку није јавно именован ниједан следбеник тог тела који ће наставити да обезбеђује Приказ каматне стопе</w:t>
      </w:r>
      <w:r w:rsidRPr="00895819">
        <w:rPr>
          <w:szCs w:val="22"/>
          <w:lang w:val="sr-Cyrl-CS"/>
        </w:rPr>
        <w:t xml:space="preserve">; </w:t>
      </w:r>
    </w:p>
    <w:p w14:paraId="0B2E43AC" w14:textId="77777777" w:rsidR="00B16F8D" w:rsidRPr="00895819" w:rsidRDefault="00B16F8D" w:rsidP="00B16F8D">
      <w:pPr>
        <w:spacing w:after="200"/>
        <w:ind w:left="2552" w:hanging="567"/>
        <w:rPr>
          <w:szCs w:val="22"/>
          <w:lang w:val="sr-Cyrl-CS"/>
        </w:rPr>
      </w:pPr>
      <w:r w:rsidRPr="00895819">
        <w:rPr>
          <w:szCs w:val="22"/>
          <w:lang w:val="sr-Cyrl-CS"/>
        </w:rPr>
        <w:t>(ii)</w:t>
      </w:r>
      <w:r w:rsidRPr="00895819">
        <w:rPr>
          <w:szCs w:val="22"/>
          <w:lang w:val="sr-Cyrl-CS"/>
        </w:rPr>
        <w:tab/>
      </w:r>
      <w:r w:rsidR="008B498A" w:rsidRPr="00895819">
        <w:rPr>
          <w:szCs w:val="22"/>
          <w:lang w:val="sr-Cyrl-CS"/>
        </w:rPr>
        <w:t>да је трајно или на неодређени временски рок престало или ће престати објављивање Приказа каматне стопе; или</w:t>
      </w:r>
      <w:r w:rsidRPr="00895819">
        <w:rPr>
          <w:szCs w:val="22"/>
          <w:lang w:val="sr-Cyrl-CS"/>
        </w:rPr>
        <w:t xml:space="preserve"> </w:t>
      </w:r>
    </w:p>
    <w:p w14:paraId="08E6D828" w14:textId="77777777" w:rsidR="00B16F8D" w:rsidRPr="00895819" w:rsidRDefault="00B16F8D" w:rsidP="00B16F8D">
      <w:pPr>
        <w:pStyle w:val="AOHead5"/>
        <w:numPr>
          <w:ilvl w:val="0"/>
          <w:numId w:val="0"/>
        </w:numPr>
        <w:spacing w:before="0" w:after="200" w:line="240" w:lineRule="auto"/>
        <w:ind w:left="2552" w:hanging="567"/>
        <w:outlineLvl w:val="9"/>
        <w:rPr>
          <w:rFonts w:eastAsia="Times New Roman"/>
          <w:lang w:val="sr-Cyrl-CS" w:eastAsia="fr-FR"/>
        </w:rPr>
      </w:pPr>
      <w:r w:rsidRPr="00895819">
        <w:rPr>
          <w:rFonts w:eastAsia="Times New Roman"/>
          <w:lang w:val="sr-Cyrl-CS" w:eastAsia="fr-FR"/>
        </w:rPr>
        <w:t>(iii)</w:t>
      </w:r>
      <w:r w:rsidRPr="00895819">
        <w:rPr>
          <w:rFonts w:eastAsia="Times New Roman"/>
          <w:lang w:val="sr-Cyrl-CS" w:eastAsia="fr-FR"/>
        </w:rPr>
        <w:tab/>
      </w:r>
      <w:r w:rsidR="008B498A" w:rsidRPr="00895819">
        <w:rPr>
          <w:rFonts w:eastAsia="Times New Roman"/>
          <w:lang w:val="sr-Cyrl-CS" w:eastAsia="fr-FR"/>
        </w:rPr>
        <w:t>да се Приказ каматне стопе више не може користити (како сада, тако и у будућности</w:t>
      </w:r>
      <w:r w:rsidRPr="00895819">
        <w:rPr>
          <w:rFonts w:eastAsia="Times New Roman"/>
          <w:lang w:val="sr-Cyrl-CS" w:eastAsia="fr-FR"/>
        </w:rPr>
        <w:t xml:space="preserve">); </w:t>
      </w:r>
    </w:p>
    <w:p w14:paraId="1AFF32A0" w14:textId="3D5E3D81" w:rsidR="00B16F8D" w:rsidRPr="00895819" w:rsidRDefault="00016477" w:rsidP="00B16F8D">
      <w:pPr>
        <w:spacing w:after="200"/>
        <w:ind w:left="1985" w:hanging="567"/>
        <w:rPr>
          <w:szCs w:val="22"/>
          <w:lang w:val="sr-Cyrl-CS"/>
        </w:rPr>
      </w:pPr>
      <w:r w:rsidRPr="00895819">
        <w:rPr>
          <w:szCs w:val="22"/>
          <w:lang w:val="sr-Cyrl-CS"/>
        </w:rPr>
        <w:t>(д</w:t>
      </w:r>
      <w:r w:rsidR="00B16F8D" w:rsidRPr="00895819">
        <w:rPr>
          <w:szCs w:val="22"/>
          <w:lang w:val="sr-Cyrl-CS"/>
        </w:rPr>
        <w:t>)</w:t>
      </w:r>
      <w:r w:rsidR="00B16F8D" w:rsidRPr="00895819">
        <w:rPr>
          <w:szCs w:val="22"/>
          <w:lang w:val="sr-Cyrl-CS"/>
        </w:rPr>
        <w:tab/>
      </w:r>
      <w:r w:rsidR="008B498A" w:rsidRPr="00895819">
        <w:rPr>
          <w:szCs w:val="22"/>
          <w:lang w:val="sr-Cyrl-CS"/>
        </w:rPr>
        <w:t>јавна објава о стечају тела које управља Приказом каматне стопе или покретању поступка над њим због неспособности плаћања, а да у том тренутку није јавно именован ниједан следбеник тог тела који ће наставити да обезбеђује Приказ каматне стопе</w:t>
      </w:r>
      <w:r w:rsidR="00B16F8D" w:rsidRPr="00895819">
        <w:rPr>
          <w:szCs w:val="22"/>
          <w:lang w:val="sr-Cyrl-CS"/>
        </w:rPr>
        <w:t xml:space="preserve">; </w:t>
      </w:r>
      <w:r w:rsidR="008B498A" w:rsidRPr="00895819">
        <w:rPr>
          <w:szCs w:val="22"/>
          <w:lang w:val="sr-Cyrl-CS"/>
        </w:rPr>
        <w:t>или</w:t>
      </w:r>
    </w:p>
    <w:p w14:paraId="4B45F187" w14:textId="42F66196" w:rsidR="00B16F8D" w:rsidRPr="00895819" w:rsidRDefault="00016477" w:rsidP="00B16F8D">
      <w:pPr>
        <w:spacing w:after="200"/>
        <w:ind w:left="1985" w:hanging="567"/>
        <w:rPr>
          <w:szCs w:val="22"/>
          <w:lang w:val="sr-Cyrl-CS"/>
        </w:rPr>
      </w:pPr>
      <w:r w:rsidRPr="00895819">
        <w:rPr>
          <w:szCs w:val="22"/>
          <w:lang w:val="sr-Cyrl-CS"/>
        </w:rPr>
        <w:t>(е</w:t>
      </w:r>
      <w:r w:rsidR="00B16F8D" w:rsidRPr="00895819">
        <w:rPr>
          <w:szCs w:val="22"/>
          <w:lang w:val="sr-Cyrl-CS"/>
        </w:rPr>
        <w:t>)</w:t>
      </w:r>
      <w:r w:rsidR="00B16F8D" w:rsidRPr="00895819">
        <w:rPr>
          <w:szCs w:val="22"/>
          <w:lang w:val="sr-Cyrl-CS"/>
        </w:rPr>
        <w:tab/>
      </w:r>
      <w:r w:rsidR="008B498A" w:rsidRPr="00895819">
        <w:rPr>
          <w:szCs w:val="22"/>
          <w:lang w:val="sr-Cyrl-CS"/>
        </w:rPr>
        <w:t>ако, је по мишљењу Зајмодавца, Приказ каматне стопе престао да се користи у низу упоредивих финансијских трансакција</w:t>
      </w:r>
      <w:r w:rsidR="00B16F8D" w:rsidRPr="00895819">
        <w:rPr>
          <w:szCs w:val="22"/>
          <w:lang w:val="sr-Cyrl-CS"/>
        </w:rPr>
        <w:t xml:space="preserve">. </w:t>
      </w:r>
    </w:p>
    <w:p w14:paraId="554F93DF" w14:textId="4B57A72D" w:rsidR="00B16F8D" w:rsidRPr="00895819" w:rsidRDefault="008B498A" w:rsidP="00B16F8D">
      <w:pPr>
        <w:spacing w:after="200"/>
        <w:ind w:left="1440"/>
        <w:rPr>
          <w:szCs w:val="22"/>
          <w:lang w:val="sr-Cyrl-CS"/>
        </w:rPr>
      </w:pPr>
      <w:r w:rsidRPr="00895819">
        <w:rPr>
          <w:szCs w:val="22"/>
          <w:lang w:val="sr-Cyrl-CS"/>
        </w:rPr>
        <w:t>„</w:t>
      </w:r>
      <w:r w:rsidRPr="00895819">
        <w:rPr>
          <w:b/>
          <w:szCs w:val="22"/>
          <w:lang w:val="sr-Cyrl-CS"/>
        </w:rPr>
        <w:t>Приказ каматне стопе</w:t>
      </w:r>
      <w:r w:rsidR="003963A8" w:rsidRPr="00895819">
        <w:rPr>
          <w:lang w:val="sr-Cyrl-CS"/>
        </w:rPr>
        <w:t>”</w:t>
      </w:r>
      <w:r w:rsidRPr="00895819">
        <w:rPr>
          <w:szCs w:val="22"/>
          <w:lang w:val="sr-Cyrl-CS"/>
        </w:rPr>
        <w:t xml:space="preserve"> је </w:t>
      </w:r>
      <w:r w:rsidR="00016477" w:rsidRPr="00895819">
        <w:rPr>
          <w:szCs w:val="22"/>
          <w:lang w:val="sr-Cyrl-CS"/>
        </w:rPr>
        <w:t xml:space="preserve">EURIBOR </w:t>
      </w:r>
      <w:r w:rsidRPr="00895819">
        <w:rPr>
          <w:szCs w:val="22"/>
          <w:lang w:val="sr-Cyrl-CS"/>
        </w:rPr>
        <w:t>или, ако та стопа буде замењена Заменском стопом, Заменска стопа</w:t>
      </w:r>
      <w:r w:rsidR="00B16F8D" w:rsidRPr="00895819">
        <w:rPr>
          <w:szCs w:val="22"/>
          <w:lang w:val="sr-Cyrl-CS"/>
        </w:rPr>
        <w:t xml:space="preserve">. </w:t>
      </w:r>
    </w:p>
    <w:p w14:paraId="68E8A4F5" w14:textId="541BB044" w:rsidR="00B16F8D" w:rsidRPr="00895819" w:rsidRDefault="008B498A" w:rsidP="00B16F8D">
      <w:pPr>
        <w:spacing w:after="200"/>
        <w:ind w:left="1440"/>
        <w:rPr>
          <w:szCs w:val="22"/>
          <w:lang w:val="sr-Cyrl-CS"/>
        </w:rPr>
      </w:pPr>
      <w:r w:rsidRPr="00895819">
        <w:rPr>
          <w:szCs w:val="22"/>
          <w:lang w:val="sr-Cyrl-CS"/>
        </w:rPr>
        <w:t>„</w:t>
      </w:r>
      <w:r w:rsidRPr="00895819">
        <w:rPr>
          <w:b/>
          <w:bCs/>
          <w:szCs w:val="22"/>
          <w:lang w:val="sr-Cyrl-CS"/>
        </w:rPr>
        <w:t>Датум замене приказа каматне стопе</w:t>
      </w:r>
      <w:r w:rsidR="003963A8" w:rsidRPr="00895819">
        <w:rPr>
          <w:lang w:val="sr-Cyrl-CS"/>
        </w:rPr>
        <w:t>”</w:t>
      </w:r>
      <w:r w:rsidRPr="00895819">
        <w:rPr>
          <w:szCs w:val="22"/>
          <w:lang w:val="sr-Cyrl-CS"/>
        </w:rPr>
        <w:t xml:space="preserve"> је</w:t>
      </w:r>
      <w:r w:rsidR="00B16F8D" w:rsidRPr="00895819">
        <w:rPr>
          <w:szCs w:val="22"/>
          <w:lang w:val="sr-Cyrl-CS"/>
        </w:rPr>
        <w:t xml:space="preserve">: </w:t>
      </w:r>
    </w:p>
    <w:p w14:paraId="400D27C4" w14:textId="77777777" w:rsidR="00B16F8D" w:rsidRPr="00895819" w:rsidRDefault="00B16F8D" w:rsidP="00B16F8D">
      <w:pPr>
        <w:spacing w:after="200"/>
        <w:ind w:left="2160" w:hanging="450"/>
        <w:rPr>
          <w:szCs w:val="22"/>
          <w:lang w:val="sr-Cyrl-CS"/>
        </w:rPr>
      </w:pPr>
      <w:r w:rsidRPr="00895819">
        <w:rPr>
          <w:szCs w:val="22"/>
          <w:lang w:val="sr-Cyrl-CS"/>
        </w:rPr>
        <w:lastRenderedPageBreak/>
        <w:t>–</w:t>
      </w:r>
      <w:r w:rsidRPr="00895819">
        <w:rPr>
          <w:szCs w:val="22"/>
          <w:lang w:val="sr-Cyrl-CS"/>
        </w:rPr>
        <w:tab/>
      </w:r>
      <w:r w:rsidR="008B498A" w:rsidRPr="00895819">
        <w:rPr>
          <w:szCs w:val="22"/>
          <w:lang w:val="sr-Cyrl-CS"/>
        </w:rPr>
        <w:t xml:space="preserve">за случајеве из тачака a), </w:t>
      </w:r>
      <w:r w:rsidR="000023BA" w:rsidRPr="00895819">
        <w:rPr>
          <w:szCs w:val="22"/>
          <w:lang w:val="sr-Cyrl-CS"/>
        </w:rPr>
        <w:t>д</w:t>
      </w:r>
      <w:r w:rsidR="008B498A" w:rsidRPr="00895819">
        <w:rPr>
          <w:szCs w:val="22"/>
          <w:lang w:val="sr-Cyrl-CS"/>
        </w:rPr>
        <w:t xml:space="preserve">) и </w:t>
      </w:r>
      <w:r w:rsidR="000023BA" w:rsidRPr="00895819">
        <w:rPr>
          <w:szCs w:val="22"/>
          <w:lang w:val="sr-Cyrl-CS"/>
        </w:rPr>
        <w:t>е</w:t>
      </w:r>
      <w:r w:rsidR="008B498A" w:rsidRPr="00895819">
        <w:rPr>
          <w:szCs w:val="22"/>
          <w:lang w:val="sr-Cyrl-CS"/>
        </w:rPr>
        <w:t>) напред наведене дефиниције Случаја замене приказа каматне стопе, дан на који Зајмодавац прими к знању наступање таквог случаја; и</w:t>
      </w:r>
      <w:r w:rsidRPr="00895819">
        <w:rPr>
          <w:szCs w:val="22"/>
          <w:lang w:val="sr-Cyrl-CS"/>
        </w:rPr>
        <w:t xml:space="preserve"> </w:t>
      </w:r>
    </w:p>
    <w:p w14:paraId="53BB5F19" w14:textId="77777777" w:rsidR="00B16F8D" w:rsidRPr="00895819" w:rsidRDefault="00B16F8D" w:rsidP="00B16F8D">
      <w:pPr>
        <w:spacing w:after="200"/>
        <w:ind w:left="2160" w:hanging="450"/>
        <w:rPr>
          <w:szCs w:val="22"/>
          <w:lang w:val="sr-Cyrl-CS"/>
        </w:rPr>
      </w:pPr>
      <w:r w:rsidRPr="00895819">
        <w:rPr>
          <w:szCs w:val="22"/>
          <w:lang w:val="sr-Cyrl-CS"/>
        </w:rPr>
        <w:t>–</w:t>
      </w:r>
      <w:r w:rsidRPr="00895819">
        <w:rPr>
          <w:szCs w:val="22"/>
          <w:lang w:val="sr-Cyrl-CS"/>
        </w:rPr>
        <w:tab/>
      </w:r>
      <w:r w:rsidR="008B498A" w:rsidRPr="00895819">
        <w:rPr>
          <w:szCs w:val="22"/>
          <w:lang w:val="sr-Cyrl-CS"/>
        </w:rPr>
        <w:t xml:space="preserve">за случајеве из тачака </w:t>
      </w:r>
      <w:r w:rsidR="000023BA" w:rsidRPr="00895819">
        <w:rPr>
          <w:szCs w:val="22"/>
          <w:lang w:val="sr-Cyrl-CS"/>
        </w:rPr>
        <w:t>б</w:t>
      </w:r>
      <w:r w:rsidR="008B498A" w:rsidRPr="00895819">
        <w:rPr>
          <w:szCs w:val="22"/>
          <w:lang w:val="sr-Cyrl-CS"/>
        </w:rPr>
        <w:t xml:space="preserve">) и </w:t>
      </w:r>
      <w:r w:rsidR="000023BA" w:rsidRPr="00895819">
        <w:rPr>
          <w:szCs w:val="22"/>
          <w:lang w:val="sr-Cyrl-CS"/>
        </w:rPr>
        <w:t>ц</w:t>
      </w:r>
      <w:r w:rsidR="008B498A" w:rsidRPr="00895819">
        <w:rPr>
          <w:szCs w:val="22"/>
          <w:lang w:val="sr-Cyrl-CS"/>
        </w:rPr>
        <w:t>) напред наведене дефиниције Случаја замене приказа каматне стопе, дан након кога је коришћење Приказа каматне стопе забрањено или дан на који тело које управља Приказом каматне стопе трајно или на неодређени временски рок престане да обезбеђује Приказ каматне стопе или дан након кога се Приказ каматне стопе више не може користити</w:t>
      </w:r>
      <w:r w:rsidRPr="00895819">
        <w:rPr>
          <w:szCs w:val="22"/>
          <w:lang w:val="sr-Cyrl-CS"/>
        </w:rPr>
        <w:t>.</w:t>
      </w:r>
    </w:p>
    <w:p w14:paraId="563C1434" w14:textId="71D6BA8A" w:rsidR="00B16F8D" w:rsidRPr="00895819" w:rsidRDefault="00B16F8D" w:rsidP="000023BA">
      <w:pPr>
        <w:spacing w:after="200"/>
        <w:ind w:left="1440" w:hanging="720"/>
        <w:rPr>
          <w:szCs w:val="22"/>
          <w:lang w:val="sr-Cyrl-CS"/>
        </w:rPr>
      </w:pPr>
      <w:r w:rsidRPr="00895819">
        <w:rPr>
          <w:szCs w:val="22"/>
          <w:lang w:val="sr-Cyrl-CS"/>
        </w:rPr>
        <w:t>5.2.2</w:t>
      </w:r>
      <w:r w:rsidRPr="00895819">
        <w:rPr>
          <w:szCs w:val="22"/>
          <w:lang w:val="sr-Cyrl-CS"/>
        </w:rPr>
        <w:tab/>
      </w:r>
      <w:r w:rsidR="008B498A" w:rsidRPr="00895819">
        <w:rPr>
          <w:szCs w:val="22"/>
          <w:lang w:val="sr-Cyrl-CS"/>
        </w:rPr>
        <w:t xml:space="preserve">Свака Страна прима к знању и сагласна је да у случају наступања Случаја замене приказа каматне стопе, и ради очувања економске равнотеже </w:t>
      </w:r>
      <w:r w:rsidR="000023BA" w:rsidRPr="00895819">
        <w:rPr>
          <w:szCs w:val="22"/>
          <w:lang w:val="sr-Cyrl-CS"/>
        </w:rPr>
        <w:t>Уговора</w:t>
      </w:r>
      <w:r w:rsidR="008B498A" w:rsidRPr="00895819">
        <w:rPr>
          <w:szCs w:val="22"/>
          <w:lang w:val="sr-Cyrl-CS"/>
        </w:rPr>
        <w:t>, Зајмодавац може да замени Приказ каматне стопе другом (у даљем тексту: „</w:t>
      </w:r>
      <w:r w:rsidR="008B498A" w:rsidRPr="00895819">
        <w:rPr>
          <w:b/>
          <w:szCs w:val="22"/>
          <w:lang w:val="sr-Cyrl-CS"/>
        </w:rPr>
        <w:t>Заменска стопа</w:t>
      </w:r>
      <w:r w:rsidR="003963A8" w:rsidRPr="00895819">
        <w:rPr>
          <w:lang w:val="sr-Cyrl-CS"/>
        </w:rPr>
        <w:t>”</w:t>
      </w:r>
      <w:r w:rsidR="008B498A" w:rsidRPr="00895819">
        <w:rPr>
          <w:szCs w:val="22"/>
          <w:lang w:val="sr-Cyrl-CS"/>
        </w:rPr>
        <w:t>) која може да садржи и корективну маржу у циљу спречавања преноса економске вредности између страна (ако постоји) (у даљем тексту: „</w:t>
      </w:r>
      <w:r w:rsidR="008B498A" w:rsidRPr="00895819">
        <w:rPr>
          <w:b/>
          <w:szCs w:val="22"/>
          <w:lang w:val="sr-Cyrl-CS"/>
        </w:rPr>
        <w:t>Корективна маржа</w:t>
      </w:r>
      <w:r w:rsidR="003963A8" w:rsidRPr="00895819">
        <w:rPr>
          <w:lang w:val="sr-Cyrl-CS"/>
        </w:rPr>
        <w:t>”</w:t>
      </w:r>
      <w:r w:rsidR="008B498A" w:rsidRPr="00895819">
        <w:rPr>
          <w:szCs w:val="22"/>
          <w:lang w:val="sr-Cyrl-CS"/>
        </w:rPr>
        <w:t>) и да Зајмодавац одређује дан од кога Заменск</w:t>
      </w:r>
      <w:r w:rsidR="000023BA" w:rsidRPr="00895819">
        <w:rPr>
          <w:szCs w:val="22"/>
          <w:lang w:val="sr-Cyrl-CS"/>
        </w:rPr>
        <w:t>а</w:t>
      </w:r>
      <w:r w:rsidR="008B498A" w:rsidRPr="00895819">
        <w:rPr>
          <w:szCs w:val="22"/>
          <w:lang w:val="sr-Cyrl-CS"/>
        </w:rPr>
        <w:t xml:space="preserve"> стоп</w:t>
      </w:r>
      <w:r w:rsidR="000023BA" w:rsidRPr="00895819">
        <w:rPr>
          <w:szCs w:val="22"/>
          <w:lang w:val="sr-Cyrl-CS"/>
        </w:rPr>
        <w:t>а</w:t>
      </w:r>
      <w:r w:rsidR="008B498A" w:rsidRPr="00895819">
        <w:rPr>
          <w:szCs w:val="22"/>
          <w:lang w:val="sr-Cyrl-CS"/>
        </w:rPr>
        <w:t xml:space="preserve"> и, ако постоји, Корективна маржа мењају Приказ каматне стопе и евентуалне друге измене и допуне </w:t>
      </w:r>
      <w:r w:rsidR="000023BA" w:rsidRPr="00895819">
        <w:rPr>
          <w:szCs w:val="22"/>
          <w:lang w:val="sr-Cyrl-CS"/>
        </w:rPr>
        <w:t>Уговора</w:t>
      </w:r>
      <w:r w:rsidR="008B498A" w:rsidRPr="00895819">
        <w:rPr>
          <w:szCs w:val="22"/>
          <w:lang w:val="sr-Cyrl-CS"/>
        </w:rPr>
        <w:t xml:space="preserve"> неопходне услед замене Приказа каматне стопе Заменском стопом</w:t>
      </w:r>
      <w:r w:rsidRPr="00895819">
        <w:rPr>
          <w:szCs w:val="22"/>
          <w:lang w:val="sr-Cyrl-CS"/>
        </w:rPr>
        <w:t xml:space="preserve">. </w:t>
      </w:r>
    </w:p>
    <w:p w14:paraId="59DFEBBA" w14:textId="77777777" w:rsidR="00B16F8D" w:rsidRPr="00895819" w:rsidRDefault="00B16F8D" w:rsidP="00B16F8D">
      <w:pPr>
        <w:spacing w:after="200"/>
        <w:ind w:left="1440" w:hanging="720"/>
        <w:rPr>
          <w:szCs w:val="22"/>
          <w:lang w:val="sr-Cyrl-CS"/>
        </w:rPr>
      </w:pPr>
      <w:r w:rsidRPr="00895819">
        <w:rPr>
          <w:szCs w:val="22"/>
          <w:lang w:val="sr-Cyrl-CS"/>
        </w:rPr>
        <w:t>5.2.3</w:t>
      </w:r>
      <w:r w:rsidRPr="00895819">
        <w:rPr>
          <w:szCs w:val="22"/>
          <w:lang w:val="sr-Cyrl-CS"/>
        </w:rPr>
        <w:tab/>
      </w:r>
      <w:r w:rsidR="008B498A" w:rsidRPr="00895819">
        <w:rPr>
          <w:szCs w:val="22"/>
          <w:lang w:val="sr-Cyrl-CS"/>
        </w:rPr>
        <w:t xml:space="preserve">Утврђивање </w:t>
      </w:r>
      <w:r w:rsidR="000023BA" w:rsidRPr="00895819">
        <w:rPr>
          <w:szCs w:val="22"/>
          <w:lang w:val="sr-Cyrl-CS"/>
        </w:rPr>
        <w:t xml:space="preserve">Заменске </w:t>
      </w:r>
      <w:r w:rsidR="008B498A" w:rsidRPr="00895819">
        <w:rPr>
          <w:szCs w:val="22"/>
          <w:lang w:val="sr-Cyrl-CS"/>
        </w:rPr>
        <w:t>стопе и неопходних измена и допуна врши се у доброј вери и узимајући у обзир (i) препоруке евентуалног Релевантног предлагачког тела, или (ii) препоруке тела које управља Приказом каматне стопе, или (iii) секторско решење које предложе струковна удружења у банкарском сектору, или (iv) тржишну праксу опажену у низу упоредивих финансијских трансакција на дан замене</w:t>
      </w:r>
      <w:r w:rsidRPr="00895819">
        <w:rPr>
          <w:szCs w:val="22"/>
          <w:lang w:val="sr-Cyrl-CS"/>
        </w:rPr>
        <w:t>.</w:t>
      </w:r>
    </w:p>
    <w:p w14:paraId="7E631A6E" w14:textId="77777777" w:rsidR="00B16F8D" w:rsidRPr="00895819" w:rsidRDefault="00B16F8D" w:rsidP="00B16F8D">
      <w:pPr>
        <w:spacing w:after="200"/>
        <w:ind w:left="1440" w:hanging="720"/>
        <w:rPr>
          <w:szCs w:val="22"/>
          <w:lang w:val="sr-Cyrl-CS"/>
        </w:rPr>
      </w:pPr>
      <w:r w:rsidRPr="00895819">
        <w:rPr>
          <w:szCs w:val="22"/>
          <w:lang w:val="sr-Cyrl-CS"/>
        </w:rPr>
        <w:t>5.2.4</w:t>
      </w:r>
      <w:r w:rsidRPr="00895819">
        <w:rPr>
          <w:szCs w:val="22"/>
          <w:lang w:val="sr-Cyrl-CS"/>
        </w:rPr>
        <w:tab/>
      </w:r>
      <w:r w:rsidR="008B498A" w:rsidRPr="00895819">
        <w:rPr>
          <w:szCs w:val="22"/>
          <w:lang w:val="sr-Cyrl-CS"/>
        </w:rPr>
        <w:t>У случају замене Приказа каматне стопе, Зајмодавац ће без одлагања обавестити Зајмопримца о условима под којима ће се Приказ каматне стопе заменити Заменск</w:t>
      </w:r>
      <w:r w:rsidR="00D32BF2" w:rsidRPr="00895819">
        <w:rPr>
          <w:szCs w:val="22"/>
          <w:lang w:val="sr-Cyrl-CS"/>
        </w:rPr>
        <w:t>о</w:t>
      </w:r>
      <w:r w:rsidR="008B498A" w:rsidRPr="00895819">
        <w:rPr>
          <w:szCs w:val="22"/>
          <w:lang w:val="sr-Cyrl-CS"/>
        </w:rPr>
        <w:t xml:space="preserve">м </w:t>
      </w:r>
      <w:r w:rsidR="00D32BF2" w:rsidRPr="00895819">
        <w:rPr>
          <w:szCs w:val="22"/>
          <w:lang w:val="sr-Cyrl-CS"/>
        </w:rPr>
        <w:t>стопом</w:t>
      </w:r>
      <w:r w:rsidR="008B498A" w:rsidRPr="00895819">
        <w:rPr>
          <w:szCs w:val="22"/>
          <w:lang w:val="sr-Cyrl-CS"/>
        </w:rPr>
        <w:t>, кој</w:t>
      </w:r>
      <w:r w:rsidR="00D32BF2" w:rsidRPr="00895819">
        <w:rPr>
          <w:szCs w:val="22"/>
          <w:lang w:val="sr-Cyrl-CS"/>
        </w:rPr>
        <w:t>а</w:t>
      </w:r>
      <w:r w:rsidR="008B498A" w:rsidRPr="00895819">
        <w:rPr>
          <w:szCs w:val="22"/>
          <w:lang w:val="sr-Cyrl-CS"/>
        </w:rPr>
        <w:t xml:space="preserve"> ће се примењивати на Каматне периоде са почетком најмање два Радна дана након Да</w:t>
      </w:r>
      <w:r w:rsidR="00D32BF2" w:rsidRPr="00895819">
        <w:rPr>
          <w:szCs w:val="22"/>
          <w:lang w:val="sr-Cyrl-CS"/>
        </w:rPr>
        <w:t>тума</w:t>
      </w:r>
      <w:r w:rsidR="008B498A" w:rsidRPr="00895819">
        <w:rPr>
          <w:szCs w:val="22"/>
          <w:lang w:val="sr-Cyrl-CS"/>
        </w:rPr>
        <w:t xml:space="preserve"> замене приказа каматне стопе</w:t>
      </w:r>
      <w:r w:rsidRPr="00895819">
        <w:rPr>
          <w:szCs w:val="22"/>
          <w:lang w:val="sr-Cyrl-CS"/>
        </w:rPr>
        <w:t>.</w:t>
      </w:r>
    </w:p>
    <w:p w14:paraId="3AF9E253" w14:textId="0D872A97" w:rsidR="00B16F8D" w:rsidRPr="00895819" w:rsidRDefault="00B16F8D" w:rsidP="00B16F8D">
      <w:pPr>
        <w:spacing w:after="200"/>
        <w:ind w:left="1440" w:hanging="720"/>
        <w:rPr>
          <w:szCs w:val="22"/>
          <w:lang w:val="sr-Cyrl-CS"/>
        </w:rPr>
      </w:pPr>
      <w:r w:rsidRPr="00895819">
        <w:rPr>
          <w:szCs w:val="22"/>
          <w:lang w:val="sr-Cyrl-CS"/>
        </w:rPr>
        <w:t>5.2.5</w:t>
      </w:r>
      <w:r w:rsidRPr="00895819">
        <w:rPr>
          <w:szCs w:val="22"/>
          <w:lang w:val="sr-Cyrl-CS"/>
        </w:rPr>
        <w:tab/>
      </w:r>
      <w:r w:rsidR="008B498A" w:rsidRPr="00895819">
        <w:rPr>
          <w:szCs w:val="22"/>
          <w:lang w:val="sr-Cyrl-CS"/>
        </w:rPr>
        <w:t xml:space="preserve">Одредбе </w:t>
      </w:r>
      <w:r w:rsidR="00D32BF2" w:rsidRPr="00895819">
        <w:rPr>
          <w:szCs w:val="22"/>
          <w:lang w:val="sr-Cyrl-CS"/>
        </w:rPr>
        <w:t>ч</w:t>
      </w:r>
      <w:r w:rsidR="008B498A" w:rsidRPr="00895819">
        <w:rPr>
          <w:szCs w:val="22"/>
          <w:lang w:val="sr-Cyrl-CS"/>
        </w:rPr>
        <w:t xml:space="preserve">лана </w:t>
      </w:r>
      <w:r w:rsidR="000D485C" w:rsidRPr="00895819">
        <w:rPr>
          <w:szCs w:val="22"/>
          <w:lang w:val="sr-Cyrl-CS"/>
        </w:rPr>
        <w:t>5.2 (</w:t>
      </w:r>
      <w:r w:rsidR="008B498A" w:rsidRPr="00895819">
        <w:rPr>
          <w:i/>
          <w:szCs w:val="22"/>
          <w:lang w:val="sr-Cyrl-CS"/>
        </w:rPr>
        <w:fldChar w:fldCharType="begin"/>
      </w:r>
      <w:r w:rsidR="008B498A" w:rsidRPr="00895819">
        <w:rPr>
          <w:i/>
          <w:szCs w:val="22"/>
          <w:lang w:val="sr-Cyrl-CS"/>
        </w:rPr>
        <w:instrText xml:space="preserve"> REF _Ref26999216 \h  \* MERGEFORMAT </w:instrText>
      </w:r>
      <w:r w:rsidR="008B498A" w:rsidRPr="00895819">
        <w:rPr>
          <w:i/>
          <w:szCs w:val="22"/>
          <w:lang w:val="sr-Cyrl-CS"/>
        </w:rPr>
      </w:r>
      <w:r w:rsidR="008B498A" w:rsidRPr="00895819">
        <w:rPr>
          <w:i/>
          <w:szCs w:val="22"/>
          <w:lang w:val="sr-Cyrl-CS"/>
        </w:rPr>
        <w:fldChar w:fldCharType="separate"/>
      </w:r>
      <w:r w:rsidR="00AC1642" w:rsidRPr="00AC1642">
        <w:rPr>
          <w:i/>
          <w:szCs w:val="22"/>
          <w:lang w:val="sr-Cyrl-CS"/>
        </w:rPr>
        <w:t>Замена Приказа каматне стопе</w:t>
      </w:r>
      <w:r w:rsidR="008B498A" w:rsidRPr="00895819">
        <w:rPr>
          <w:szCs w:val="22"/>
          <w:lang w:val="sr-Cyrl-CS"/>
        </w:rPr>
        <w:fldChar w:fldCharType="end"/>
      </w:r>
      <w:r w:rsidR="008B498A" w:rsidRPr="00895819">
        <w:rPr>
          <w:szCs w:val="22"/>
          <w:lang w:val="sr-Cyrl-CS"/>
        </w:rPr>
        <w:t xml:space="preserve">) имају првенство над одредбама Члана </w:t>
      </w:r>
      <w:r w:rsidR="000D485C" w:rsidRPr="00895819">
        <w:rPr>
          <w:szCs w:val="22"/>
          <w:lang w:val="sr-Cyrl-CS"/>
        </w:rPr>
        <w:t>5.1 (</w:t>
      </w:r>
      <w:r w:rsidR="008B498A" w:rsidRPr="00895819">
        <w:rPr>
          <w:i/>
          <w:szCs w:val="22"/>
          <w:lang w:val="sr-Cyrl-CS"/>
        </w:rPr>
        <w:t>Поремећај тржишта</w:t>
      </w:r>
      <w:r w:rsidR="000D485C" w:rsidRPr="00895819">
        <w:rPr>
          <w:szCs w:val="22"/>
          <w:lang w:val="sr-Cyrl-CS"/>
        </w:rPr>
        <w:t>)</w:t>
      </w:r>
      <w:r w:rsidRPr="00895819">
        <w:rPr>
          <w:szCs w:val="22"/>
          <w:lang w:val="sr-Cyrl-CS"/>
        </w:rPr>
        <w:t>.</w:t>
      </w:r>
    </w:p>
    <w:p w14:paraId="1F6C6771" w14:textId="77777777" w:rsidR="00B16F8D" w:rsidRPr="00895819" w:rsidRDefault="00D32BF2" w:rsidP="00A32298">
      <w:pPr>
        <w:pStyle w:val="AATitre1"/>
        <w:rPr>
          <w:lang w:val="sr-Cyrl-CS"/>
        </w:rPr>
      </w:pPr>
      <w:bookmarkStart w:id="37" w:name="_Toc135947144"/>
      <w:r w:rsidRPr="00895819">
        <w:rPr>
          <w:lang w:val="sr-Cyrl-CS"/>
        </w:rPr>
        <w:t>Накнаде</w:t>
      </w:r>
      <w:bookmarkEnd w:id="37"/>
    </w:p>
    <w:p w14:paraId="1CC91300" w14:textId="77777777" w:rsidR="00B16F8D" w:rsidRPr="00895819" w:rsidRDefault="00D32BF2" w:rsidP="000F181A">
      <w:pPr>
        <w:pStyle w:val="AATitre2"/>
        <w:rPr>
          <w:u w:val="none"/>
          <w:lang w:val="sr-Cyrl-CS"/>
        </w:rPr>
      </w:pPr>
      <w:bookmarkStart w:id="38" w:name="_Toc135947145"/>
      <w:r w:rsidRPr="00895819">
        <w:rPr>
          <w:lang w:val="sr-Cyrl-CS"/>
        </w:rPr>
        <w:t>Накнаде за ангажовање средстава</w:t>
      </w:r>
      <w:bookmarkEnd w:id="38"/>
    </w:p>
    <w:p w14:paraId="68EA9C46" w14:textId="77777777" w:rsidR="00B16F8D" w:rsidRPr="00895819" w:rsidRDefault="009F6413" w:rsidP="00B16F8D">
      <w:pPr>
        <w:pStyle w:val="BodyText1"/>
        <w:rPr>
          <w:lang w:val="sr-Cyrl-CS"/>
        </w:rPr>
      </w:pPr>
      <w:r w:rsidRPr="00895819">
        <w:rPr>
          <w:lang w:val="sr-Cyrl-CS"/>
        </w:rPr>
        <w:t>Са почетком сто осамдесет (180) календарских дана од Дана потписивања</w:t>
      </w:r>
      <w:r w:rsidR="00B16F8D" w:rsidRPr="00895819">
        <w:rPr>
          <w:lang w:val="sr-Cyrl-CS"/>
        </w:rPr>
        <w:t xml:space="preserve">, </w:t>
      </w:r>
      <w:r w:rsidRPr="00895819">
        <w:rPr>
          <w:lang w:val="sr-Cyrl-CS"/>
        </w:rPr>
        <w:t>Зајмопримац ће Зајмодавцу исплатити накнаду за ангажовање средстава од нула кома двадесет пет одсто (0,25%) годишње</w:t>
      </w:r>
      <w:r w:rsidR="00B16F8D" w:rsidRPr="00895819">
        <w:rPr>
          <w:lang w:val="sr-Cyrl-CS"/>
        </w:rPr>
        <w:t>.</w:t>
      </w:r>
    </w:p>
    <w:p w14:paraId="0B7A08E4" w14:textId="77777777" w:rsidR="00B16F8D" w:rsidRPr="00895819" w:rsidRDefault="00897F40" w:rsidP="00B16F8D">
      <w:pPr>
        <w:pStyle w:val="BodyText1"/>
        <w:rPr>
          <w:lang w:val="sr-Cyrl-CS"/>
        </w:rPr>
      </w:pPr>
      <w:r w:rsidRPr="00895819">
        <w:rPr>
          <w:lang w:val="sr-Cyrl-CS"/>
        </w:rPr>
        <w:t xml:space="preserve">Накнада за ангажовање средстава се обрачунава по горе наведеној стопи на износ Доступног кредита у сразмери са стварним бројем </w:t>
      </w:r>
      <w:r w:rsidR="0050780E" w:rsidRPr="00895819">
        <w:rPr>
          <w:lang w:val="sr-Cyrl-CS"/>
        </w:rPr>
        <w:t xml:space="preserve">дана који је прошао </w:t>
      </w:r>
      <w:r w:rsidRPr="00895819">
        <w:rPr>
          <w:lang w:val="sr-Cyrl-CS"/>
        </w:rPr>
        <w:t>увећаној, ако је то применљиво, за износ евентуалних Повлачења средстава које ће Зајмодавац ставити на располагање у складу са неизвршеним Захтевима за повлачење средстава</w:t>
      </w:r>
      <w:r w:rsidR="00B16F8D" w:rsidRPr="00895819">
        <w:rPr>
          <w:lang w:val="sr-Cyrl-CS"/>
        </w:rPr>
        <w:t>.</w:t>
      </w:r>
    </w:p>
    <w:p w14:paraId="63B3D609" w14:textId="77777777" w:rsidR="00B16F8D" w:rsidRPr="00895819" w:rsidRDefault="0010172E" w:rsidP="00B16F8D">
      <w:pPr>
        <w:pStyle w:val="BodyText1"/>
        <w:rPr>
          <w:lang w:val="sr-Cyrl-CS"/>
        </w:rPr>
      </w:pPr>
      <w:r w:rsidRPr="00895819">
        <w:rPr>
          <w:lang w:val="sr-Cyrl-CS"/>
        </w:rPr>
        <w:t xml:space="preserve">Прва накнада за ангажовање средстава се обрачунава за период (i) од дана који пада шездесет (60) календарских дана од Датума потписивања </w:t>
      </w:r>
      <w:r w:rsidR="00B16F8D" w:rsidRPr="00895819">
        <w:rPr>
          <w:lang w:val="sr-Cyrl-CS"/>
        </w:rPr>
        <w:t>(</w:t>
      </w:r>
      <w:r w:rsidRPr="00895819">
        <w:rPr>
          <w:lang w:val="sr-Cyrl-CS"/>
        </w:rPr>
        <w:t>не укључујући тај дан</w:t>
      </w:r>
      <w:r w:rsidR="00B16F8D" w:rsidRPr="00895819">
        <w:rPr>
          <w:lang w:val="sr-Cyrl-CS"/>
        </w:rPr>
        <w:t xml:space="preserve">) </w:t>
      </w:r>
      <w:r w:rsidRPr="00895819">
        <w:rPr>
          <w:lang w:val="sr-Cyrl-CS"/>
        </w:rPr>
        <w:t>до</w:t>
      </w:r>
      <w:r w:rsidR="00B16F8D" w:rsidRPr="00895819">
        <w:rPr>
          <w:lang w:val="sr-Cyrl-CS"/>
        </w:rPr>
        <w:t xml:space="preserve"> (ii) </w:t>
      </w:r>
      <w:r w:rsidRPr="00895819">
        <w:rPr>
          <w:lang w:val="sr-Cyrl-CS"/>
        </w:rPr>
        <w:t>непосредно после Датума плаћања (</w:t>
      </w:r>
      <w:bookmarkStart w:id="39" w:name="_Hlk60136415"/>
      <w:r w:rsidRPr="00895819">
        <w:rPr>
          <w:lang w:val="sr-Cyrl-CS"/>
        </w:rPr>
        <w:t>укључујући и тај датум</w:t>
      </w:r>
      <w:bookmarkEnd w:id="39"/>
      <w:r w:rsidR="00B16F8D" w:rsidRPr="00895819">
        <w:rPr>
          <w:lang w:val="sr-Cyrl-CS"/>
        </w:rPr>
        <w:t xml:space="preserve">). </w:t>
      </w:r>
      <w:r w:rsidRPr="00895819">
        <w:rPr>
          <w:lang w:val="sr-Cyrl-CS"/>
        </w:rPr>
        <w:t>Накнадне накнаде на неповучена средстава биће обрачунате за период који почиње на дан непосредно након Датума плаћања (укључујући и тај датум) и завршава се следећим Датумом плаћања (укључујући и тај датум</w:t>
      </w:r>
      <w:r w:rsidR="00B16F8D" w:rsidRPr="00895819">
        <w:rPr>
          <w:lang w:val="sr-Cyrl-CS"/>
        </w:rPr>
        <w:t>).</w:t>
      </w:r>
    </w:p>
    <w:p w14:paraId="052714DA" w14:textId="682F9081" w:rsidR="00B16F8D" w:rsidRPr="00895819" w:rsidRDefault="008628F8" w:rsidP="00B16F8D">
      <w:pPr>
        <w:pStyle w:val="BodyText1"/>
        <w:rPr>
          <w:lang w:val="sr-Cyrl-CS"/>
        </w:rPr>
      </w:pPr>
      <w:r w:rsidRPr="00895819">
        <w:rPr>
          <w:lang w:val="sr-Cyrl-CS"/>
        </w:rPr>
        <w:lastRenderedPageBreak/>
        <w:t>Доспела приступна накнада се плаћа (i) на сваки Да</w:t>
      </w:r>
      <w:r w:rsidR="00AB0B68" w:rsidRPr="00895819">
        <w:rPr>
          <w:lang w:val="sr-Cyrl-CS"/>
        </w:rPr>
        <w:t>тум</w:t>
      </w:r>
      <w:r w:rsidRPr="00895819">
        <w:rPr>
          <w:lang w:val="sr-Cyrl-CS"/>
        </w:rPr>
        <w:t xml:space="preserve"> плаћања у току Периода </w:t>
      </w:r>
      <w:r w:rsidR="00A32298" w:rsidRPr="00895819">
        <w:rPr>
          <w:lang w:val="sr-Cyrl-CS"/>
        </w:rPr>
        <w:t>расположивости</w:t>
      </w:r>
      <w:r w:rsidRPr="00895819">
        <w:rPr>
          <w:lang w:val="sr-Cyrl-CS"/>
        </w:rPr>
        <w:t>; (ii) на Да</w:t>
      </w:r>
      <w:r w:rsidR="00AB0B68" w:rsidRPr="00895819">
        <w:rPr>
          <w:lang w:val="sr-Cyrl-CS"/>
        </w:rPr>
        <w:t>тум</w:t>
      </w:r>
      <w:r w:rsidRPr="00895819">
        <w:rPr>
          <w:lang w:val="sr-Cyrl-CS"/>
        </w:rPr>
        <w:t xml:space="preserve"> плаћања непосредно након последњег дана Периода повлачења средстава; и (iii) у случају да је Доступни кредит у потпуности отказан, на Да</w:t>
      </w:r>
      <w:r w:rsidR="00B64FFA" w:rsidRPr="00895819">
        <w:rPr>
          <w:lang w:val="sr-Cyrl-CS"/>
        </w:rPr>
        <w:t>тум</w:t>
      </w:r>
      <w:r w:rsidRPr="00895819">
        <w:rPr>
          <w:lang w:val="sr-Cyrl-CS"/>
        </w:rPr>
        <w:t xml:space="preserve"> плаћања након дана на који тај отказ ступа на снагу</w:t>
      </w:r>
      <w:r w:rsidR="00B16F8D" w:rsidRPr="00895819">
        <w:rPr>
          <w:lang w:val="sr-Cyrl-CS"/>
        </w:rPr>
        <w:t>.</w:t>
      </w:r>
    </w:p>
    <w:p w14:paraId="4757B328" w14:textId="77777777" w:rsidR="00B16F8D" w:rsidRPr="00895819" w:rsidRDefault="00AB0B68" w:rsidP="000F181A">
      <w:pPr>
        <w:pStyle w:val="AATitre2"/>
        <w:rPr>
          <w:u w:val="none"/>
          <w:lang w:val="sr-Cyrl-CS"/>
        </w:rPr>
      </w:pPr>
      <w:bookmarkStart w:id="40" w:name="_Toc135947146"/>
      <w:r w:rsidRPr="00895819">
        <w:rPr>
          <w:lang w:val="sr-Cyrl-CS"/>
        </w:rPr>
        <w:t>Приступна накнада</w:t>
      </w:r>
      <w:bookmarkEnd w:id="40"/>
    </w:p>
    <w:p w14:paraId="0A80D5B5" w14:textId="77777777" w:rsidR="00B16F8D" w:rsidRPr="00895819" w:rsidRDefault="00AB0B68" w:rsidP="00B16F8D">
      <w:pPr>
        <w:pStyle w:val="BodyText1"/>
        <w:rPr>
          <w:lang w:val="sr-Cyrl-CS"/>
        </w:rPr>
      </w:pPr>
      <w:r w:rsidRPr="00895819">
        <w:rPr>
          <w:lang w:val="sr-Cyrl-CS"/>
        </w:rPr>
        <w:t>Најкасније сто осамдесет (180) календарских дана након Датума потписивања</w:t>
      </w:r>
      <w:r w:rsidR="00B16F8D" w:rsidRPr="00895819">
        <w:rPr>
          <w:lang w:val="sr-Cyrl-CS"/>
        </w:rPr>
        <w:t xml:space="preserve">, </w:t>
      </w:r>
      <w:r w:rsidRPr="00895819">
        <w:rPr>
          <w:lang w:val="sr-Cyrl-CS"/>
        </w:rPr>
        <w:t xml:space="preserve">а пре Повлачења Кредита, Зајмопримац ће Зајмодавцу исплатити </w:t>
      </w:r>
      <w:r w:rsidR="00B64FFA" w:rsidRPr="00895819">
        <w:rPr>
          <w:lang w:val="sr-Cyrl-CS"/>
        </w:rPr>
        <w:t>П</w:t>
      </w:r>
      <w:r w:rsidR="003A1F15" w:rsidRPr="00895819">
        <w:rPr>
          <w:lang w:val="sr-Cyrl-CS"/>
        </w:rPr>
        <w:t>риступну накнаду од нула кома двадесет пет одсто (0,25%) обрачунату на максимални износ Кредита</w:t>
      </w:r>
      <w:r w:rsidR="00B16F8D" w:rsidRPr="00895819">
        <w:rPr>
          <w:lang w:val="sr-Cyrl-CS"/>
        </w:rPr>
        <w:t>.</w:t>
      </w:r>
    </w:p>
    <w:p w14:paraId="0B9341DF" w14:textId="77777777" w:rsidR="00B16F8D" w:rsidRPr="00895819" w:rsidRDefault="00B64FFA" w:rsidP="00A32298">
      <w:pPr>
        <w:pStyle w:val="AATitre1"/>
        <w:rPr>
          <w:lang w:val="sr-Cyrl-CS"/>
        </w:rPr>
      </w:pPr>
      <w:bookmarkStart w:id="41" w:name="_Toc135947147"/>
      <w:r w:rsidRPr="00895819">
        <w:rPr>
          <w:lang w:val="sr-Cyrl-CS"/>
        </w:rPr>
        <w:t>ОТПЛАТА КРЕДИТА</w:t>
      </w:r>
      <w:bookmarkEnd w:id="41"/>
    </w:p>
    <w:p w14:paraId="2B52B592" w14:textId="77777777" w:rsidR="00B16F8D" w:rsidRPr="00895819" w:rsidRDefault="00B64FFA" w:rsidP="00B16F8D">
      <w:pPr>
        <w:pStyle w:val="BodyText1"/>
        <w:rPr>
          <w:lang w:val="sr-Cyrl-CS"/>
        </w:rPr>
      </w:pPr>
      <w:r w:rsidRPr="00895819">
        <w:rPr>
          <w:lang w:val="sr-Cyrl-CS"/>
        </w:rPr>
        <w:t>Након истека Грејс периода, Зајмопримац ће отплатити Зајмодавцу главницу Кредита у осам</w:t>
      </w:r>
      <w:r w:rsidR="00B16F8D" w:rsidRPr="00895819">
        <w:rPr>
          <w:lang w:val="sr-Cyrl-CS"/>
        </w:rPr>
        <w:t xml:space="preserve"> (</w:t>
      </w:r>
      <w:r w:rsidR="000406E1" w:rsidRPr="00895819">
        <w:rPr>
          <w:lang w:val="sr-Cyrl-CS"/>
        </w:rPr>
        <w:t>8</w:t>
      </w:r>
      <w:r w:rsidR="00B16F8D" w:rsidRPr="00895819">
        <w:rPr>
          <w:lang w:val="sr-Cyrl-CS"/>
        </w:rPr>
        <w:t xml:space="preserve">) </w:t>
      </w:r>
      <w:r w:rsidRPr="00895819">
        <w:rPr>
          <w:lang w:val="sr-Cyrl-CS"/>
        </w:rPr>
        <w:t>полугодишњих рата, које доспевају на плаћање на сваки Датум плаћања</w:t>
      </w:r>
      <w:r w:rsidR="00B16F8D" w:rsidRPr="00895819">
        <w:rPr>
          <w:lang w:val="sr-Cyrl-CS"/>
        </w:rPr>
        <w:t>.</w:t>
      </w:r>
    </w:p>
    <w:p w14:paraId="1F0C664D" w14:textId="77777777" w:rsidR="00B16F8D" w:rsidRPr="00895819" w:rsidRDefault="00B64FFA" w:rsidP="00B16F8D">
      <w:pPr>
        <w:pStyle w:val="BodyText1"/>
        <w:rPr>
          <w:lang w:val="sr-Cyrl-CS"/>
        </w:rPr>
      </w:pPr>
      <w:r w:rsidRPr="00895819">
        <w:rPr>
          <w:lang w:val="sr-Cyrl-CS"/>
        </w:rPr>
        <w:t>Прва рата доспева и платива је 15. октобра 2029. док последња рата доспева и платива је 15. априла 2033. године.</w:t>
      </w:r>
    </w:p>
    <w:p w14:paraId="39BD5DA8" w14:textId="77777777" w:rsidR="00B16F8D" w:rsidRPr="00895819" w:rsidRDefault="00B64FFA" w:rsidP="00B16F8D">
      <w:pPr>
        <w:pStyle w:val="BodyText1"/>
        <w:rPr>
          <w:lang w:val="sr-Cyrl-CS"/>
        </w:rPr>
      </w:pPr>
      <w:r w:rsidRPr="00895819">
        <w:rPr>
          <w:lang w:val="sr-Cyrl-CS"/>
        </w:rPr>
        <w:t>На крају Периода повлачења средстава, Зајмодавац ће Зајмопримцу доставити план амортизације везан за Кредит, узимајући у обзир, уколико је примењиво, свако потенцијално отказивање Кредита у складу са чланом 8.3 (</w:t>
      </w:r>
      <w:r w:rsidRPr="00895819">
        <w:rPr>
          <w:i/>
          <w:lang w:val="sr-Cyrl-CS"/>
        </w:rPr>
        <w:t>Отказивање од стране Зајмопримца</w:t>
      </w:r>
      <w:r w:rsidRPr="00895819">
        <w:rPr>
          <w:lang w:val="sr-Cyrl-CS"/>
        </w:rPr>
        <w:t>) и/или 8.4 (</w:t>
      </w:r>
      <w:r w:rsidRPr="00895819">
        <w:rPr>
          <w:i/>
          <w:lang w:val="sr-Cyrl-CS"/>
        </w:rPr>
        <w:t>Отказивање од стране Зајмодавца</w:t>
      </w:r>
      <w:r w:rsidRPr="00895819">
        <w:rPr>
          <w:lang w:val="sr-Cyrl-CS"/>
        </w:rPr>
        <w:t>).</w:t>
      </w:r>
    </w:p>
    <w:p w14:paraId="30BECD06" w14:textId="77777777" w:rsidR="00B16F8D" w:rsidRPr="00895819" w:rsidRDefault="00B64FFA" w:rsidP="00A32298">
      <w:pPr>
        <w:pStyle w:val="AATitre1"/>
        <w:rPr>
          <w:lang w:val="sr-Cyrl-CS"/>
        </w:rPr>
      </w:pPr>
      <w:bookmarkStart w:id="42" w:name="_Toc135947148"/>
      <w:r w:rsidRPr="00895819">
        <w:rPr>
          <w:lang w:val="sr-Cyrl-CS"/>
        </w:rPr>
        <w:t>ПРЕВРЕМЕНА ОТПЛАТА И ОТКАЗИВАЊЕ</w:t>
      </w:r>
      <w:r w:rsidR="0061135C" w:rsidRPr="00895819">
        <w:rPr>
          <w:lang w:val="sr-Cyrl-CS"/>
        </w:rPr>
        <w:t xml:space="preserve"> КРЕДИТА</w:t>
      </w:r>
      <w:bookmarkEnd w:id="42"/>
    </w:p>
    <w:p w14:paraId="22CC349A" w14:textId="77777777" w:rsidR="00B16F8D" w:rsidRPr="00895819" w:rsidRDefault="00B64FFA" w:rsidP="000F181A">
      <w:pPr>
        <w:pStyle w:val="AATitre2"/>
        <w:rPr>
          <w:u w:val="none"/>
          <w:lang w:val="sr-Cyrl-CS"/>
        </w:rPr>
      </w:pPr>
      <w:bookmarkStart w:id="43" w:name="_Ref188171475"/>
      <w:bookmarkStart w:id="44" w:name="_Toc421631527"/>
      <w:bookmarkStart w:id="45" w:name="_Toc130385332"/>
      <w:bookmarkStart w:id="46" w:name="_Toc135947149"/>
      <w:r w:rsidRPr="00895819">
        <w:rPr>
          <w:lang w:val="sr-Cyrl-CS"/>
        </w:rPr>
        <w:t>Добровољна превремена отплата Кредита</w:t>
      </w:r>
      <w:bookmarkEnd w:id="43"/>
      <w:bookmarkEnd w:id="44"/>
      <w:bookmarkEnd w:id="45"/>
      <w:bookmarkEnd w:id="46"/>
      <w:r w:rsidR="00B16F8D" w:rsidRPr="00895819">
        <w:rPr>
          <w:lang w:val="sr-Cyrl-CS"/>
        </w:rPr>
        <w:t xml:space="preserve"> </w:t>
      </w:r>
    </w:p>
    <w:p w14:paraId="0F0AAE1F" w14:textId="77777777" w:rsidR="00B16F8D" w:rsidRPr="00895819" w:rsidRDefault="00B64FFA" w:rsidP="00B16F8D">
      <w:pPr>
        <w:pStyle w:val="BodyText1"/>
        <w:rPr>
          <w:lang w:val="sr-Cyrl-CS"/>
        </w:rPr>
      </w:pPr>
      <w:r w:rsidRPr="00895819">
        <w:rPr>
          <w:lang w:val="sr-Cyrl-CS"/>
        </w:rPr>
        <w:t>Зајмопримац неће имати право да превремено отплати Кредит, у целини или делимично, пре истека Периода повлачења средстава</w:t>
      </w:r>
      <w:r w:rsidR="00B16F8D" w:rsidRPr="00895819">
        <w:rPr>
          <w:lang w:val="sr-Cyrl-CS"/>
        </w:rPr>
        <w:t xml:space="preserve">. </w:t>
      </w:r>
      <w:r w:rsidRPr="00895819">
        <w:rPr>
          <w:lang w:val="sr-Cyrl-CS"/>
        </w:rPr>
        <w:t>Од датума који следи након истека Периода повлачења средстава, Зајмопримац може превремено да отплати Кредит, у целини или делимично, под следећим условима</w:t>
      </w:r>
      <w:r w:rsidR="00B16F8D" w:rsidRPr="00895819">
        <w:rPr>
          <w:lang w:val="sr-Cyrl-CS"/>
        </w:rPr>
        <w:t>:</w:t>
      </w:r>
    </w:p>
    <w:p w14:paraId="27C69B41" w14:textId="6A475ADE" w:rsidR="00B16F8D" w:rsidRPr="00895819" w:rsidRDefault="00A32298" w:rsidP="00A32298">
      <w:pPr>
        <w:pStyle w:val="AATitre4"/>
        <w:numPr>
          <w:ilvl w:val="0"/>
          <w:numId w:val="0"/>
        </w:numPr>
        <w:ind w:left="1440" w:hanging="720"/>
        <w:rPr>
          <w:lang w:val="sr-Cyrl-CS"/>
        </w:rPr>
      </w:pPr>
      <w:r w:rsidRPr="00895819">
        <w:rPr>
          <w:lang w:val="sr-Cyrl-CS"/>
        </w:rPr>
        <w:t>(а)</w:t>
      </w:r>
      <w:r w:rsidRPr="00895819">
        <w:rPr>
          <w:lang w:val="sr-Cyrl-CS"/>
        </w:rPr>
        <w:tab/>
      </w:r>
      <w:r w:rsidR="00B64FFA" w:rsidRPr="00895819">
        <w:rPr>
          <w:lang w:val="sr-Cyrl-CS"/>
        </w:rPr>
        <w:t>Зајмопримац је дужан да у пис</w:t>
      </w:r>
      <w:r w:rsidR="00D67249" w:rsidRPr="00895819">
        <w:rPr>
          <w:lang w:val="sr-Cyrl-CS"/>
        </w:rPr>
        <w:t>а</w:t>
      </w:r>
      <w:r w:rsidR="00B64FFA" w:rsidRPr="00895819">
        <w:rPr>
          <w:lang w:val="sr-Cyrl-CS"/>
        </w:rPr>
        <w:t>но</w:t>
      </w:r>
      <w:r w:rsidR="00D67249" w:rsidRPr="00895819">
        <w:rPr>
          <w:lang w:val="sr-Cyrl-CS"/>
        </w:rPr>
        <w:t>ј форми</w:t>
      </w:r>
      <w:r w:rsidR="00B64FFA" w:rsidRPr="00895819">
        <w:rPr>
          <w:lang w:val="sr-Cyrl-CS"/>
        </w:rPr>
        <w:t xml:space="preserve"> обавести Зајмодавца о својој неопозивој намери да изврши превремену отплати најмање тридесет (30) Радних дана пре предвиђеног дана превремене отплате</w:t>
      </w:r>
      <w:r w:rsidR="00B16F8D" w:rsidRPr="00895819">
        <w:rPr>
          <w:lang w:val="sr-Cyrl-CS"/>
        </w:rPr>
        <w:t xml:space="preserve">; </w:t>
      </w:r>
    </w:p>
    <w:p w14:paraId="093EC4BD" w14:textId="6A3C9DBD" w:rsidR="00B16F8D" w:rsidRPr="00895819" w:rsidRDefault="00A32298" w:rsidP="00A32298">
      <w:pPr>
        <w:pStyle w:val="AATitre4"/>
        <w:numPr>
          <w:ilvl w:val="0"/>
          <w:numId w:val="0"/>
        </w:numPr>
        <w:ind w:left="1440" w:hanging="720"/>
        <w:rPr>
          <w:lang w:val="sr-Cyrl-CS"/>
        </w:rPr>
      </w:pPr>
      <w:r w:rsidRPr="00895819">
        <w:rPr>
          <w:lang w:val="sr-Cyrl-CS"/>
        </w:rPr>
        <w:t>(б)</w:t>
      </w:r>
      <w:r w:rsidRPr="00895819">
        <w:rPr>
          <w:lang w:val="sr-Cyrl-CS"/>
        </w:rPr>
        <w:tab/>
      </w:r>
      <w:r w:rsidR="002C781C" w:rsidRPr="00895819">
        <w:rPr>
          <w:lang w:val="sr-Cyrl-CS"/>
        </w:rPr>
        <w:t>износ који подлеже превременог отплати мора бити једнак једној или више рата главнице</w:t>
      </w:r>
      <w:r w:rsidR="00B16F8D" w:rsidRPr="00895819">
        <w:rPr>
          <w:lang w:val="sr-Cyrl-CS"/>
        </w:rPr>
        <w:t>;</w:t>
      </w:r>
    </w:p>
    <w:p w14:paraId="480E3C02" w14:textId="0FBA46AA" w:rsidR="00B16F8D" w:rsidRPr="00895819" w:rsidRDefault="00A32298" w:rsidP="00A32298">
      <w:pPr>
        <w:pStyle w:val="AATitre4"/>
        <w:numPr>
          <w:ilvl w:val="0"/>
          <w:numId w:val="0"/>
        </w:numPr>
        <w:ind w:left="1440" w:hanging="720"/>
        <w:rPr>
          <w:lang w:val="sr-Cyrl-CS"/>
        </w:rPr>
      </w:pPr>
      <w:r w:rsidRPr="00895819">
        <w:rPr>
          <w:lang w:val="sr-Cyrl-CS"/>
        </w:rPr>
        <w:t>(ц)</w:t>
      </w:r>
      <w:r w:rsidRPr="00895819">
        <w:rPr>
          <w:lang w:val="sr-Cyrl-CS"/>
        </w:rPr>
        <w:tab/>
      </w:r>
      <w:r w:rsidR="002C781C" w:rsidRPr="00895819">
        <w:rPr>
          <w:lang w:val="sr-Cyrl-CS"/>
        </w:rPr>
        <w:t>предвиђени да</w:t>
      </w:r>
      <w:r w:rsidR="00D67249" w:rsidRPr="00895819">
        <w:rPr>
          <w:lang w:val="sr-Cyrl-CS"/>
        </w:rPr>
        <w:t>тум</w:t>
      </w:r>
      <w:r w:rsidR="002C781C" w:rsidRPr="00895819">
        <w:rPr>
          <w:lang w:val="sr-Cyrl-CS"/>
        </w:rPr>
        <w:t xml:space="preserve"> превремене отплате мора бити Да</w:t>
      </w:r>
      <w:r w:rsidR="00D67249" w:rsidRPr="00895819">
        <w:rPr>
          <w:lang w:val="sr-Cyrl-CS"/>
        </w:rPr>
        <w:t>тум</w:t>
      </w:r>
      <w:r w:rsidR="002C781C" w:rsidRPr="00895819">
        <w:rPr>
          <w:lang w:val="sr-Cyrl-CS"/>
        </w:rPr>
        <w:t xml:space="preserve"> плаћања</w:t>
      </w:r>
      <w:r w:rsidR="00B16F8D" w:rsidRPr="00895819">
        <w:rPr>
          <w:lang w:val="sr-Cyrl-CS"/>
        </w:rPr>
        <w:t>;</w:t>
      </w:r>
    </w:p>
    <w:p w14:paraId="6520FF27" w14:textId="71A5FDBC" w:rsidR="00B16F8D" w:rsidRPr="00895819" w:rsidRDefault="00A32298" w:rsidP="00A32298">
      <w:pPr>
        <w:pStyle w:val="AATitre4"/>
        <w:numPr>
          <w:ilvl w:val="0"/>
          <w:numId w:val="0"/>
        </w:numPr>
        <w:ind w:left="1440" w:hanging="720"/>
        <w:rPr>
          <w:lang w:val="sr-Cyrl-CS"/>
        </w:rPr>
      </w:pPr>
      <w:r w:rsidRPr="00895819">
        <w:rPr>
          <w:lang w:val="sr-Cyrl-CS"/>
        </w:rPr>
        <w:t>(д)</w:t>
      </w:r>
      <w:r w:rsidRPr="00895819">
        <w:rPr>
          <w:lang w:val="sr-Cyrl-CS"/>
        </w:rPr>
        <w:tab/>
      </w:r>
      <w:r w:rsidR="002C781C" w:rsidRPr="00895819">
        <w:rPr>
          <w:lang w:val="sr-Cyrl-CS"/>
        </w:rPr>
        <w:t>сва превремена плаћања се морају извршити заједно са плаћањем приписане камате, евентуалних накнада, обештећења и сродних трошкова у вези са износом превре</w:t>
      </w:r>
      <w:r w:rsidR="009609FE" w:rsidRPr="00895819">
        <w:rPr>
          <w:lang w:val="sr-Cyrl-CS"/>
        </w:rPr>
        <w:t>мене отплате, у складу са овим у</w:t>
      </w:r>
      <w:r w:rsidR="002C781C" w:rsidRPr="00895819">
        <w:rPr>
          <w:lang w:val="sr-Cyrl-CS"/>
        </w:rPr>
        <w:t>говором</w:t>
      </w:r>
      <w:r w:rsidR="00B16F8D" w:rsidRPr="00895819">
        <w:rPr>
          <w:lang w:val="sr-Cyrl-CS"/>
        </w:rPr>
        <w:t>;</w:t>
      </w:r>
    </w:p>
    <w:p w14:paraId="3DE9609F" w14:textId="152579CE" w:rsidR="00B16F8D" w:rsidRPr="00895819" w:rsidRDefault="00A32298" w:rsidP="00A32298">
      <w:pPr>
        <w:pStyle w:val="AATitre4"/>
        <w:numPr>
          <w:ilvl w:val="0"/>
          <w:numId w:val="0"/>
        </w:numPr>
        <w:ind w:left="1440" w:hanging="720"/>
        <w:rPr>
          <w:lang w:val="sr-Cyrl-CS"/>
        </w:rPr>
      </w:pPr>
      <w:r w:rsidRPr="00895819">
        <w:rPr>
          <w:lang w:val="sr-Cyrl-CS"/>
        </w:rPr>
        <w:t>(е)</w:t>
      </w:r>
      <w:r w:rsidRPr="00895819">
        <w:rPr>
          <w:lang w:val="sr-Cyrl-CS"/>
        </w:rPr>
        <w:tab/>
      </w:r>
      <w:r w:rsidR="009C13C4" w:rsidRPr="00895819">
        <w:rPr>
          <w:lang w:val="sr-Cyrl-CS"/>
        </w:rPr>
        <w:t>не смеју постојати доспеле а неизмирене обавезе</w:t>
      </w:r>
      <w:r w:rsidR="00B16F8D" w:rsidRPr="00895819">
        <w:rPr>
          <w:lang w:val="sr-Cyrl-CS"/>
        </w:rPr>
        <w:t xml:space="preserve">; </w:t>
      </w:r>
      <w:r w:rsidR="009C13C4" w:rsidRPr="00895819">
        <w:rPr>
          <w:lang w:val="sr-Cyrl-CS"/>
        </w:rPr>
        <w:t>и</w:t>
      </w:r>
    </w:p>
    <w:p w14:paraId="3D2C8B5A" w14:textId="4A1B2A0C" w:rsidR="00B16F8D" w:rsidRPr="00895819" w:rsidRDefault="00A32298" w:rsidP="00A32298">
      <w:pPr>
        <w:pStyle w:val="AATitre4"/>
        <w:numPr>
          <w:ilvl w:val="0"/>
          <w:numId w:val="0"/>
        </w:numPr>
        <w:ind w:left="1440" w:hanging="720"/>
        <w:rPr>
          <w:lang w:val="sr-Cyrl-CS"/>
        </w:rPr>
      </w:pPr>
      <w:r w:rsidRPr="00895819">
        <w:rPr>
          <w:lang w:val="sr-Cyrl-CS"/>
        </w:rPr>
        <w:t>(ф)</w:t>
      </w:r>
      <w:r w:rsidRPr="00895819">
        <w:rPr>
          <w:lang w:val="sr-Cyrl-CS"/>
        </w:rPr>
        <w:tab/>
      </w:r>
      <w:r w:rsidR="009C13C4" w:rsidRPr="00895819">
        <w:rPr>
          <w:lang w:val="sr-Cyrl-CS"/>
        </w:rPr>
        <w:t>у случају делимичне превремене отплате, Зајмопримац ће доставити Зајмодавцу доказе који су задовољавајући за Зајмодавца да Зајмопримац поседује довољно опредељених средстава за потребе финансирања Операције, као што је утврђено у Плану финансирања</w:t>
      </w:r>
      <w:r w:rsidR="00B16F8D" w:rsidRPr="00895819">
        <w:rPr>
          <w:lang w:val="sr-Cyrl-CS"/>
        </w:rPr>
        <w:t>.</w:t>
      </w:r>
    </w:p>
    <w:p w14:paraId="70EAE27F" w14:textId="59564E5C" w:rsidR="00B16F8D" w:rsidRPr="00895819" w:rsidRDefault="009C13C4" w:rsidP="00B16F8D">
      <w:pPr>
        <w:pStyle w:val="BodyText1"/>
        <w:rPr>
          <w:lang w:val="sr-Cyrl-CS"/>
        </w:rPr>
      </w:pPr>
      <w:r w:rsidRPr="00895819">
        <w:rPr>
          <w:lang w:val="sr-Cyrl-CS"/>
        </w:rPr>
        <w:t>На Датум плаћања када је извршена превремена отплата, Зајмопримац ће исплатити целокупан износ Накнаде за превремену отплату доспелу и плативу у складу са чланом 9.3 (</w:t>
      </w:r>
      <w:r w:rsidR="00A32298" w:rsidRPr="00895819">
        <w:rPr>
          <w:i/>
          <w:lang w:val="sr-Cyrl-CS"/>
        </w:rPr>
        <w:t>Обештећење</w:t>
      </w:r>
      <w:r w:rsidRPr="00895819">
        <w:rPr>
          <w:i/>
          <w:lang w:val="sr-Cyrl-CS"/>
        </w:rPr>
        <w:t xml:space="preserve"> за превремену отплату</w:t>
      </w:r>
      <w:r w:rsidR="00A32298" w:rsidRPr="00895819">
        <w:rPr>
          <w:i/>
          <w:lang w:val="sr-Cyrl-CS"/>
        </w:rPr>
        <w:t xml:space="preserve"> Кредита</w:t>
      </w:r>
      <w:r w:rsidR="000D485C" w:rsidRPr="00895819">
        <w:rPr>
          <w:lang w:val="sr-Cyrl-CS"/>
        </w:rPr>
        <w:t>)</w:t>
      </w:r>
      <w:r w:rsidR="00B16F8D" w:rsidRPr="00895819">
        <w:rPr>
          <w:lang w:val="sr-Cyrl-CS"/>
        </w:rPr>
        <w:t>.</w:t>
      </w:r>
    </w:p>
    <w:p w14:paraId="7E000411" w14:textId="77777777" w:rsidR="00B16F8D" w:rsidRPr="00895819" w:rsidRDefault="00526808" w:rsidP="000F181A">
      <w:pPr>
        <w:pStyle w:val="AATitre2"/>
        <w:rPr>
          <w:u w:val="none"/>
          <w:lang w:val="sr-Cyrl-CS"/>
        </w:rPr>
      </w:pPr>
      <w:bookmarkStart w:id="47" w:name="_Toc130385333"/>
      <w:bookmarkStart w:id="48" w:name="_Toc135947150"/>
      <w:r w:rsidRPr="00895819">
        <w:rPr>
          <w:lang w:val="sr-Cyrl-CS"/>
        </w:rPr>
        <w:lastRenderedPageBreak/>
        <w:t>Обавезна превремена отплата Кредита</w:t>
      </w:r>
      <w:bookmarkEnd w:id="47"/>
      <w:bookmarkEnd w:id="48"/>
    </w:p>
    <w:p w14:paraId="61A8E999" w14:textId="77777777" w:rsidR="00B16F8D" w:rsidRPr="00895819" w:rsidRDefault="00526808" w:rsidP="00B16F8D">
      <w:pPr>
        <w:pStyle w:val="BodyText1"/>
        <w:rPr>
          <w:lang w:val="sr-Cyrl-CS"/>
        </w:rPr>
      </w:pPr>
      <w:r w:rsidRPr="00895819">
        <w:rPr>
          <w:lang w:val="sr-Cyrl-CS"/>
        </w:rPr>
        <w:t>Зајмопримац ће одмах извршити превремену отплату целокупног или дела Кредита, након пријема обавештења од стране Зајмодавца у коме га обавештава о било ком од следећих догађаја</w:t>
      </w:r>
      <w:r w:rsidR="00B16F8D" w:rsidRPr="00895819">
        <w:rPr>
          <w:lang w:val="sr-Cyrl-CS"/>
        </w:rPr>
        <w:t>:</w:t>
      </w:r>
    </w:p>
    <w:p w14:paraId="2816824D" w14:textId="7DFC1695" w:rsidR="00B16F8D" w:rsidRPr="00895819" w:rsidRDefault="00A32298" w:rsidP="00A32298">
      <w:pPr>
        <w:pStyle w:val="AATitre4"/>
        <w:numPr>
          <w:ilvl w:val="0"/>
          <w:numId w:val="0"/>
        </w:numPr>
        <w:ind w:left="1440" w:hanging="720"/>
        <w:rPr>
          <w:lang w:val="sr-Cyrl-CS"/>
        </w:rPr>
      </w:pPr>
      <w:r w:rsidRPr="00895819">
        <w:rPr>
          <w:lang w:val="sr-Cyrl-CS"/>
        </w:rPr>
        <w:t>(а)</w:t>
      </w:r>
      <w:r w:rsidRPr="00895819">
        <w:rPr>
          <w:lang w:val="sr-Cyrl-CS"/>
        </w:rPr>
        <w:tab/>
      </w:r>
      <w:r w:rsidR="00526808" w:rsidRPr="00895819">
        <w:rPr>
          <w:u w:val="single"/>
          <w:lang w:val="sr-Cyrl-CS"/>
        </w:rPr>
        <w:t xml:space="preserve">Незаконитост: </w:t>
      </w:r>
      <w:r w:rsidR="00526808" w:rsidRPr="00895819">
        <w:rPr>
          <w:lang w:val="sr-Cyrl-CS"/>
        </w:rPr>
        <w:t>ако за Зајмодавца постане незаконито, у складу са прописима који се примењују на њега, да извршава било које своје обавезе предвиђене</w:t>
      </w:r>
      <w:r w:rsidR="00B16F8D" w:rsidRPr="00895819">
        <w:rPr>
          <w:lang w:val="sr-Cyrl-CS"/>
        </w:rPr>
        <w:t xml:space="preserve"> </w:t>
      </w:r>
      <w:r w:rsidR="009609FE" w:rsidRPr="00895819">
        <w:rPr>
          <w:lang w:val="sr-Cyrl-CS"/>
        </w:rPr>
        <w:t>овим у</w:t>
      </w:r>
      <w:r w:rsidR="00526808" w:rsidRPr="00895819">
        <w:rPr>
          <w:lang w:val="sr-Cyrl-CS"/>
        </w:rPr>
        <w:t>говором или да финансира или одржава Кредит</w:t>
      </w:r>
      <w:r w:rsidR="00B16F8D" w:rsidRPr="00895819">
        <w:rPr>
          <w:lang w:val="sr-Cyrl-CS"/>
        </w:rPr>
        <w:t>;</w:t>
      </w:r>
    </w:p>
    <w:p w14:paraId="02919726" w14:textId="52A3463F" w:rsidR="00B16F8D" w:rsidRPr="00895819" w:rsidRDefault="00A32298" w:rsidP="00A32298">
      <w:pPr>
        <w:pStyle w:val="AATitre4"/>
        <w:numPr>
          <w:ilvl w:val="0"/>
          <w:numId w:val="0"/>
        </w:numPr>
        <w:ind w:left="1440" w:hanging="720"/>
        <w:rPr>
          <w:lang w:val="sr-Cyrl-CS"/>
        </w:rPr>
      </w:pPr>
      <w:r w:rsidRPr="00895819">
        <w:rPr>
          <w:lang w:val="sr-Cyrl-CS"/>
        </w:rPr>
        <w:t>(б)</w:t>
      </w:r>
      <w:r w:rsidRPr="00895819">
        <w:rPr>
          <w:lang w:val="sr-Cyrl-CS"/>
        </w:rPr>
        <w:tab/>
      </w:r>
      <w:r w:rsidR="00526808" w:rsidRPr="00895819">
        <w:rPr>
          <w:u w:val="single"/>
          <w:lang w:val="sr-Cyrl-CS"/>
        </w:rPr>
        <w:t xml:space="preserve">Додатни трошкови: </w:t>
      </w:r>
      <w:r w:rsidR="00526808" w:rsidRPr="00895819">
        <w:rPr>
          <w:lang w:val="sr-Cyrl-CS"/>
        </w:rPr>
        <w:t>ако је износ евентуалних Додатних трошкова из члана</w:t>
      </w:r>
      <w:r w:rsidR="005844C1" w:rsidRPr="00895819">
        <w:rPr>
          <w:lang w:val="sr-Cyrl-CS"/>
        </w:rPr>
        <w:t xml:space="preserve"> </w:t>
      </w:r>
      <w:r w:rsidR="000D485C" w:rsidRPr="00895819">
        <w:rPr>
          <w:lang w:val="sr-Cyrl-CS"/>
        </w:rPr>
        <w:t xml:space="preserve">9.5 </w:t>
      </w:r>
      <w:r w:rsidR="005844C1" w:rsidRPr="00895819">
        <w:rPr>
          <w:lang w:val="sr-Cyrl-CS"/>
        </w:rPr>
        <w:t>(</w:t>
      </w:r>
      <w:r w:rsidR="005844C1" w:rsidRPr="00895819">
        <w:rPr>
          <w:i/>
          <w:lang w:val="sr-Cyrl-CS"/>
        </w:rPr>
        <w:t>Додатни трошкови</w:t>
      </w:r>
      <w:r w:rsidR="005844C1" w:rsidRPr="00895819">
        <w:rPr>
          <w:lang w:val="sr-Cyrl-CS"/>
        </w:rPr>
        <w:t xml:space="preserve">) </w:t>
      </w:r>
      <w:r w:rsidR="00526808" w:rsidRPr="00895819">
        <w:rPr>
          <w:lang w:val="sr-Cyrl-CS"/>
        </w:rPr>
        <w:t>значајан а Зајмопримац одбије да плати те Додатне трошкове</w:t>
      </w:r>
      <w:r w:rsidR="00B16F8D" w:rsidRPr="00895819">
        <w:rPr>
          <w:lang w:val="sr-Cyrl-CS"/>
        </w:rPr>
        <w:t xml:space="preserve">; </w:t>
      </w:r>
    </w:p>
    <w:p w14:paraId="266031BF" w14:textId="2F309A9B" w:rsidR="00B16F8D" w:rsidRPr="00895819" w:rsidRDefault="00A32298" w:rsidP="00A32298">
      <w:pPr>
        <w:pStyle w:val="AATitre4"/>
        <w:numPr>
          <w:ilvl w:val="0"/>
          <w:numId w:val="0"/>
        </w:numPr>
        <w:ind w:left="1440" w:hanging="720"/>
        <w:rPr>
          <w:lang w:val="sr-Cyrl-CS"/>
        </w:rPr>
      </w:pPr>
      <w:r w:rsidRPr="00895819">
        <w:rPr>
          <w:rFonts w:cs="Arial"/>
          <w:lang w:val="sr-Cyrl-CS"/>
        </w:rPr>
        <w:t>(ц)</w:t>
      </w:r>
      <w:r w:rsidRPr="00895819">
        <w:rPr>
          <w:rFonts w:cs="Arial"/>
          <w:lang w:val="sr-Cyrl-CS"/>
        </w:rPr>
        <w:tab/>
      </w:r>
      <w:r w:rsidR="00CF7D4C" w:rsidRPr="00895819">
        <w:rPr>
          <w:rFonts w:cs="Arial"/>
          <w:u w:val="single"/>
          <w:lang w:val="sr-Cyrl-CS"/>
        </w:rPr>
        <w:t>Неизвршење обавеза</w:t>
      </w:r>
      <w:r w:rsidR="00CF7D4C" w:rsidRPr="00895819">
        <w:rPr>
          <w:rFonts w:cs="Arial"/>
          <w:lang w:val="sr-Cyrl-CS"/>
        </w:rPr>
        <w:t>: Зајмодавац објављује да је дошло до Случаја неизвршења обавеза у складу са чланом 13 (</w:t>
      </w:r>
      <w:r w:rsidR="00CF7D4C" w:rsidRPr="00895819">
        <w:rPr>
          <w:rFonts w:cs="Arial"/>
          <w:i/>
          <w:iCs/>
          <w:lang w:val="sr-Cyrl-CS"/>
        </w:rPr>
        <w:t>Случај неизвршења обавеза</w:t>
      </w:r>
      <w:r w:rsidR="00CF7D4C" w:rsidRPr="00895819">
        <w:rPr>
          <w:rFonts w:cs="Arial"/>
          <w:lang w:val="sr-Cyrl-CS"/>
        </w:rPr>
        <w:t>)</w:t>
      </w:r>
      <w:r w:rsidR="00B16F8D" w:rsidRPr="00895819">
        <w:rPr>
          <w:lang w:val="sr-Cyrl-CS"/>
        </w:rPr>
        <w:t>;</w:t>
      </w:r>
    </w:p>
    <w:p w14:paraId="536134EB" w14:textId="3E4700DF" w:rsidR="00B16F8D" w:rsidRPr="00895819" w:rsidRDefault="00A32298" w:rsidP="00A32298">
      <w:pPr>
        <w:pStyle w:val="AATitre4"/>
        <w:numPr>
          <w:ilvl w:val="0"/>
          <w:numId w:val="0"/>
        </w:numPr>
        <w:ind w:left="1440" w:hanging="720"/>
        <w:rPr>
          <w:lang w:val="sr-Cyrl-CS"/>
        </w:rPr>
      </w:pPr>
      <w:r w:rsidRPr="00895819">
        <w:rPr>
          <w:rFonts w:eastAsia="Calibri"/>
          <w:szCs w:val="22"/>
          <w:lang w:val="sr-Cyrl-CS" w:eastAsia="en-US"/>
        </w:rPr>
        <w:t>(д)</w:t>
      </w:r>
      <w:r w:rsidRPr="00895819">
        <w:rPr>
          <w:rFonts w:eastAsia="Calibri"/>
          <w:szCs w:val="22"/>
          <w:lang w:val="sr-Cyrl-CS" w:eastAsia="en-US"/>
        </w:rPr>
        <w:tab/>
      </w:r>
      <w:r w:rsidR="00F222A7" w:rsidRPr="00895819">
        <w:rPr>
          <w:rFonts w:eastAsia="Calibri"/>
          <w:szCs w:val="22"/>
          <w:u w:val="single"/>
          <w:lang w:val="sr-Cyrl-CS" w:eastAsia="en-US"/>
        </w:rPr>
        <w:t>Превремена отплата Суфинансијеру</w:t>
      </w:r>
      <w:r w:rsidR="00F222A7" w:rsidRPr="00895819">
        <w:rPr>
          <w:rFonts w:eastAsia="Calibri"/>
          <w:szCs w:val="22"/>
          <w:lang w:val="sr-Cyrl-CS" w:eastAsia="en-US"/>
        </w:rPr>
        <w:t>: ако Зајмопримац превремено отплати износ који дугује Суфинансијеру, у целини или делимично, у ком случају Зајмодавац има право да захтева да Зајмопримац превремено отплати, већ према случају, Кредит или износ неизмиреног Кредита сразмеран износу који је превремено отплаћен Суфинансијеру</w:t>
      </w:r>
      <w:r w:rsidR="00B16F8D" w:rsidRPr="00895819">
        <w:rPr>
          <w:lang w:val="sr-Cyrl-CS"/>
        </w:rPr>
        <w:t>.</w:t>
      </w:r>
    </w:p>
    <w:p w14:paraId="5338059E" w14:textId="4234EEA8" w:rsidR="00B16F8D" w:rsidRPr="00895819" w:rsidRDefault="00D10956" w:rsidP="00B16F8D">
      <w:pPr>
        <w:pStyle w:val="BodyText1"/>
        <w:rPr>
          <w:lang w:val="sr-Cyrl-CS"/>
        </w:rPr>
      </w:pPr>
      <w:r w:rsidRPr="00895819">
        <w:rPr>
          <w:lang w:val="sr-Cyrl-CS"/>
        </w:rPr>
        <w:t xml:space="preserve">Ако наступи било који од случајева из ставова </w:t>
      </w:r>
      <w:r w:rsidRPr="00895819">
        <w:rPr>
          <w:szCs w:val="20"/>
          <w:lang w:val="sr-Cyrl-CS"/>
        </w:rPr>
        <w:t>(а), (</w:t>
      </w:r>
      <w:r w:rsidR="00A32298" w:rsidRPr="00895819">
        <w:rPr>
          <w:szCs w:val="20"/>
          <w:lang w:val="sr-Cyrl-CS"/>
        </w:rPr>
        <w:t>б</w:t>
      </w:r>
      <w:r w:rsidRPr="00895819">
        <w:rPr>
          <w:szCs w:val="20"/>
          <w:lang w:val="sr-Cyrl-CS"/>
        </w:rPr>
        <w:t>) и (</w:t>
      </w:r>
      <w:r w:rsidR="00A32298" w:rsidRPr="00895819">
        <w:rPr>
          <w:szCs w:val="20"/>
          <w:lang w:val="sr-Cyrl-CS"/>
        </w:rPr>
        <w:t>ц</w:t>
      </w:r>
      <w:r w:rsidRPr="00895819">
        <w:rPr>
          <w:szCs w:val="20"/>
          <w:lang w:val="sr-Cyrl-CS"/>
        </w:rPr>
        <w:t>), Зајмодавац задржава право, након што је писмено обавестио Зајмопримца, да оствари своја права као поверилац на начин наведен у ставу (</w:t>
      </w:r>
      <w:r w:rsidR="00A32298" w:rsidRPr="00895819">
        <w:rPr>
          <w:szCs w:val="20"/>
          <w:lang w:val="sr-Cyrl-CS"/>
        </w:rPr>
        <w:t>б</w:t>
      </w:r>
      <w:r w:rsidRPr="00895819">
        <w:rPr>
          <w:szCs w:val="20"/>
          <w:lang w:val="sr-Cyrl-CS"/>
        </w:rPr>
        <w:t>) члана 13.2 (</w:t>
      </w:r>
      <w:r w:rsidR="00264A4D" w:rsidRPr="00895819">
        <w:rPr>
          <w:i/>
          <w:szCs w:val="20"/>
          <w:lang w:val="sr-Cyrl-CS"/>
        </w:rPr>
        <w:t>Превремена доспелост</w:t>
      </w:r>
      <w:r w:rsidRPr="00895819">
        <w:rPr>
          <w:szCs w:val="20"/>
          <w:lang w:val="sr-Cyrl-CS"/>
        </w:rPr>
        <w:t>)</w:t>
      </w:r>
      <w:r w:rsidR="00B16F8D" w:rsidRPr="00895819">
        <w:rPr>
          <w:lang w:val="sr-Cyrl-CS"/>
        </w:rPr>
        <w:t>.</w:t>
      </w:r>
    </w:p>
    <w:p w14:paraId="273C6DF8" w14:textId="326E7831" w:rsidR="00B16F8D" w:rsidRPr="00895819" w:rsidRDefault="00D10956" w:rsidP="000F181A">
      <w:pPr>
        <w:pStyle w:val="AATitre2"/>
        <w:rPr>
          <w:u w:val="none"/>
          <w:lang w:val="sr-Cyrl-CS"/>
        </w:rPr>
      </w:pPr>
      <w:bookmarkStart w:id="49" w:name="_Ref371952674"/>
      <w:bookmarkStart w:id="50" w:name="_Ref371952679"/>
      <w:bookmarkStart w:id="51" w:name="_Toc421631529"/>
      <w:bookmarkStart w:id="52" w:name="_Toc130385334"/>
      <w:bookmarkStart w:id="53" w:name="_Toc135947151"/>
      <w:r w:rsidRPr="00895819">
        <w:rPr>
          <w:lang w:val="sr-Cyrl-CS"/>
        </w:rPr>
        <w:t>Отказ</w:t>
      </w:r>
      <w:r w:rsidR="00CE2B9A" w:rsidRPr="00895819">
        <w:rPr>
          <w:lang w:val="sr-Cyrl-CS"/>
        </w:rPr>
        <w:t>ивање</w:t>
      </w:r>
      <w:r w:rsidRPr="00895819">
        <w:rPr>
          <w:lang w:val="sr-Cyrl-CS"/>
        </w:rPr>
        <w:t xml:space="preserve"> од стране Зајмопримца</w:t>
      </w:r>
      <w:bookmarkEnd w:id="49"/>
      <w:bookmarkEnd w:id="50"/>
      <w:bookmarkEnd w:id="51"/>
      <w:bookmarkEnd w:id="52"/>
      <w:bookmarkEnd w:id="53"/>
    </w:p>
    <w:p w14:paraId="54538854" w14:textId="77777777" w:rsidR="00B16F8D" w:rsidRPr="00895819" w:rsidRDefault="00D10956" w:rsidP="00B16F8D">
      <w:pPr>
        <w:pStyle w:val="BodyText1"/>
        <w:rPr>
          <w:lang w:val="sr-Cyrl-CS"/>
        </w:rPr>
      </w:pPr>
      <w:r w:rsidRPr="00895819">
        <w:rPr>
          <w:lang w:val="sr-Cyrl-CS"/>
        </w:rPr>
        <w:t>Пре истека Рока за Повлачење средстава, Зајмопримац може да откаже Расположиви кредит у целости или делимично, тако што ће Зајмодавцу доставити обавештење три (3) Радна дана раније</w:t>
      </w:r>
      <w:r w:rsidR="00B16F8D" w:rsidRPr="00895819">
        <w:rPr>
          <w:lang w:val="sr-Cyrl-CS"/>
        </w:rPr>
        <w:t>.</w:t>
      </w:r>
    </w:p>
    <w:p w14:paraId="23A1D210" w14:textId="77777777" w:rsidR="00B16F8D" w:rsidRPr="00895819" w:rsidRDefault="00D10956" w:rsidP="00B16F8D">
      <w:pPr>
        <w:pStyle w:val="BodyText1"/>
        <w:rPr>
          <w:lang w:val="sr-Cyrl-CS"/>
        </w:rPr>
      </w:pPr>
      <w:r w:rsidRPr="00895819">
        <w:rPr>
          <w:lang w:val="sr-Cyrl-CS"/>
        </w:rPr>
        <w:t>По пријему таквог обавештења о отказ</w:t>
      </w:r>
      <w:r w:rsidR="00CE2B9A" w:rsidRPr="00895819">
        <w:rPr>
          <w:lang w:val="sr-Cyrl-CS"/>
        </w:rPr>
        <w:t>ивању</w:t>
      </w:r>
      <w:r w:rsidRPr="00895819">
        <w:rPr>
          <w:lang w:val="sr-Cyrl-CS"/>
        </w:rPr>
        <w:t>, Зајмодавац ће отказати износ о коме га је обавестио Зајмопримац</w:t>
      </w:r>
      <w:r w:rsidR="00B16F8D" w:rsidRPr="00895819">
        <w:rPr>
          <w:lang w:val="sr-Cyrl-CS"/>
        </w:rPr>
        <w:t xml:space="preserve">, </w:t>
      </w:r>
      <w:r w:rsidR="00CE2B9A" w:rsidRPr="00895819">
        <w:rPr>
          <w:lang w:val="sr-Cyrl-CS"/>
        </w:rPr>
        <w:t>под условом да су расходи, наведени у Плану финансирања, покривени на начин задовољавајући за Зајмодавца, осим у случају да Зајмопримац напушта Операцију</w:t>
      </w:r>
      <w:r w:rsidR="00B16F8D" w:rsidRPr="00895819">
        <w:rPr>
          <w:lang w:val="sr-Cyrl-CS"/>
        </w:rPr>
        <w:t>.</w:t>
      </w:r>
    </w:p>
    <w:p w14:paraId="12047799" w14:textId="0C85A59E" w:rsidR="00B16F8D" w:rsidRPr="00895819" w:rsidRDefault="00CE2B9A" w:rsidP="000F181A">
      <w:pPr>
        <w:pStyle w:val="AATitre2"/>
        <w:rPr>
          <w:u w:val="none"/>
          <w:lang w:val="sr-Cyrl-CS"/>
        </w:rPr>
      </w:pPr>
      <w:bookmarkStart w:id="54" w:name="_Toc135947152"/>
      <w:r w:rsidRPr="00895819">
        <w:rPr>
          <w:lang w:val="sr-Cyrl-CS"/>
        </w:rPr>
        <w:t>Отказивање од стране Зајмодавца</w:t>
      </w:r>
      <w:bookmarkEnd w:id="54"/>
    </w:p>
    <w:p w14:paraId="506CDC82" w14:textId="77777777" w:rsidR="00B16F8D" w:rsidRPr="00895819" w:rsidRDefault="00602FE4" w:rsidP="00B16F8D">
      <w:pPr>
        <w:pStyle w:val="BodyText1"/>
        <w:rPr>
          <w:lang w:val="sr-Cyrl-CS"/>
        </w:rPr>
      </w:pPr>
      <w:r w:rsidRPr="00895819">
        <w:rPr>
          <w:lang w:val="sr-Cyrl-CS"/>
        </w:rPr>
        <w:t>Расположиви кредит ће без одлагања бити отказан након достављања обавештења Зајмопримцу, које ступа на снагу без одлагања, ако</w:t>
      </w:r>
      <w:r w:rsidR="00B16F8D" w:rsidRPr="00895819">
        <w:rPr>
          <w:lang w:val="sr-Cyrl-CS"/>
        </w:rPr>
        <w:t>:</w:t>
      </w:r>
    </w:p>
    <w:p w14:paraId="7B543C58" w14:textId="13343927" w:rsidR="00B16F8D" w:rsidRPr="00895819" w:rsidRDefault="001F6796" w:rsidP="001F6796">
      <w:pPr>
        <w:pStyle w:val="AATitre4"/>
        <w:numPr>
          <w:ilvl w:val="0"/>
          <w:numId w:val="0"/>
        </w:numPr>
        <w:ind w:left="1440" w:hanging="720"/>
        <w:rPr>
          <w:lang w:val="sr-Cyrl-CS"/>
        </w:rPr>
      </w:pPr>
      <w:r w:rsidRPr="00895819">
        <w:rPr>
          <w:lang w:val="sr-Cyrl-CS"/>
        </w:rPr>
        <w:t>(а)</w:t>
      </w:r>
      <w:r w:rsidRPr="00895819">
        <w:rPr>
          <w:lang w:val="sr-Cyrl-CS"/>
        </w:rPr>
        <w:tab/>
      </w:r>
      <w:r w:rsidR="00602FE4" w:rsidRPr="00895819">
        <w:rPr>
          <w:lang w:val="sr-Cyrl-CS"/>
        </w:rPr>
        <w:t>износ Доступног кредита није једнак нули на дан истека Рока за Повлачење средстава</w:t>
      </w:r>
      <w:r w:rsidR="00B16F8D" w:rsidRPr="00895819">
        <w:rPr>
          <w:lang w:val="sr-Cyrl-CS"/>
        </w:rPr>
        <w:t xml:space="preserve">; </w:t>
      </w:r>
      <w:r w:rsidR="00602FE4" w:rsidRPr="00895819">
        <w:rPr>
          <w:lang w:val="sr-Cyrl-CS"/>
        </w:rPr>
        <w:t>или</w:t>
      </w:r>
    </w:p>
    <w:p w14:paraId="699BE2FE" w14:textId="257B9419" w:rsidR="00B16F8D" w:rsidRPr="00895819" w:rsidRDefault="001F6796" w:rsidP="001F6796">
      <w:pPr>
        <w:pStyle w:val="AATitre4"/>
        <w:numPr>
          <w:ilvl w:val="0"/>
          <w:numId w:val="0"/>
        </w:numPr>
        <w:ind w:left="1440" w:hanging="720"/>
        <w:rPr>
          <w:lang w:val="sr-Cyrl-CS"/>
        </w:rPr>
      </w:pPr>
      <w:r w:rsidRPr="00895819">
        <w:rPr>
          <w:lang w:val="sr-Cyrl-CS"/>
        </w:rPr>
        <w:t>(б)</w:t>
      </w:r>
      <w:r w:rsidRPr="00895819">
        <w:rPr>
          <w:lang w:val="sr-Cyrl-CS"/>
        </w:rPr>
        <w:tab/>
      </w:r>
      <w:r w:rsidR="00602FE4" w:rsidRPr="00895819">
        <w:rPr>
          <w:lang w:val="sr-Cyrl-CS"/>
        </w:rPr>
        <w:t>није дошло до првог Повлачења средстава до Рока за прво повлачење средстава</w:t>
      </w:r>
      <w:r w:rsidR="00B16F8D" w:rsidRPr="00895819">
        <w:rPr>
          <w:lang w:val="sr-Cyrl-CS"/>
        </w:rPr>
        <w:t xml:space="preserve">; </w:t>
      </w:r>
      <w:r w:rsidR="00602FE4" w:rsidRPr="00895819">
        <w:rPr>
          <w:lang w:val="sr-Cyrl-CS"/>
        </w:rPr>
        <w:t>или</w:t>
      </w:r>
    </w:p>
    <w:p w14:paraId="1C602130" w14:textId="60262B5A" w:rsidR="00B16F8D" w:rsidRPr="00895819" w:rsidRDefault="001F6796" w:rsidP="001F6796">
      <w:pPr>
        <w:pStyle w:val="AATitre4"/>
        <w:numPr>
          <w:ilvl w:val="0"/>
          <w:numId w:val="0"/>
        </w:numPr>
        <w:ind w:left="1440" w:hanging="720"/>
        <w:rPr>
          <w:lang w:val="sr-Cyrl-CS"/>
        </w:rPr>
      </w:pPr>
      <w:r w:rsidRPr="00895819">
        <w:rPr>
          <w:lang w:val="sr-Cyrl-CS"/>
        </w:rPr>
        <w:t>(ц)</w:t>
      </w:r>
      <w:r w:rsidRPr="00895819">
        <w:rPr>
          <w:lang w:val="sr-Cyrl-CS"/>
        </w:rPr>
        <w:tab/>
      </w:r>
      <w:r w:rsidR="00602FE4" w:rsidRPr="00895819">
        <w:rPr>
          <w:lang w:val="sr-Cyrl-CS"/>
        </w:rPr>
        <w:t>наступио је Случај неизвршења обавеза и он се наставља; или</w:t>
      </w:r>
    </w:p>
    <w:p w14:paraId="2EE5EC08" w14:textId="19EE6CC2" w:rsidR="00B16F8D" w:rsidRPr="00895819" w:rsidRDefault="001F6796" w:rsidP="001F6796">
      <w:pPr>
        <w:pStyle w:val="AATitre4"/>
        <w:numPr>
          <w:ilvl w:val="0"/>
          <w:numId w:val="0"/>
        </w:numPr>
        <w:ind w:left="1440" w:hanging="720"/>
        <w:rPr>
          <w:lang w:val="sr-Cyrl-CS"/>
        </w:rPr>
      </w:pPr>
      <w:r w:rsidRPr="00895819">
        <w:rPr>
          <w:lang w:val="sr-Cyrl-CS"/>
        </w:rPr>
        <w:t>(д)</w:t>
      </w:r>
      <w:r w:rsidRPr="00895819">
        <w:rPr>
          <w:lang w:val="sr-Cyrl-CS"/>
        </w:rPr>
        <w:tab/>
      </w:r>
      <w:r w:rsidR="00602FE4" w:rsidRPr="00895819">
        <w:rPr>
          <w:lang w:val="sr-Cyrl-CS"/>
        </w:rPr>
        <w:t xml:space="preserve">наступио је случај из члана </w:t>
      </w:r>
      <w:r w:rsidR="00615BC2" w:rsidRPr="00895819">
        <w:rPr>
          <w:lang w:val="sr-Cyrl-CS"/>
        </w:rPr>
        <w:t>8.2 (</w:t>
      </w:r>
      <w:r w:rsidR="00602FE4" w:rsidRPr="00895819">
        <w:rPr>
          <w:i/>
          <w:lang w:val="sr-Cyrl-CS"/>
        </w:rPr>
        <w:t>Обавезна превремена отплата</w:t>
      </w:r>
      <w:r w:rsidRPr="00895819">
        <w:rPr>
          <w:i/>
          <w:lang w:val="sr-Cyrl-CS"/>
        </w:rPr>
        <w:t xml:space="preserve"> Кредита</w:t>
      </w:r>
      <w:r w:rsidR="00615BC2" w:rsidRPr="00895819">
        <w:rPr>
          <w:lang w:val="sr-Cyrl-CS"/>
        </w:rPr>
        <w:t>)</w:t>
      </w:r>
      <w:r w:rsidR="00B16F8D" w:rsidRPr="00895819">
        <w:rPr>
          <w:lang w:val="sr-Cyrl-CS"/>
        </w:rPr>
        <w:t xml:space="preserve">. </w:t>
      </w:r>
    </w:p>
    <w:p w14:paraId="459CAE38" w14:textId="77777777" w:rsidR="00B16F8D" w:rsidRPr="00895819" w:rsidRDefault="00602FE4" w:rsidP="000F181A">
      <w:pPr>
        <w:pStyle w:val="AATitre2"/>
        <w:rPr>
          <w:u w:val="none"/>
          <w:lang w:val="sr-Cyrl-CS"/>
        </w:rPr>
      </w:pPr>
      <w:bookmarkStart w:id="55" w:name="_Toc135947153"/>
      <w:r w:rsidRPr="00895819">
        <w:rPr>
          <w:lang w:val="sr-Cyrl-CS"/>
        </w:rPr>
        <w:lastRenderedPageBreak/>
        <w:t>Ограничења</w:t>
      </w:r>
      <w:bookmarkEnd w:id="55"/>
    </w:p>
    <w:p w14:paraId="26D486D7" w14:textId="05381AD9" w:rsidR="00B16F8D" w:rsidRPr="00895819" w:rsidRDefault="001F6796" w:rsidP="001F6796">
      <w:pPr>
        <w:pStyle w:val="AATitre4"/>
        <w:numPr>
          <w:ilvl w:val="0"/>
          <w:numId w:val="0"/>
        </w:numPr>
        <w:ind w:left="1440" w:hanging="720"/>
        <w:rPr>
          <w:lang w:val="sr-Cyrl-CS"/>
        </w:rPr>
      </w:pPr>
      <w:r w:rsidRPr="00895819">
        <w:rPr>
          <w:lang w:val="sr-Cyrl-CS"/>
        </w:rPr>
        <w:t>(а)</w:t>
      </w:r>
      <w:r w:rsidRPr="00895819">
        <w:rPr>
          <w:lang w:val="sr-Cyrl-CS"/>
        </w:rPr>
        <w:tab/>
      </w:r>
      <w:r w:rsidR="006321ED" w:rsidRPr="00895819">
        <w:rPr>
          <w:lang w:val="sr-Cyrl-CS"/>
        </w:rPr>
        <w:t xml:space="preserve">Свако обавештење о превременој отплати или отказу у складу са чланом </w:t>
      </w:r>
      <w:r w:rsidR="00615BC2" w:rsidRPr="00895819">
        <w:rPr>
          <w:lang w:val="sr-Cyrl-CS"/>
        </w:rPr>
        <w:t>8</w:t>
      </w:r>
      <w:r w:rsidR="005844C1" w:rsidRPr="00895819">
        <w:rPr>
          <w:lang w:val="sr-Cyrl-CS"/>
        </w:rPr>
        <w:t xml:space="preserve"> (</w:t>
      </w:r>
      <w:r w:rsidR="005844C1" w:rsidRPr="00895819">
        <w:rPr>
          <w:i/>
          <w:lang w:val="sr-Cyrl-CS"/>
        </w:rPr>
        <w:t>П</w:t>
      </w:r>
      <w:r w:rsidRPr="00895819">
        <w:rPr>
          <w:i/>
          <w:lang w:val="sr-Cyrl-CS"/>
        </w:rPr>
        <w:t>ревремена отплата и отказивање К</w:t>
      </w:r>
      <w:r w:rsidR="005844C1" w:rsidRPr="00895819">
        <w:rPr>
          <w:i/>
          <w:lang w:val="sr-Cyrl-CS"/>
        </w:rPr>
        <w:t>редита</w:t>
      </w:r>
      <w:r w:rsidR="005844C1" w:rsidRPr="00895819">
        <w:rPr>
          <w:lang w:val="sr-Cyrl-CS"/>
        </w:rPr>
        <w:t>)</w:t>
      </w:r>
      <w:r w:rsidR="006321ED" w:rsidRPr="00895819">
        <w:rPr>
          <w:i/>
          <w:lang w:val="sr-Cyrl-CS"/>
        </w:rPr>
        <w:t xml:space="preserve"> </w:t>
      </w:r>
      <w:r w:rsidR="006321ED" w:rsidRPr="00895819">
        <w:rPr>
          <w:lang w:val="sr-Cyrl-CS"/>
        </w:rPr>
        <w:t>ј</w:t>
      </w:r>
      <w:r w:rsidR="009609FE" w:rsidRPr="00895819">
        <w:rPr>
          <w:lang w:val="sr-Cyrl-CS"/>
        </w:rPr>
        <w:t>е неопозиво и, осим ако у овом у</w:t>
      </w:r>
      <w:r w:rsidR="006321ED" w:rsidRPr="00895819">
        <w:rPr>
          <w:lang w:val="sr-Cyrl-CS"/>
        </w:rPr>
        <w:t>говору није другачије наведено, у сваком таквом обавештењу наводе се да</w:t>
      </w:r>
      <w:r w:rsidR="00867D56" w:rsidRPr="00895819">
        <w:rPr>
          <w:lang w:val="sr-Cyrl-CS"/>
        </w:rPr>
        <w:t>тум</w:t>
      </w:r>
      <w:r w:rsidR="006321ED" w:rsidRPr="00895819">
        <w:rPr>
          <w:lang w:val="sr-Cyrl-CS"/>
        </w:rPr>
        <w:t xml:space="preserve"> односно да</w:t>
      </w:r>
      <w:r w:rsidR="00867D56" w:rsidRPr="00895819">
        <w:rPr>
          <w:lang w:val="sr-Cyrl-CS"/>
        </w:rPr>
        <w:t>туми</w:t>
      </w:r>
      <w:r w:rsidR="006321ED" w:rsidRPr="00895819">
        <w:rPr>
          <w:lang w:val="sr-Cyrl-CS"/>
        </w:rPr>
        <w:t xml:space="preserve"> на који се врши одговарајућа превремена отплата или отказивања и износ превремене отплате или отказивања</w:t>
      </w:r>
      <w:r w:rsidR="00B16F8D" w:rsidRPr="00895819">
        <w:rPr>
          <w:lang w:val="sr-Cyrl-CS"/>
        </w:rPr>
        <w:t>.</w:t>
      </w:r>
    </w:p>
    <w:p w14:paraId="4245C08B" w14:textId="4E3C2A60" w:rsidR="00B16F8D" w:rsidRPr="00895819" w:rsidRDefault="001F6796" w:rsidP="001F6796">
      <w:pPr>
        <w:pStyle w:val="AATitre4"/>
        <w:numPr>
          <w:ilvl w:val="0"/>
          <w:numId w:val="0"/>
        </w:numPr>
        <w:ind w:left="1440" w:hanging="720"/>
        <w:rPr>
          <w:lang w:val="sr-Cyrl-CS"/>
        </w:rPr>
      </w:pPr>
      <w:r w:rsidRPr="00895819">
        <w:rPr>
          <w:lang w:val="sr-Cyrl-CS"/>
        </w:rPr>
        <w:t>(б)</w:t>
      </w:r>
      <w:r w:rsidRPr="00895819">
        <w:rPr>
          <w:lang w:val="sr-Cyrl-CS"/>
        </w:rPr>
        <w:tab/>
      </w:r>
      <w:r w:rsidR="006321ED" w:rsidRPr="00895819">
        <w:rPr>
          <w:lang w:val="sr-Cyrl-CS"/>
        </w:rPr>
        <w:t>Зајмопримац може да отплати или откаже Кредит у целини или делимично само у време и на начин ко</w:t>
      </w:r>
      <w:r w:rsidR="009609FE" w:rsidRPr="00895819">
        <w:rPr>
          <w:lang w:val="sr-Cyrl-CS"/>
        </w:rPr>
        <w:t>ји је изричито прописан у овом у</w:t>
      </w:r>
      <w:r w:rsidR="006321ED" w:rsidRPr="00895819">
        <w:rPr>
          <w:lang w:val="sr-Cyrl-CS"/>
        </w:rPr>
        <w:t>говору</w:t>
      </w:r>
      <w:r w:rsidR="00B16F8D" w:rsidRPr="00895819">
        <w:rPr>
          <w:lang w:val="sr-Cyrl-CS"/>
        </w:rPr>
        <w:t>.</w:t>
      </w:r>
    </w:p>
    <w:p w14:paraId="08F8778E" w14:textId="58786F99" w:rsidR="00B16F8D" w:rsidRPr="00895819" w:rsidRDefault="001F6796" w:rsidP="001F6796">
      <w:pPr>
        <w:pStyle w:val="AATitre4"/>
        <w:numPr>
          <w:ilvl w:val="0"/>
          <w:numId w:val="0"/>
        </w:numPr>
        <w:ind w:left="1440" w:hanging="720"/>
        <w:rPr>
          <w:lang w:val="sr-Cyrl-CS"/>
        </w:rPr>
      </w:pPr>
      <w:r w:rsidRPr="00895819">
        <w:rPr>
          <w:lang w:val="sr-Cyrl-CS"/>
        </w:rPr>
        <w:t>(ц)</w:t>
      </w:r>
      <w:r w:rsidRPr="00895819">
        <w:rPr>
          <w:lang w:val="sr-Cyrl-CS"/>
        </w:rPr>
        <w:tab/>
      </w:r>
      <w:r w:rsidR="009A01FF" w:rsidRPr="00895819">
        <w:rPr>
          <w:lang w:val="sr-Cyrl-CS"/>
        </w:rPr>
        <w:t>Свака превр</w:t>
      </w:r>
      <w:r w:rsidR="009609FE" w:rsidRPr="00895819">
        <w:rPr>
          <w:lang w:val="sr-Cyrl-CS"/>
        </w:rPr>
        <w:t>емена отплата у складу са овим у</w:t>
      </w:r>
      <w:r w:rsidR="009A01FF" w:rsidRPr="00895819">
        <w:rPr>
          <w:lang w:val="sr-Cyrl-CS"/>
        </w:rPr>
        <w:t xml:space="preserve">говором врши се заједно са плаћањем (i) камате приписане на износ превремене отплате, (ii) неизмирених накнада и (iii) </w:t>
      </w:r>
      <w:r w:rsidR="00B930E6" w:rsidRPr="00895819">
        <w:rPr>
          <w:lang w:val="sr-Cyrl-CS"/>
        </w:rPr>
        <w:t>о</w:t>
      </w:r>
      <w:r w:rsidR="009A01FF" w:rsidRPr="00895819">
        <w:rPr>
          <w:lang w:val="sr-Cyrl-CS"/>
        </w:rPr>
        <w:t xml:space="preserve">бештећења за превремену отплату из члана </w:t>
      </w:r>
      <w:r w:rsidR="00615BC2" w:rsidRPr="00895819">
        <w:rPr>
          <w:lang w:val="sr-Cyrl-CS"/>
        </w:rPr>
        <w:t xml:space="preserve">9.3 </w:t>
      </w:r>
      <w:r w:rsidRPr="00895819">
        <w:rPr>
          <w:lang w:val="sr-Cyrl-CS"/>
        </w:rPr>
        <w:t>(</w:t>
      </w:r>
      <w:r w:rsidRPr="00895819">
        <w:rPr>
          <w:i/>
          <w:lang w:val="sr-Cyrl-CS"/>
        </w:rPr>
        <w:t>Обештећење за превремену отплату Кредита</w:t>
      </w:r>
      <w:r w:rsidR="00615BC2" w:rsidRPr="00895819">
        <w:rPr>
          <w:lang w:val="sr-Cyrl-CS"/>
        </w:rPr>
        <w:t>)</w:t>
      </w:r>
      <w:r w:rsidR="00B16F8D" w:rsidRPr="00895819">
        <w:rPr>
          <w:lang w:val="sr-Cyrl-CS"/>
        </w:rPr>
        <w:t>.</w:t>
      </w:r>
    </w:p>
    <w:p w14:paraId="3F0F3B02" w14:textId="0AFB9657" w:rsidR="00B16F8D" w:rsidRPr="00895819" w:rsidRDefault="001F6796" w:rsidP="001F6796">
      <w:pPr>
        <w:pStyle w:val="AATitre4"/>
        <w:numPr>
          <w:ilvl w:val="0"/>
          <w:numId w:val="0"/>
        </w:numPr>
        <w:ind w:left="1440" w:hanging="720"/>
        <w:rPr>
          <w:lang w:val="sr-Cyrl-CS"/>
        </w:rPr>
      </w:pPr>
      <w:r w:rsidRPr="00895819">
        <w:rPr>
          <w:lang w:val="sr-Cyrl-CS"/>
        </w:rPr>
        <w:t>(д)</w:t>
      </w:r>
      <w:r w:rsidRPr="00895819">
        <w:rPr>
          <w:lang w:val="sr-Cyrl-CS"/>
        </w:rPr>
        <w:tab/>
      </w:r>
      <w:r w:rsidR="009A01FF" w:rsidRPr="00895819">
        <w:rPr>
          <w:lang w:val="sr-Cyrl-CS"/>
        </w:rPr>
        <w:t>Сваки износ превремене отплате одбија се од преосталих рата по обрнутом редоследу доспећа</w:t>
      </w:r>
      <w:r w:rsidR="00B16F8D" w:rsidRPr="00895819">
        <w:rPr>
          <w:lang w:val="sr-Cyrl-CS"/>
        </w:rPr>
        <w:t xml:space="preserve">. </w:t>
      </w:r>
    </w:p>
    <w:p w14:paraId="46578CF3" w14:textId="0D1B3C5D" w:rsidR="00B16F8D" w:rsidRPr="00895819" w:rsidRDefault="001F6796" w:rsidP="001F6796">
      <w:pPr>
        <w:pStyle w:val="AATitre4"/>
        <w:numPr>
          <w:ilvl w:val="0"/>
          <w:numId w:val="0"/>
        </w:numPr>
        <w:ind w:left="1440" w:hanging="720"/>
        <w:rPr>
          <w:lang w:val="sr-Cyrl-CS"/>
        </w:rPr>
      </w:pPr>
      <w:r w:rsidRPr="00895819">
        <w:rPr>
          <w:lang w:val="sr-Cyrl-CS"/>
        </w:rPr>
        <w:t>(е)</w:t>
      </w:r>
      <w:r w:rsidRPr="00895819">
        <w:rPr>
          <w:lang w:val="sr-Cyrl-CS"/>
        </w:rPr>
        <w:tab/>
      </w:r>
      <w:r w:rsidR="009A01FF" w:rsidRPr="00895819">
        <w:rPr>
          <w:lang w:val="sr-Cyrl-CS"/>
        </w:rPr>
        <w:t>Зајмопримац не може поновно да позајми било који Кредит, у целини или делимично, који је превремено отплаћен или отказан</w:t>
      </w:r>
      <w:r w:rsidR="00B16F8D" w:rsidRPr="00895819">
        <w:rPr>
          <w:lang w:val="sr-Cyrl-CS"/>
        </w:rPr>
        <w:t>.</w:t>
      </w:r>
    </w:p>
    <w:p w14:paraId="27C71C39" w14:textId="77777777" w:rsidR="00B16F8D" w:rsidRPr="00895819" w:rsidRDefault="00B930E6" w:rsidP="00A32298">
      <w:pPr>
        <w:pStyle w:val="AATitre1"/>
        <w:rPr>
          <w:lang w:val="sr-Cyrl-CS"/>
        </w:rPr>
      </w:pPr>
      <w:bookmarkStart w:id="56" w:name="_Toc135947154"/>
      <w:r w:rsidRPr="00895819">
        <w:rPr>
          <w:lang w:val="sr-Cyrl-CS"/>
        </w:rPr>
        <w:t>ДОДАТНЕ ОБАВЕЗЕ ПЛАЋАЊА</w:t>
      </w:r>
      <w:bookmarkEnd w:id="56"/>
    </w:p>
    <w:p w14:paraId="1C92774C" w14:textId="77777777" w:rsidR="00B16F8D" w:rsidRPr="00895819" w:rsidRDefault="00B930E6" w:rsidP="000F181A">
      <w:pPr>
        <w:pStyle w:val="AATitre2"/>
        <w:rPr>
          <w:u w:val="none"/>
          <w:lang w:val="sr-Cyrl-CS"/>
        </w:rPr>
      </w:pPr>
      <w:bookmarkStart w:id="57" w:name="_Toc135947155"/>
      <w:r w:rsidRPr="00895819">
        <w:rPr>
          <w:lang w:val="sr-Cyrl-CS"/>
        </w:rPr>
        <w:t>Трошкови и расходи</w:t>
      </w:r>
      <w:bookmarkEnd w:id="57"/>
    </w:p>
    <w:p w14:paraId="39F7681D" w14:textId="66F2D36B" w:rsidR="00B16F8D" w:rsidRPr="00895819" w:rsidRDefault="00B930E6" w:rsidP="00B16F8D">
      <w:pPr>
        <w:pStyle w:val="AATitre3"/>
        <w:rPr>
          <w:lang w:val="sr-Cyrl-CS"/>
        </w:rPr>
      </w:pPr>
      <w:r w:rsidRPr="00895819">
        <w:rPr>
          <w:lang w:val="sr-Cyrl-CS"/>
        </w:rPr>
        <w:t>Ако је не</w:t>
      </w:r>
      <w:r w:rsidR="009609FE" w:rsidRPr="00895819">
        <w:rPr>
          <w:lang w:val="sr-Cyrl-CS"/>
        </w:rPr>
        <w:t>опходна измена или допуна овог у</w:t>
      </w:r>
      <w:r w:rsidRPr="00895819">
        <w:rPr>
          <w:lang w:val="sr-Cyrl-CS"/>
        </w:rPr>
        <w:t>говора, Зајмопримац ће надокнадити Зајмодавцу све разумне трошкове (укључујући трошкове правника) који настану по њега у вези са одговарањем, евалуацијом, преговарањем или испуњавањем тих услова</w:t>
      </w:r>
      <w:r w:rsidR="00B16F8D" w:rsidRPr="00895819">
        <w:rPr>
          <w:lang w:val="sr-Cyrl-CS"/>
        </w:rPr>
        <w:t>.</w:t>
      </w:r>
    </w:p>
    <w:p w14:paraId="636201A4" w14:textId="143DB365" w:rsidR="00B16F8D" w:rsidRPr="00895819" w:rsidRDefault="00B1583F" w:rsidP="00B16F8D">
      <w:pPr>
        <w:pStyle w:val="AATitre3"/>
        <w:rPr>
          <w:lang w:val="sr-Cyrl-CS"/>
        </w:rPr>
      </w:pPr>
      <w:r w:rsidRPr="00895819">
        <w:rPr>
          <w:lang w:val="sr-Cyrl-CS"/>
        </w:rPr>
        <w:t>Зајмопримац ће надокнадити Зајмодавцу све трошкове и расходе (укључујући трошкове правника) који настану по њега у вези са остваривањем или очувањем би</w:t>
      </w:r>
      <w:r w:rsidR="009609FE" w:rsidRPr="00895819">
        <w:rPr>
          <w:lang w:val="sr-Cyrl-CS"/>
        </w:rPr>
        <w:t>ло којих његових права по овом у</w:t>
      </w:r>
      <w:r w:rsidRPr="00895819">
        <w:rPr>
          <w:lang w:val="sr-Cyrl-CS"/>
        </w:rPr>
        <w:t>говору.</w:t>
      </w:r>
    </w:p>
    <w:p w14:paraId="41E5DA01" w14:textId="77777777" w:rsidR="00B16F8D" w:rsidRPr="00895819" w:rsidRDefault="00B1583F" w:rsidP="00B16F8D">
      <w:pPr>
        <w:pStyle w:val="AATitre3"/>
        <w:rPr>
          <w:lang w:val="sr-Cyrl-CS"/>
        </w:rPr>
      </w:pPr>
      <w:r w:rsidRPr="00895819">
        <w:rPr>
          <w:lang w:val="sr-Cyrl-CS"/>
        </w:rPr>
        <w:t xml:space="preserve">Зајмопримац ће платити директно, или, ако је примењиво, </w:t>
      </w:r>
      <w:r w:rsidR="003D4CE2" w:rsidRPr="00895819">
        <w:rPr>
          <w:lang w:val="sr-Cyrl-CS"/>
        </w:rPr>
        <w:t>надокнадити</w:t>
      </w:r>
      <w:r w:rsidRPr="00895819">
        <w:rPr>
          <w:lang w:val="sr-Cyrl-CS"/>
        </w:rPr>
        <w:t xml:space="preserve"> Зајмодавца у случају авансне уплате од стране Зајмодавца</w:t>
      </w:r>
      <w:r w:rsidR="003D4CE2" w:rsidRPr="00895819">
        <w:rPr>
          <w:lang w:val="sr-Cyrl-CS"/>
        </w:rPr>
        <w:t>,</w:t>
      </w:r>
      <w:r w:rsidRPr="00895819">
        <w:rPr>
          <w:lang w:val="sr-Cyrl-CS"/>
        </w:rPr>
        <w:t xml:space="preserve"> износ свих трошкова и расхода везаних за пренос средстава Зајмопримцу или за његов рачун из Париза у било које друго место о коме се постигне договор са Зајмодавцем, као и све накнаде и трошкове за пренос средстава везане за плаћање свих износа доспелих за плаћање по основу Кредита</w:t>
      </w:r>
      <w:r w:rsidR="00B16F8D" w:rsidRPr="00895819">
        <w:rPr>
          <w:lang w:val="sr-Cyrl-CS"/>
        </w:rPr>
        <w:t>.</w:t>
      </w:r>
    </w:p>
    <w:p w14:paraId="29E921A5" w14:textId="77777777" w:rsidR="00B16F8D" w:rsidRPr="00895819" w:rsidRDefault="00B1583F" w:rsidP="000F181A">
      <w:pPr>
        <w:pStyle w:val="AATitre2"/>
        <w:rPr>
          <w:lang w:val="sr-Cyrl-CS"/>
        </w:rPr>
      </w:pPr>
      <w:bookmarkStart w:id="58" w:name="_Toc421631534"/>
      <w:bookmarkStart w:id="59" w:name="_Toc130385339"/>
      <w:bookmarkStart w:id="60" w:name="_Toc135947156"/>
      <w:r w:rsidRPr="00895819">
        <w:rPr>
          <w:lang w:val="sr-Cyrl-CS"/>
        </w:rPr>
        <w:t>Обештећење за отказивање Кредита</w:t>
      </w:r>
      <w:bookmarkEnd w:id="58"/>
      <w:bookmarkEnd w:id="59"/>
      <w:bookmarkEnd w:id="60"/>
    </w:p>
    <w:p w14:paraId="6FBC8324" w14:textId="20E6245B" w:rsidR="00B16F8D" w:rsidRPr="00895819" w:rsidRDefault="00BC30FC" w:rsidP="00B16F8D">
      <w:pPr>
        <w:pStyle w:val="Doctxt1"/>
        <w:rPr>
          <w:lang w:val="sr-Cyrl-CS"/>
        </w:rPr>
      </w:pPr>
      <w:r w:rsidRPr="00895819">
        <w:rPr>
          <w:lang w:val="sr-Cyrl-CS"/>
        </w:rPr>
        <w:t xml:space="preserve">Ако је Кредит отказан у целини или делимично у складу са одредбама чланова </w:t>
      </w:r>
      <w:r w:rsidR="00615BC2" w:rsidRPr="00895819">
        <w:rPr>
          <w:lang w:val="sr-Cyrl-CS"/>
        </w:rPr>
        <w:t>8.3 (</w:t>
      </w:r>
      <w:r w:rsidR="00395087" w:rsidRPr="00895819">
        <w:rPr>
          <w:i/>
          <w:lang w:val="sr-Cyrl-CS"/>
        </w:rPr>
        <w:t>Отказивање од стране Зајмопримца</w:t>
      </w:r>
      <w:r w:rsidR="00615BC2" w:rsidRPr="00895819">
        <w:rPr>
          <w:lang w:val="sr-Cyrl-CS"/>
        </w:rPr>
        <w:t xml:space="preserve">) </w:t>
      </w:r>
      <w:r w:rsidR="00395087" w:rsidRPr="00895819">
        <w:rPr>
          <w:lang w:val="sr-Cyrl-CS"/>
        </w:rPr>
        <w:t>и</w:t>
      </w:r>
      <w:r w:rsidR="00615BC2" w:rsidRPr="00895819">
        <w:rPr>
          <w:lang w:val="sr-Cyrl-CS"/>
        </w:rPr>
        <w:t>/</w:t>
      </w:r>
      <w:r w:rsidR="00395087" w:rsidRPr="00895819">
        <w:rPr>
          <w:lang w:val="sr-Cyrl-CS"/>
        </w:rPr>
        <w:t>или</w:t>
      </w:r>
      <w:r w:rsidR="00615BC2" w:rsidRPr="00895819">
        <w:rPr>
          <w:lang w:val="sr-Cyrl-CS"/>
        </w:rPr>
        <w:t xml:space="preserve"> 8.4 (</w:t>
      </w:r>
      <w:r w:rsidR="00395087" w:rsidRPr="00895819">
        <w:rPr>
          <w:i/>
          <w:lang w:val="sr-Cyrl-CS"/>
        </w:rPr>
        <w:t>Отказивање од стране Зајмодавца</w:t>
      </w:r>
      <w:r w:rsidR="00615BC2" w:rsidRPr="00895819">
        <w:rPr>
          <w:lang w:val="sr-Cyrl-CS"/>
        </w:rPr>
        <w:t>)</w:t>
      </w:r>
      <w:r w:rsidR="00B16F8D" w:rsidRPr="00895819">
        <w:rPr>
          <w:lang w:val="sr-Cyrl-CS"/>
        </w:rPr>
        <w:t xml:space="preserve"> </w:t>
      </w:r>
      <w:r w:rsidR="00395087" w:rsidRPr="00895819">
        <w:rPr>
          <w:lang w:val="sr-Cyrl-CS"/>
        </w:rPr>
        <w:t>ставови</w:t>
      </w:r>
      <w:r w:rsidR="00615BC2" w:rsidRPr="00895819">
        <w:rPr>
          <w:lang w:val="sr-Cyrl-CS"/>
        </w:rPr>
        <w:t xml:space="preserve"> (a), (</w:t>
      </w:r>
      <w:r w:rsidR="00F1208D" w:rsidRPr="00895819">
        <w:rPr>
          <w:lang w:val="sr-Cyrl-CS"/>
        </w:rPr>
        <w:t>б</w:t>
      </w:r>
      <w:r w:rsidR="00615BC2" w:rsidRPr="00895819">
        <w:rPr>
          <w:lang w:val="sr-Cyrl-CS"/>
        </w:rPr>
        <w:t xml:space="preserve">) </w:t>
      </w:r>
      <w:r w:rsidR="00395087" w:rsidRPr="00895819">
        <w:rPr>
          <w:lang w:val="sr-Cyrl-CS"/>
        </w:rPr>
        <w:t>и</w:t>
      </w:r>
      <w:r w:rsidR="00F1208D" w:rsidRPr="00895819">
        <w:rPr>
          <w:lang w:val="sr-Cyrl-CS"/>
        </w:rPr>
        <w:t xml:space="preserve"> (ц</w:t>
      </w:r>
      <w:r w:rsidR="00615BC2" w:rsidRPr="00895819">
        <w:rPr>
          <w:lang w:val="sr-Cyrl-CS"/>
        </w:rPr>
        <w:t>)</w:t>
      </w:r>
      <w:r w:rsidR="00B16F8D" w:rsidRPr="00895819">
        <w:rPr>
          <w:lang w:val="sr-Cyrl-CS"/>
        </w:rPr>
        <w:t xml:space="preserve">, </w:t>
      </w:r>
      <w:r w:rsidR="00395087" w:rsidRPr="00895819">
        <w:rPr>
          <w:lang w:val="sr-Cyrl-CS"/>
        </w:rPr>
        <w:t>Зајмопримац ће платити обештећење за отказ обрачунат</w:t>
      </w:r>
      <w:r w:rsidR="001B50DE" w:rsidRPr="00895819">
        <w:rPr>
          <w:lang w:val="sr-Cyrl-CS"/>
        </w:rPr>
        <w:t>o</w:t>
      </w:r>
      <w:r w:rsidR="00395087" w:rsidRPr="00895819">
        <w:rPr>
          <w:lang w:val="sr-Cyrl-CS"/>
        </w:rPr>
        <w:t xml:space="preserve"> по стопи од два кома педесет одсто (2,5%) на отказани износ Кредита</w:t>
      </w:r>
      <w:r w:rsidR="00B16F8D" w:rsidRPr="00895819">
        <w:rPr>
          <w:lang w:val="sr-Cyrl-CS"/>
        </w:rPr>
        <w:t>.</w:t>
      </w:r>
    </w:p>
    <w:p w14:paraId="2DFFF1DE" w14:textId="77777777" w:rsidR="00B16F8D" w:rsidRPr="00895819" w:rsidRDefault="00395087" w:rsidP="00B16F8D">
      <w:pPr>
        <w:pStyle w:val="Doctxt1"/>
        <w:rPr>
          <w:lang w:val="sr-Cyrl-CS"/>
        </w:rPr>
      </w:pPr>
      <w:r w:rsidRPr="00895819">
        <w:rPr>
          <w:lang w:val="sr-Cyrl-CS"/>
        </w:rPr>
        <w:t xml:space="preserve">Свако обештећење за отказ доспева </w:t>
      </w:r>
      <w:r w:rsidR="001B50DE" w:rsidRPr="00895819">
        <w:rPr>
          <w:lang w:val="sr-Cyrl-CS"/>
        </w:rPr>
        <w:t>н</w:t>
      </w:r>
      <w:r w:rsidRPr="00895819">
        <w:rPr>
          <w:lang w:val="sr-Cyrl-CS"/>
        </w:rPr>
        <w:t>а плаћање на Датум плаћања који непосредно следи након отказа Кредита у целини или делимично</w:t>
      </w:r>
      <w:r w:rsidR="00B16F8D" w:rsidRPr="00895819">
        <w:rPr>
          <w:lang w:val="sr-Cyrl-CS"/>
        </w:rPr>
        <w:t>.</w:t>
      </w:r>
    </w:p>
    <w:p w14:paraId="4EEE99CE" w14:textId="77777777" w:rsidR="00B16F8D" w:rsidRPr="00895819" w:rsidRDefault="00395087" w:rsidP="000F181A">
      <w:pPr>
        <w:pStyle w:val="AATitre2"/>
        <w:rPr>
          <w:u w:val="none"/>
          <w:lang w:val="sr-Cyrl-CS"/>
        </w:rPr>
      </w:pPr>
      <w:bookmarkStart w:id="61" w:name="_Ref184612993"/>
      <w:bookmarkStart w:id="62" w:name="_Ref371532657"/>
      <w:bookmarkStart w:id="63" w:name="_Ref371532731"/>
      <w:bookmarkStart w:id="64" w:name="_Toc421631535"/>
      <w:bookmarkStart w:id="65" w:name="_Ref78387552"/>
      <w:bookmarkStart w:id="66" w:name="_Toc130385340"/>
      <w:bookmarkStart w:id="67" w:name="_Toc135947157"/>
      <w:r w:rsidRPr="00895819">
        <w:rPr>
          <w:lang w:val="sr-Cyrl-CS"/>
        </w:rPr>
        <w:t>Обештећење за превремену отплату Кредита</w:t>
      </w:r>
      <w:bookmarkEnd w:id="61"/>
      <w:bookmarkEnd w:id="62"/>
      <w:bookmarkEnd w:id="63"/>
      <w:bookmarkEnd w:id="64"/>
      <w:bookmarkEnd w:id="65"/>
      <w:bookmarkEnd w:id="66"/>
      <w:bookmarkEnd w:id="67"/>
    </w:p>
    <w:p w14:paraId="328F4A9B" w14:textId="28D38630" w:rsidR="00B16F8D" w:rsidRPr="00895819" w:rsidRDefault="00395087" w:rsidP="00B16F8D">
      <w:pPr>
        <w:pStyle w:val="Doctxt1"/>
        <w:rPr>
          <w:lang w:val="sr-Cyrl-CS"/>
        </w:rPr>
      </w:pPr>
      <w:r w:rsidRPr="00895819">
        <w:rPr>
          <w:lang w:val="sr-Cyrl-CS"/>
        </w:rPr>
        <w:t xml:space="preserve">Ради надокнаде губитака које Зајмодавац претрпи услед превремене отплате Кредита у целини или делимично у складу са члановима </w:t>
      </w:r>
      <w:r w:rsidR="00615BC2" w:rsidRPr="00895819">
        <w:rPr>
          <w:lang w:val="sr-Cyrl-CS"/>
        </w:rPr>
        <w:t>8.1</w:t>
      </w:r>
      <w:r w:rsidR="00F1208D" w:rsidRPr="00895819">
        <w:rPr>
          <w:lang w:val="sr-Cyrl-CS"/>
        </w:rPr>
        <w:t xml:space="preserve"> (</w:t>
      </w:r>
      <w:r w:rsidR="00F1208D" w:rsidRPr="00895819">
        <w:rPr>
          <w:i/>
          <w:lang w:val="sr-Cyrl-CS"/>
        </w:rPr>
        <w:t xml:space="preserve">Добровољна превремена отплата </w:t>
      </w:r>
      <w:r w:rsidR="00F1208D" w:rsidRPr="00895819">
        <w:rPr>
          <w:i/>
          <w:lang w:val="sr-Cyrl-CS"/>
        </w:rPr>
        <w:lastRenderedPageBreak/>
        <w:t>Кредита</w:t>
      </w:r>
      <w:r w:rsidR="00F1208D" w:rsidRPr="00895819">
        <w:rPr>
          <w:lang w:val="sr-Cyrl-CS"/>
        </w:rPr>
        <w:t xml:space="preserve">) </w:t>
      </w:r>
      <w:r w:rsidR="001E3D71" w:rsidRPr="00895819">
        <w:rPr>
          <w:i/>
          <w:lang w:val="sr-Cyrl-CS"/>
        </w:rPr>
        <w:t>или</w:t>
      </w:r>
      <w:r w:rsidR="00615BC2" w:rsidRPr="00895819">
        <w:rPr>
          <w:lang w:val="sr-Cyrl-CS"/>
        </w:rPr>
        <w:t xml:space="preserve"> 8.2 </w:t>
      </w:r>
      <w:r w:rsidR="005844C1" w:rsidRPr="00895819">
        <w:rPr>
          <w:lang w:val="sr-Cyrl-CS"/>
        </w:rPr>
        <w:t>(</w:t>
      </w:r>
      <w:r w:rsidR="005844C1" w:rsidRPr="00895819">
        <w:rPr>
          <w:i/>
          <w:lang w:val="sr-Cyrl-CS"/>
        </w:rPr>
        <w:t>Обавезна превремена отплата</w:t>
      </w:r>
      <w:r w:rsidR="00F1208D" w:rsidRPr="00895819">
        <w:rPr>
          <w:i/>
          <w:lang w:val="sr-Cyrl-CS"/>
        </w:rPr>
        <w:t xml:space="preserve"> Кредита</w:t>
      </w:r>
      <w:r w:rsidR="005844C1" w:rsidRPr="00895819">
        <w:rPr>
          <w:lang w:val="sr-Cyrl-CS"/>
        </w:rPr>
        <w:t>)</w:t>
      </w:r>
      <w:r w:rsidR="00B16F8D" w:rsidRPr="00895819">
        <w:rPr>
          <w:lang w:val="sr-Cyrl-CS"/>
        </w:rPr>
        <w:t xml:space="preserve">, </w:t>
      </w:r>
      <w:r w:rsidR="001E3D71" w:rsidRPr="00895819">
        <w:rPr>
          <w:lang w:val="sr-Cyrl-CS"/>
        </w:rPr>
        <w:t>Зајмопримац ће Зајмодавцу исплатити обештећење једнако збиру</w:t>
      </w:r>
      <w:r w:rsidR="00B16F8D" w:rsidRPr="00895819">
        <w:rPr>
          <w:lang w:val="sr-Cyrl-CS"/>
        </w:rPr>
        <w:t>:</w:t>
      </w:r>
    </w:p>
    <w:p w14:paraId="3E2DDCD3" w14:textId="6AC6DF6E" w:rsidR="00B16F8D" w:rsidRPr="00895819" w:rsidRDefault="00F1208D" w:rsidP="00F1208D">
      <w:pPr>
        <w:pStyle w:val="AATitre4"/>
        <w:numPr>
          <w:ilvl w:val="0"/>
          <w:numId w:val="0"/>
        </w:numPr>
        <w:ind w:left="1440" w:hanging="720"/>
        <w:rPr>
          <w:lang w:val="sr-Cyrl-CS"/>
        </w:rPr>
      </w:pPr>
      <w:r w:rsidRPr="00895819">
        <w:rPr>
          <w:lang w:val="sr-Cyrl-CS"/>
        </w:rPr>
        <w:t>(а)</w:t>
      </w:r>
      <w:r w:rsidRPr="00895819">
        <w:rPr>
          <w:lang w:val="sr-Cyrl-CS"/>
        </w:rPr>
        <w:tab/>
      </w:r>
      <w:r w:rsidR="001B50DE" w:rsidRPr="00895819">
        <w:rPr>
          <w:lang w:val="sr-Cyrl-CS"/>
        </w:rPr>
        <w:t>о</w:t>
      </w:r>
      <w:r w:rsidR="001E3D71" w:rsidRPr="00895819">
        <w:rPr>
          <w:lang w:val="sr-Cyrl-CS"/>
        </w:rPr>
        <w:t>бештећења за превремену отплату; и</w:t>
      </w:r>
    </w:p>
    <w:p w14:paraId="007D4D31" w14:textId="579D85DF" w:rsidR="00B16F8D" w:rsidRPr="00895819" w:rsidRDefault="00F1208D" w:rsidP="00F1208D">
      <w:pPr>
        <w:pStyle w:val="AATitre4"/>
        <w:numPr>
          <w:ilvl w:val="0"/>
          <w:numId w:val="0"/>
        </w:numPr>
        <w:ind w:left="1440" w:hanging="720"/>
        <w:rPr>
          <w:lang w:val="sr-Cyrl-CS"/>
        </w:rPr>
      </w:pPr>
      <w:r w:rsidRPr="00895819">
        <w:rPr>
          <w:lang w:val="sr-Cyrl-CS"/>
        </w:rPr>
        <w:t>(б)</w:t>
      </w:r>
      <w:r w:rsidRPr="00895819">
        <w:rPr>
          <w:lang w:val="sr-Cyrl-CS"/>
        </w:rPr>
        <w:tab/>
      </w:r>
      <w:r w:rsidR="001E3D71" w:rsidRPr="00895819">
        <w:rPr>
          <w:lang w:val="sr-Cyrl-CS"/>
        </w:rPr>
        <w:t>свих трошкова који настану услед раскида евентуалних своп трансакција ради хеџинга каматне стопе у које је Зајмодавац ступио у вези са износом превремене отплате</w:t>
      </w:r>
      <w:r w:rsidR="00B16F8D" w:rsidRPr="00895819">
        <w:rPr>
          <w:lang w:val="sr-Cyrl-CS"/>
        </w:rPr>
        <w:t>.</w:t>
      </w:r>
    </w:p>
    <w:p w14:paraId="62070FAA" w14:textId="77777777" w:rsidR="00B16F8D" w:rsidRPr="00895819" w:rsidRDefault="001E3D71" w:rsidP="000F181A">
      <w:pPr>
        <w:pStyle w:val="AATitre2"/>
        <w:rPr>
          <w:u w:val="none"/>
          <w:lang w:val="sr-Cyrl-CS"/>
        </w:rPr>
      </w:pPr>
      <w:bookmarkStart w:id="68" w:name="_Toc135947158"/>
      <w:r w:rsidRPr="00895819">
        <w:rPr>
          <w:lang w:val="sr-Cyrl-CS"/>
        </w:rPr>
        <w:t>Порези и накнаде</w:t>
      </w:r>
      <w:bookmarkEnd w:id="68"/>
    </w:p>
    <w:p w14:paraId="43F0D5CF" w14:textId="77777777" w:rsidR="00B16F8D" w:rsidRPr="00895819" w:rsidRDefault="001E3D71" w:rsidP="00B16F8D">
      <w:pPr>
        <w:pStyle w:val="AATitre3"/>
        <w:rPr>
          <w:lang w:val="sr-Cyrl-CS"/>
        </w:rPr>
      </w:pPr>
      <w:r w:rsidRPr="00895819">
        <w:rPr>
          <w:lang w:val="sr-Cyrl-CS"/>
        </w:rPr>
        <w:t>Трошкови регистрације</w:t>
      </w:r>
    </w:p>
    <w:p w14:paraId="09473E78" w14:textId="1D0A43CE" w:rsidR="00B16F8D" w:rsidRPr="00895819" w:rsidRDefault="0053354F" w:rsidP="00B16F8D">
      <w:pPr>
        <w:pStyle w:val="BodyText2"/>
        <w:rPr>
          <w:lang w:val="sr-Cyrl-CS"/>
        </w:rPr>
      </w:pPr>
      <w:r w:rsidRPr="00895819">
        <w:rPr>
          <w:lang w:val="sr-Cyrl-CS"/>
        </w:rPr>
        <w:t>Зајмопримац ће платити директно, или, ако је примењиво, обештетити Зајмодавца у случају да је Зајмодавац извршио авансну уплату, за све административне таксе, трошкове регистрације и сличне таксе ко</w:t>
      </w:r>
      <w:r w:rsidR="009609FE" w:rsidRPr="00895819">
        <w:rPr>
          <w:lang w:val="sr-Cyrl-CS"/>
        </w:rPr>
        <w:t>је се плаћају у вези са овим у</w:t>
      </w:r>
      <w:r w:rsidRPr="00895819">
        <w:rPr>
          <w:lang w:val="sr-Cyrl-CS"/>
        </w:rPr>
        <w:t>говором и евентуалним изменама и допунама</w:t>
      </w:r>
      <w:r w:rsidR="00B16F8D" w:rsidRPr="00895819">
        <w:rPr>
          <w:lang w:val="sr-Cyrl-CS"/>
        </w:rPr>
        <w:t>.</w:t>
      </w:r>
    </w:p>
    <w:p w14:paraId="0D343406" w14:textId="77777777" w:rsidR="00B16F8D" w:rsidRPr="00895819" w:rsidRDefault="00EA748D" w:rsidP="00B16F8D">
      <w:pPr>
        <w:pStyle w:val="AATitre3"/>
        <w:rPr>
          <w:lang w:val="sr-Cyrl-CS"/>
        </w:rPr>
      </w:pPr>
      <w:r w:rsidRPr="00895819">
        <w:rPr>
          <w:lang w:val="sr-Cyrl-CS"/>
        </w:rPr>
        <w:t>Порез по одбитку</w:t>
      </w:r>
    </w:p>
    <w:p w14:paraId="26BC8706" w14:textId="70BC0540" w:rsidR="00B16F8D" w:rsidRPr="00895819" w:rsidRDefault="00EA748D" w:rsidP="00B16F8D">
      <w:pPr>
        <w:pStyle w:val="BodyText2"/>
        <w:rPr>
          <w:lang w:val="sr-Cyrl-CS"/>
        </w:rPr>
      </w:pPr>
      <w:r w:rsidRPr="00895819">
        <w:rPr>
          <w:lang w:val="sr-Cyrl-CS"/>
        </w:rPr>
        <w:t xml:space="preserve">Зајмопримац ће се постарати да сва плаћања </w:t>
      </w:r>
      <w:r w:rsidR="003B5990" w:rsidRPr="00895819">
        <w:rPr>
          <w:lang w:val="sr-Cyrl-CS"/>
        </w:rPr>
        <w:t xml:space="preserve">према </w:t>
      </w:r>
      <w:r w:rsidR="009609FE" w:rsidRPr="00895819">
        <w:rPr>
          <w:lang w:val="sr-Cyrl-CS"/>
        </w:rPr>
        <w:t>Зајмодавцу у складу са овим у</w:t>
      </w:r>
      <w:r w:rsidRPr="00895819">
        <w:rPr>
          <w:lang w:val="sr-Cyrl-CS"/>
        </w:rPr>
        <w:t>говором буду ослобођења Пореза по одбитку у складу са међудржавним споразумом закљученим између Републике Србије и Републике Француске 25. фебруара 2019</w:t>
      </w:r>
      <w:r w:rsidR="00B16F8D" w:rsidRPr="00895819">
        <w:rPr>
          <w:lang w:val="sr-Cyrl-CS"/>
        </w:rPr>
        <w:t xml:space="preserve">. </w:t>
      </w:r>
      <w:r w:rsidR="001B50DE" w:rsidRPr="00895819">
        <w:rPr>
          <w:lang w:val="sr-Cyrl-CS"/>
        </w:rPr>
        <w:t>године.</w:t>
      </w:r>
    </w:p>
    <w:p w14:paraId="2994B78A" w14:textId="77777777" w:rsidR="00B16F8D" w:rsidRPr="00895819" w:rsidRDefault="00EA748D" w:rsidP="00B16F8D">
      <w:pPr>
        <w:pStyle w:val="BodyText2"/>
        <w:rPr>
          <w:lang w:val="sr-Cyrl-CS"/>
        </w:rPr>
      </w:pPr>
      <w:r w:rsidRPr="00895819">
        <w:rPr>
          <w:lang w:val="sr-Cyrl-CS"/>
        </w:rPr>
        <w:t>Ако је плаћање Пореза по одбитку законска обавеза, Зајмопримац преузима обавезу да претвори свако такво плаћање у бруто износ који Зајмопримцу омогућава да прими уплату једнаку уплати коју би примио да није било обавезно плаћање Пореза по одбитку</w:t>
      </w:r>
      <w:r w:rsidR="00B16F8D" w:rsidRPr="00895819">
        <w:rPr>
          <w:lang w:val="sr-Cyrl-CS"/>
        </w:rPr>
        <w:t>.</w:t>
      </w:r>
    </w:p>
    <w:p w14:paraId="4951F21D" w14:textId="77777777" w:rsidR="00B16F8D" w:rsidRPr="00895819" w:rsidRDefault="00EA748D" w:rsidP="00B16F8D">
      <w:pPr>
        <w:pStyle w:val="BodyText2"/>
        <w:rPr>
          <w:lang w:val="sr-Cyrl-CS"/>
        </w:rPr>
      </w:pPr>
      <w:r w:rsidRPr="00895819">
        <w:rPr>
          <w:lang w:val="sr-Cyrl-CS"/>
        </w:rPr>
        <w:t>Зајмопримац ће Зајмодавца обештетити за све расходе и/или порезе које је Зајмодавац платио за рачун Зајмопримца (ако постоје), са изузетком евентуалних пореза који доспевају на наплату у Француској</w:t>
      </w:r>
      <w:r w:rsidR="00B16F8D" w:rsidRPr="00895819">
        <w:rPr>
          <w:lang w:val="sr-Cyrl-CS"/>
        </w:rPr>
        <w:t>.</w:t>
      </w:r>
    </w:p>
    <w:p w14:paraId="67C2193A" w14:textId="77777777" w:rsidR="00B16F8D" w:rsidRPr="00895819" w:rsidRDefault="009103BF" w:rsidP="000F181A">
      <w:pPr>
        <w:pStyle w:val="AATitre2"/>
        <w:rPr>
          <w:u w:val="none"/>
          <w:lang w:val="sr-Cyrl-CS"/>
        </w:rPr>
      </w:pPr>
      <w:bookmarkStart w:id="69" w:name="_Toc135947159"/>
      <w:r w:rsidRPr="00895819">
        <w:rPr>
          <w:lang w:val="sr-Cyrl-CS"/>
        </w:rPr>
        <w:t>Додатни трошкови</w:t>
      </w:r>
      <w:bookmarkEnd w:id="69"/>
    </w:p>
    <w:p w14:paraId="1C4EA5FB" w14:textId="77777777" w:rsidR="00B16F8D" w:rsidRPr="00895819" w:rsidRDefault="00C8431D" w:rsidP="00B16F8D">
      <w:pPr>
        <w:pStyle w:val="BodyText1"/>
        <w:rPr>
          <w:lang w:val="sr-Cyrl-CS"/>
        </w:rPr>
      </w:pPr>
      <w:r w:rsidRPr="00895819">
        <w:rPr>
          <w:lang w:val="sr-Cyrl-CS"/>
        </w:rPr>
        <w:t xml:space="preserve">У року од десет (10) Радних дана на захтев Зајмодавца, </w:t>
      </w:r>
      <w:r w:rsidR="001740C1" w:rsidRPr="00895819">
        <w:rPr>
          <w:lang w:val="sr-Cyrl-CS"/>
        </w:rPr>
        <w:t>Зајмопримац ће Зајмодавцу платити све Додатне трошкове које Зајмодавац сноси услед: (i) ступања на снагу новог или измене и допуне било ког закона или прописа, или измене тумачења или примене било ког постојећег закона или прописа; или (ii) поштовања било ког закона или прописа који ступи на снагу након Датума потписивања</w:t>
      </w:r>
      <w:r w:rsidR="00B16F8D" w:rsidRPr="00895819">
        <w:rPr>
          <w:lang w:val="sr-Cyrl-CS"/>
        </w:rPr>
        <w:t>.</w:t>
      </w:r>
    </w:p>
    <w:p w14:paraId="104254D8" w14:textId="322045B8" w:rsidR="00B16F8D" w:rsidRPr="00895819" w:rsidRDefault="001740C1" w:rsidP="00B16F8D">
      <w:pPr>
        <w:pStyle w:val="BodyText1"/>
        <w:rPr>
          <w:lang w:val="sr-Cyrl-CS"/>
        </w:rPr>
      </w:pPr>
      <w:r w:rsidRPr="00895819">
        <w:rPr>
          <w:lang w:val="sr-Cyrl-CS"/>
        </w:rPr>
        <w:t xml:space="preserve">У смислу члана </w:t>
      </w:r>
      <w:r w:rsidR="00615BC2" w:rsidRPr="00895819">
        <w:rPr>
          <w:lang w:val="sr-Cyrl-CS"/>
        </w:rPr>
        <w:t>9.5</w:t>
      </w:r>
      <w:r w:rsidR="00381AD4" w:rsidRPr="00895819">
        <w:rPr>
          <w:lang w:val="sr-Cyrl-CS"/>
        </w:rPr>
        <w:t>.</w:t>
      </w:r>
      <w:r w:rsidR="00B16F8D" w:rsidRPr="00895819">
        <w:rPr>
          <w:lang w:val="sr-Cyrl-CS"/>
        </w:rPr>
        <w:t xml:space="preserve"> </w:t>
      </w:r>
      <w:r w:rsidRPr="00895819">
        <w:rPr>
          <w:lang w:val="sr-Cyrl-CS"/>
        </w:rPr>
        <w:t>„</w:t>
      </w:r>
      <w:r w:rsidRPr="00895819">
        <w:rPr>
          <w:b/>
          <w:bCs/>
          <w:lang w:val="sr-Cyrl-CS"/>
        </w:rPr>
        <w:t>Додатни трошкови</w:t>
      </w:r>
      <w:r w:rsidR="003963A8" w:rsidRPr="00895819">
        <w:rPr>
          <w:lang w:val="sr-Cyrl-CS"/>
        </w:rPr>
        <w:t>”</w:t>
      </w:r>
      <w:r w:rsidR="00B16F8D" w:rsidRPr="00895819">
        <w:rPr>
          <w:lang w:val="sr-Cyrl-CS"/>
        </w:rPr>
        <w:t xml:space="preserve"> </w:t>
      </w:r>
      <w:r w:rsidRPr="00895819">
        <w:rPr>
          <w:lang w:val="sr-Cyrl-CS"/>
        </w:rPr>
        <w:t>означавају</w:t>
      </w:r>
      <w:r w:rsidR="00B16F8D" w:rsidRPr="00895819">
        <w:rPr>
          <w:lang w:val="sr-Cyrl-CS"/>
        </w:rPr>
        <w:t>:</w:t>
      </w:r>
    </w:p>
    <w:p w14:paraId="5BBDA0F5" w14:textId="7D8C2496" w:rsidR="00B16F8D" w:rsidRPr="00895819" w:rsidRDefault="00F1208D" w:rsidP="00F1208D">
      <w:pPr>
        <w:pStyle w:val="AATitre6"/>
        <w:numPr>
          <w:ilvl w:val="0"/>
          <w:numId w:val="0"/>
        </w:numPr>
        <w:ind w:left="1440" w:hanging="720"/>
        <w:rPr>
          <w:lang w:val="sr-Cyrl-CS"/>
        </w:rPr>
      </w:pPr>
      <w:r w:rsidRPr="00895819">
        <w:rPr>
          <w:lang w:val="sr-Cyrl-CS"/>
        </w:rPr>
        <w:t>(а)</w:t>
      </w:r>
      <w:r w:rsidRPr="00895819">
        <w:rPr>
          <w:lang w:val="sr-Cyrl-CS"/>
        </w:rPr>
        <w:tab/>
      </w:r>
      <w:r w:rsidR="001740C1" w:rsidRPr="00895819">
        <w:rPr>
          <w:lang w:val="sr-Cyrl-CS"/>
        </w:rPr>
        <w:t>св</w:t>
      </w:r>
      <w:r w:rsidR="003E5C9C" w:rsidRPr="00895819">
        <w:rPr>
          <w:lang w:val="sr-Cyrl-CS"/>
        </w:rPr>
        <w:t>е</w:t>
      </w:r>
      <w:r w:rsidR="001740C1" w:rsidRPr="00895819">
        <w:rPr>
          <w:lang w:val="sr-Cyrl-CS"/>
        </w:rPr>
        <w:t xml:space="preserve"> трошков</w:t>
      </w:r>
      <w:r w:rsidR="003E5C9C" w:rsidRPr="00895819">
        <w:rPr>
          <w:lang w:val="sr-Cyrl-CS"/>
        </w:rPr>
        <w:t>е</w:t>
      </w:r>
      <w:r w:rsidR="001740C1" w:rsidRPr="00895819">
        <w:rPr>
          <w:lang w:val="sr-Cyrl-CS"/>
        </w:rPr>
        <w:t xml:space="preserve"> који настану након Датума потписивања услед једног од случајева из првог става овог </w:t>
      </w:r>
      <w:r w:rsidR="00AC6ECE" w:rsidRPr="00895819">
        <w:rPr>
          <w:lang w:val="sr-Cyrl-CS"/>
        </w:rPr>
        <w:t>ч</w:t>
      </w:r>
      <w:r w:rsidR="001740C1" w:rsidRPr="00895819">
        <w:rPr>
          <w:lang w:val="sr-Cyrl-CS"/>
        </w:rPr>
        <w:t xml:space="preserve">лана </w:t>
      </w:r>
      <w:r w:rsidR="00615BC2" w:rsidRPr="00895819">
        <w:rPr>
          <w:lang w:val="sr-Cyrl-CS"/>
        </w:rPr>
        <w:t>9.5</w:t>
      </w:r>
      <w:r w:rsidR="00B16F8D" w:rsidRPr="00895819">
        <w:rPr>
          <w:lang w:val="sr-Cyrl-CS"/>
        </w:rPr>
        <w:t xml:space="preserve"> </w:t>
      </w:r>
      <w:r w:rsidR="001740C1" w:rsidRPr="00895819">
        <w:rPr>
          <w:lang w:val="sr-Cyrl-CS"/>
        </w:rPr>
        <w:t>које Зајмодавац није узео у обзир приликом обрачунавања финансијских услова Кредита; или</w:t>
      </w:r>
    </w:p>
    <w:p w14:paraId="14D4C394" w14:textId="1CBF07A4" w:rsidR="00B16F8D" w:rsidRPr="00895819" w:rsidRDefault="00F1208D" w:rsidP="00F1208D">
      <w:pPr>
        <w:pStyle w:val="AATitre6"/>
        <w:numPr>
          <w:ilvl w:val="0"/>
          <w:numId w:val="0"/>
        </w:numPr>
        <w:tabs>
          <w:tab w:val="left" w:pos="1440"/>
        </w:tabs>
        <w:ind w:left="720" w:hanging="12"/>
        <w:rPr>
          <w:lang w:val="sr-Cyrl-CS"/>
        </w:rPr>
      </w:pPr>
      <w:r w:rsidRPr="00895819">
        <w:rPr>
          <w:lang w:val="sr-Cyrl-CS"/>
        </w:rPr>
        <w:t>(б)</w:t>
      </w:r>
      <w:r w:rsidRPr="00895819">
        <w:rPr>
          <w:lang w:val="sr-Cyrl-CS"/>
        </w:rPr>
        <w:tab/>
      </w:r>
      <w:r w:rsidR="001740C1" w:rsidRPr="00895819">
        <w:rPr>
          <w:lang w:val="sr-Cyrl-CS"/>
        </w:rPr>
        <w:t xml:space="preserve">смањење </w:t>
      </w:r>
      <w:r w:rsidR="00381AD4" w:rsidRPr="00895819">
        <w:rPr>
          <w:lang w:val="sr-Cyrl-CS"/>
        </w:rPr>
        <w:t>било ког</w:t>
      </w:r>
      <w:r w:rsidR="001740C1" w:rsidRPr="00895819">
        <w:rPr>
          <w:lang w:val="sr-Cyrl-CS"/>
        </w:rPr>
        <w:t xml:space="preserve"> износа који доспе</w:t>
      </w:r>
      <w:r w:rsidR="009609FE" w:rsidRPr="00895819">
        <w:rPr>
          <w:lang w:val="sr-Cyrl-CS"/>
        </w:rPr>
        <w:t>ва за наплату у складу са овим у</w:t>
      </w:r>
      <w:r w:rsidR="001740C1" w:rsidRPr="00895819">
        <w:rPr>
          <w:lang w:val="sr-Cyrl-CS"/>
        </w:rPr>
        <w:t>говором</w:t>
      </w:r>
      <w:r w:rsidR="00B16F8D" w:rsidRPr="00895819">
        <w:rPr>
          <w:lang w:val="sr-Cyrl-CS"/>
        </w:rPr>
        <w:t>;</w:t>
      </w:r>
    </w:p>
    <w:p w14:paraId="415FBFCF" w14:textId="668427B2" w:rsidR="00B16F8D" w:rsidRPr="00895819" w:rsidRDefault="001740C1" w:rsidP="00B16F8D">
      <w:pPr>
        <w:pStyle w:val="BodyText1"/>
        <w:rPr>
          <w:lang w:val="sr-Cyrl-CS"/>
        </w:rPr>
      </w:pPr>
      <w:r w:rsidRPr="00895819">
        <w:rPr>
          <w:lang w:val="sr-Cyrl-CS"/>
        </w:rPr>
        <w:t>које плаћа или сноси Зајмодавац као резултат</w:t>
      </w:r>
      <w:r w:rsidR="00B16F8D" w:rsidRPr="00895819">
        <w:rPr>
          <w:lang w:val="sr-Cyrl-CS"/>
        </w:rPr>
        <w:t xml:space="preserve"> (i) </w:t>
      </w:r>
      <w:r w:rsidRPr="00895819">
        <w:rPr>
          <w:lang w:val="sr-Cyrl-CS"/>
        </w:rPr>
        <w:t xml:space="preserve">стављања Кредита на располагање Зајмопримцу; или </w:t>
      </w:r>
      <w:r w:rsidR="00B16F8D" w:rsidRPr="00895819">
        <w:rPr>
          <w:lang w:val="sr-Cyrl-CS"/>
        </w:rPr>
        <w:t xml:space="preserve">(ii) </w:t>
      </w:r>
      <w:r w:rsidRPr="00895819">
        <w:rPr>
          <w:lang w:val="sr-Cyrl-CS"/>
        </w:rPr>
        <w:t xml:space="preserve">преузимања или </w:t>
      </w:r>
      <w:r w:rsidR="009609FE" w:rsidRPr="00895819">
        <w:rPr>
          <w:lang w:val="sr-Cyrl-CS"/>
        </w:rPr>
        <w:t>реализације обавеза према овом у</w:t>
      </w:r>
      <w:r w:rsidRPr="00895819">
        <w:rPr>
          <w:lang w:val="sr-Cyrl-CS"/>
        </w:rPr>
        <w:t>говору</w:t>
      </w:r>
      <w:r w:rsidR="00B16F8D" w:rsidRPr="00895819">
        <w:rPr>
          <w:lang w:val="sr-Cyrl-CS"/>
        </w:rPr>
        <w:t>.</w:t>
      </w:r>
    </w:p>
    <w:p w14:paraId="114E4723" w14:textId="77777777" w:rsidR="00B16F8D" w:rsidRPr="00895819" w:rsidRDefault="00053365" w:rsidP="000F181A">
      <w:pPr>
        <w:pStyle w:val="AATitre2"/>
        <w:rPr>
          <w:u w:val="none"/>
          <w:lang w:val="sr-Cyrl-CS"/>
        </w:rPr>
      </w:pPr>
      <w:bookmarkStart w:id="70" w:name="_Toc135947160"/>
      <w:r w:rsidRPr="00895819">
        <w:rPr>
          <w:lang w:val="sr-Cyrl-CS"/>
        </w:rPr>
        <w:lastRenderedPageBreak/>
        <w:t>Валутно обештећење</w:t>
      </w:r>
      <w:bookmarkEnd w:id="70"/>
      <w:r w:rsidRPr="00895819">
        <w:rPr>
          <w:lang w:val="sr-Cyrl-CS"/>
        </w:rPr>
        <w:t xml:space="preserve"> </w:t>
      </w:r>
    </w:p>
    <w:p w14:paraId="030BC284" w14:textId="77777777" w:rsidR="00B16F8D" w:rsidRPr="00895819" w:rsidRDefault="009B3327" w:rsidP="00B16F8D">
      <w:pPr>
        <w:pStyle w:val="BodyText1"/>
        <w:rPr>
          <w:lang w:val="sr-Cyrl-CS"/>
        </w:rPr>
      </w:pPr>
      <w:r w:rsidRPr="00895819">
        <w:rPr>
          <w:lang w:val="sr-Cyrl-CS"/>
        </w:rPr>
        <w:t>Ако било који износ који је Зајмопримац дужан да плати у складу са овим уговором, или било који налог, пресуда или одлука донета или усвојена у односу на такав износ, мора да буде конвертован из валуте у којој је тај износ платив у другу валуту, за потребе</w:t>
      </w:r>
      <w:r w:rsidR="00B16F8D" w:rsidRPr="00895819">
        <w:rPr>
          <w:lang w:val="sr-Cyrl-CS"/>
        </w:rPr>
        <w:t>:</w:t>
      </w:r>
    </w:p>
    <w:p w14:paraId="7531E94A" w14:textId="337C25C2" w:rsidR="00B16F8D" w:rsidRPr="00895819" w:rsidRDefault="005D63B7" w:rsidP="005D63B7">
      <w:pPr>
        <w:pStyle w:val="AATitre6"/>
        <w:numPr>
          <w:ilvl w:val="0"/>
          <w:numId w:val="0"/>
        </w:numPr>
        <w:ind w:left="720" w:hanging="720"/>
        <w:rPr>
          <w:lang w:val="sr-Cyrl-CS"/>
        </w:rPr>
      </w:pPr>
      <w:r w:rsidRPr="00895819">
        <w:rPr>
          <w:lang w:val="sr-Cyrl-CS"/>
        </w:rPr>
        <w:t>(а)</w:t>
      </w:r>
      <w:r w:rsidRPr="00895819">
        <w:rPr>
          <w:lang w:val="sr-Cyrl-CS"/>
        </w:rPr>
        <w:tab/>
      </w:r>
      <w:r w:rsidR="009B3327" w:rsidRPr="00895819">
        <w:rPr>
          <w:lang w:val="sr-Cyrl-CS"/>
        </w:rPr>
        <w:t>пријављивања или подношења потраживања или доказа против Зајмопримца; или</w:t>
      </w:r>
    </w:p>
    <w:p w14:paraId="16CFA397" w14:textId="681436C8" w:rsidR="00B16F8D" w:rsidRPr="00895819" w:rsidRDefault="005D63B7" w:rsidP="005D63B7">
      <w:pPr>
        <w:pStyle w:val="AATitre6"/>
        <w:numPr>
          <w:ilvl w:val="0"/>
          <w:numId w:val="0"/>
        </w:numPr>
        <w:ind w:left="720" w:hanging="720"/>
        <w:rPr>
          <w:lang w:val="sr-Cyrl-CS"/>
        </w:rPr>
      </w:pPr>
      <w:r w:rsidRPr="00895819">
        <w:rPr>
          <w:lang w:val="sr-Cyrl-CS"/>
        </w:rPr>
        <w:t>(б)</w:t>
      </w:r>
      <w:r w:rsidRPr="00895819">
        <w:rPr>
          <w:lang w:val="sr-Cyrl-CS"/>
        </w:rPr>
        <w:tab/>
      </w:r>
      <w:r w:rsidR="009B3327" w:rsidRPr="00895819">
        <w:rPr>
          <w:lang w:val="sr-Cyrl-CS"/>
        </w:rPr>
        <w:t>прибављања или извршења налога, пресуде или одлуке у вези са било којим судским или арбитражним поступком</w:t>
      </w:r>
      <w:r w:rsidR="00B16F8D" w:rsidRPr="00895819">
        <w:rPr>
          <w:lang w:val="sr-Cyrl-CS"/>
        </w:rPr>
        <w:t>,</w:t>
      </w:r>
    </w:p>
    <w:p w14:paraId="36C38B08" w14:textId="0FC10B4D" w:rsidR="00B16F8D" w:rsidRPr="00895819" w:rsidRDefault="009B3327" w:rsidP="00B16F8D">
      <w:pPr>
        <w:pStyle w:val="BodyText1"/>
        <w:rPr>
          <w:lang w:val="sr-Cyrl-CS"/>
        </w:rPr>
      </w:pPr>
      <w:r w:rsidRPr="00895819">
        <w:rPr>
          <w:lang w:val="sr-Cyrl-CS"/>
        </w:rPr>
        <w:t>Зајмопримац ће обештетити</w:t>
      </w:r>
      <w:r w:rsidR="00B55D1F" w:rsidRPr="00895819">
        <w:rPr>
          <w:lang w:val="sr-Cyrl-CS"/>
        </w:rPr>
        <w:t xml:space="preserve"> Зајмодавца</w:t>
      </w:r>
      <w:r w:rsidRPr="00895819">
        <w:rPr>
          <w:lang w:val="sr-Cyrl-CS"/>
        </w:rPr>
        <w:t>, у року од десет (10) Радних дана од захтева Зајмодавца и у мери у којој је то допуштено законом, за износ свих трошкова, губитака или обавеза које настану услед те конверзије, укључујући и сваку разлику између (А) девизног курса коришћеног за конверзију релевантног изн</w:t>
      </w:r>
      <w:r w:rsidR="005D63B7" w:rsidRPr="00895819">
        <w:rPr>
          <w:lang w:val="sr-Cyrl-CS"/>
        </w:rPr>
        <w:t>оса из прве у другу валуту; и (Б</w:t>
      </w:r>
      <w:r w:rsidRPr="00895819">
        <w:rPr>
          <w:lang w:val="sr-Cyrl-CS"/>
        </w:rPr>
        <w:t>) девизн</w:t>
      </w:r>
      <w:r w:rsidR="00B15538" w:rsidRPr="00895819">
        <w:rPr>
          <w:lang w:val="sr-Cyrl-CS"/>
        </w:rPr>
        <w:t>ог</w:t>
      </w:r>
      <w:r w:rsidRPr="00895819">
        <w:rPr>
          <w:lang w:val="sr-Cyrl-CS"/>
        </w:rPr>
        <w:t xml:space="preserve"> курс</w:t>
      </w:r>
      <w:r w:rsidR="00B15538" w:rsidRPr="00895819">
        <w:rPr>
          <w:lang w:val="sr-Cyrl-CS"/>
        </w:rPr>
        <w:t>а</w:t>
      </w:r>
      <w:r w:rsidRPr="00895819">
        <w:rPr>
          <w:lang w:val="sr-Cyrl-CS"/>
        </w:rPr>
        <w:t xml:space="preserve"> односно курсеве који су доступни Зајмодавцу у тренутку његовог пријема тог износа</w:t>
      </w:r>
      <w:r w:rsidR="00B16F8D" w:rsidRPr="00895819">
        <w:rPr>
          <w:lang w:val="sr-Cyrl-CS"/>
        </w:rPr>
        <w:t xml:space="preserve">. </w:t>
      </w:r>
      <w:r w:rsidRPr="00895819">
        <w:rPr>
          <w:lang w:val="sr-Cyrl-CS"/>
        </w:rPr>
        <w:t>Та обавеза обештећења Зајмодавца важи без обзира на било коју другу обавез</w:t>
      </w:r>
      <w:r w:rsidR="009609FE" w:rsidRPr="00895819">
        <w:rPr>
          <w:lang w:val="sr-Cyrl-CS"/>
        </w:rPr>
        <w:t>у Зајмопримца у складу са овим у</w:t>
      </w:r>
      <w:r w:rsidRPr="00895819">
        <w:rPr>
          <w:lang w:val="sr-Cyrl-CS"/>
        </w:rPr>
        <w:t>говором</w:t>
      </w:r>
      <w:r w:rsidR="00B16F8D" w:rsidRPr="00895819">
        <w:rPr>
          <w:lang w:val="sr-Cyrl-CS"/>
        </w:rPr>
        <w:t>.</w:t>
      </w:r>
    </w:p>
    <w:p w14:paraId="06B98E12" w14:textId="174FCC4D" w:rsidR="00B16F8D" w:rsidRPr="00895819" w:rsidRDefault="009B3327" w:rsidP="00B16F8D">
      <w:pPr>
        <w:pStyle w:val="BodyText1"/>
        <w:rPr>
          <w:lang w:val="sr-Cyrl-CS"/>
        </w:rPr>
      </w:pPr>
      <w:r w:rsidRPr="00895819">
        <w:rPr>
          <w:lang w:val="sr-Cyrl-CS"/>
        </w:rPr>
        <w:t xml:space="preserve">Зајмопримац се одриче свих права које може имати у било којој јурисдикцији </w:t>
      </w:r>
      <w:r w:rsidR="0083502B" w:rsidRPr="00895819">
        <w:rPr>
          <w:lang w:val="sr-Cyrl-CS"/>
        </w:rPr>
        <w:t>н</w:t>
      </w:r>
      <w:r w:rsidRPr="00895819">
        <w:rPr>
          <w:lang w:val="sr-Cyrl-CS"/>
        </w:rPr>
        <w:t>а плаћање било ког износа који доспе</w:t>
      </w:r>
      <w:r w:rsidR="009609FE" w:rsidRPr="00895819">
        <w:rPr>
          <w:lang w:val="sr-Cyrl-CS"/>
        </w:rPr>
        <w:t>ва за наплату у складу са овим у</w:t>
      </w:r>
      <w:r w:rsidRPr="00895819">
        <w:rPr>
          <w:lang w:val="sr-Cyrl-CS"/>
        </w:rPr>
        <w:t>говором у валути или валутама осим у оној у којој је тај износ изражен</w:t>
      </w:r>
      <w:r w:rsidR="00B16F8D" w:rsidRPr="00895819">
        <w:rPr>
          <w:lang w:val="sr-Cyrl-CS"/>
        </w:rPr>
        <w:t>.</w:t>
      </w:r>
    </w:p>
    <w:p w14:paraId="178C0C0D" w14:textId="77777777" w:rsidR="00B16F8D" w:rsidRPr="00895819" w:rsidRDefault="009B3327" w:rsidP="000F181A">
      <w:pPr>
        <w:pStyle w:val="AATitre2"/>
        <w:rPr>
          <w:u w:val="none"/>
          <w:lang w:val="sr-Cyrl-CS"/>
        </w:rPr>
      </w:pPr>
      <w:bookmarkStart w:id="71" w:name="_Toc135947161"/>
      <w:r w:rsidRPr="00895819">
        <w:rPr>
          <w:lang w:val="sr-Cyrl-CS"/>
        </w:rPr>
        <w:t>Датуми доспећа</w:t>
      </w:r>
      <w:bookmarkEnd w:id="71"/>
    </w:p>
    <w:p w14:paraId="72B71B72" w14:textId="77777777" w:rsidR="00B16F8D" w:rsidRPr="00895819" w:rsidRDefault="008228AC" w:rsidP="00B16F8D">
      <w:pPr>
        <w:pStyle w:val="BodyText1"/>
        <w:rPr>
          <w:lang w:val="sr-Cyrl-CS"/>
        </w:rPr>
      </w:pPr>
      <w:r w:rsidRPr="00895819">
        <w:rPr>
          <w:lang w:val="sr-Cyrl-CS"/>
        </w:rPr>
        <w:t>Свако обештећење или надокнада коју је Зајмопримац дужан да плати Зајмодавцу у складу са чланом</w:t>
      </w:r>
      <w:r w:rsidR="00615BC2" w:rsidRPr="00895819">
        <w:rPr>
          <w:lang w:val="sr-Cyrl-CS"/>
        </w:rPr>
        <w:t xml:space="preserve"> 9 </w:t>
      </w:r>
      <w:r w:rsidR="005844C1" w:rsidRPr="00895819">
        <w:rPr>
          <w:lang w:val="sr-Cyrl-CS"/>
        </w:rPr>
        <w:t>(</w:t>
      </w:r>
      <w:r w:rsidR="005844C1" w:rsidRPr="00895819">
        <w:rPr>
          <w:i/>
          <w:lang w:val="sr-Cyrl-CS"/>
        </w:rPr>
        <w:t>Додатне обавезе плаћања</w:t>
      </w:r>
      <w:r w:rsidR="005844C1" w:rsidRPr="00895819">
        <w:rPr>
          <w:lang w:val="sr-Cyrl-CS"/>
        </w:rPr>
        <w:t>)</w:t>
      </w:r>
      <w:r w:rsidRPr="00895819">
        <w:rPr>
          <w:lang w:val="sr-Cyrl-CS"/>
        </w:rPr>
        <w:t xml:space="preserve"> доспева за плаћање на Датум плаћања који непосредно следи након настанка околности које су довеле до обавезе плаћања одговарајућег обештећења или надокнаде</w:t>
      </w:r>
      <w:r w:rsidR="00B16F8D" w:rsidRPr="00895819">
        <w:rPr>
          <w:lang w:val="sr-Cyrl-CS"/>
        </w:rPr>
        <w:t>.</w:t>
      </w:r>
    </w:p>
    <w:p w14:paraId="75A4E49D" w14:textId="4ACD8E6E" w:rsidR="00B16F8D" w:rsidRPr="00895819" w:rsidRDefault="008228AC" w:rsidP="00B16F8D">
      <w:pPr>
        <w:pStyle w:val="BodyText1"/>
        <w:rPr>
          <w:lang w:val="sr-Cyrl-CS"/>
        </w:rPr>
      </w:pPr>
      <w:r w:rsidRPr="00895819">
        <w:rPr>
          <w:lang w:val="sr-Cyrl-CS"/>
        </w:rPr>
        <w:t xml:space="preserve">Без обзира на напред наведено, свако обештећење које се плаћа у вези са превременом отплатом у складу са чланом </w:t>
      </w:r>
      <w:r w:rsidR="00615BC2" w:rsidRPr="00895819">
        <w:rPr>
          <w:lang w:val="sr-Cyrl-CS"/>
        </w:rPr>
        <w:t>9.3 (</w:t>
      </w:r>
      <w:r w:rsidRPr="00895819">
        <w:rPr>
          <w:i/>
          <w:lang w:val="sr-Cyrl-CS"/>
        </w:rPr>
        <w:fldChar w:fldCharType="begin"/>
      </w:r>
      <w:r w:rsidRPr="00895819">
        <w:rPr>
          <w:i/>
          <w:lang w:val="sr-Cyrl-CS"/>
        </w:rPr>
        <w:instrText xml:space="preserve"> REF _Ref371532731 \h  \* MERGEFORMAT </w:instrText>
      </w:r>
      <w:r w:rsidRPr="00895819">
        <w:rPr>
          <w:i/>
          <w:lang w:val="sr-Cyrl-CS"/>
        </w:rPr>
      </w:r>
      <w:r w:rsidRPr="00895819">
        <w:rPr>
          <w:i/>
          <w:lang w:val="sr-Cyrl-CS"/>
        </w:rPr>
        <w:fldChar w:fldCharType="separate"/>
      </w:r>
      <w:r w:rsidR="00AC1642" w:rsidRPr="00AC1642">
        <w:rPr>
          <w:i/>
          <w:lang w:val="sr-Cyrl-CS"/>
        </w:rPr>
        <w:t>Обештећење за превремену отплату Кредита</w:t>
      </w:r>
      <w:r w:rsidRPr="00895819">
        <w:rPr>
          <w:i/>
          <w:lang w:val="sr-Cyrl-CS"/>
        </w:rPr>
        <w:fldChar w:fldCharType="end"/>
      </w:r>
      <w:r w:rsidRPr="00895819">
        <w:rPr>
          <w:i/>
          <w:lang w:val="sr-Cyrl-CS"/>
        </w:rPr>
        <w:t xml:space="preserve">) </w:t>
      </w:r>
      <w:r w:rsidRPr="00895819">
        <w:rPr>
          <w:lang w:val="sr-Cyrl-CS"/>
        </w:rPr>
        <w:t>доспева за плаћање на дан одговарајуће превремене отплате</w:t>
      </w:r>
      <w:r w:rsidR="00B16F8D" w:rsidRPr="00895819">
        <w:rPr>
          <w:lang w:val="sr-Cyrl-CS"/>
        </w:rPr>
        <w:t>.</w:t>
      </w:r>
    </w:p>
    <w:p w14:paraId="51E35325" w14:textId="77777777" w:rsidR="00B16F8D" w:rsidRPr="00895819" w:rsidRDefault="0083502B" w:rsidP="00A32298">
      <w:pPr>
        <w:pStyle w:val="AATitre1"/>
        <w:rPr>
          <w:lang w:val="sr-Cyrl-CS"/>
        </w:rPr>
      </w:pPr>
      <w:bookmarkStart w:id="72" w:name="_Toc135947162"/>
      <w:r w:rsidRPr="00895819">
        <w:rPr>
          <w:lang w:val="sr-Cyrl-CS"/>
        </w:rPr>
        <w:t>ИЗЈАВЕ И ГАРАНЦИЈЕ</w:t>
      </w:r>
      <w:bookmarkEnd w:id="72"/>
    </w:p>
    <w:p w14:paraId="18F992E0" w14:textId="42F9D94C" w:rsidR="00B16F8D" w:rsidRPr="00895819" w:rsidRDefault="0083502B" w:rsidP="00B16F8D">
      <w:pPr>
        <w:pStyle w:val="BodyTexteNiveau1"/>
        <w:ind w:left="709"/>
        <w:rPr>
          <w:lang w:val="sr-Cyrl-CS"/>
        </w:rPr>
      </w:pPr>
      <w:r w:rsidRPr="00895819">
        <w:rPr>
          <w:lang w:val="sr-Cyrl-CS"/>
        </w:rPr>
        <w:t xml:space="preserve">Зајмопримац даје све изјаве и гаранције из овог члана </w:t>
      </w:r>
      <w:r w:rsidR="00615BC2" w:rsidRPr="00895819">
        <w:rPr>
          <w:lang w:val="sr-Cyrl-CS"/>
        </w:rPr>
        <w:t>10 (</w:t>
      </w:r>
      <w:r w:rsidRPr="00895819">
        <w:rPr>
          <w:i/>
          <w:lang w:val="sr-Cyrl-CS"/>
        </w:rPr>
        <w:t>Изјаве и гаранције</w:t>
      </w:r>
      <w:r w:rsidR="00615BC2" w:rsidRPr="00895819">
        <w:rPr>
          <w:lang w:val="sr-Cyrl-CS"/>
        </w:rPr>
        <w:t xml:space="preserve">) </w:t>
      </w:r>
      <w:r w:rsidRPr="00895819">
        <w:rPr>
          <w:lang w:val="sr-Cyrl-CS"/>
        </w:rPr>
        <w:t>на Датум потписивања</w:t>
      </w:r>
      <w:r w:rsidR="00615BC2" w:rsidRPr="00895819">
        <w:rPr>
          <w:lang w:val="sr-Cyrl-CS"/>
        </w:rPr>
        <w:t xml:space="preserve">. </w:t>
      </w:r>
      <w:r w:rsidRPr="00895819">
        <w:rPr>
          <w:lang w:val="sr-Cyrl-CS"/>
        </w:rPr>
        <w:t>Сматра се да Зајмопримац даје све изјаве и гаранције из овог члана 10</w:t>
      </w:r>
      <w:r w:rsidR="00615BC2" w:rsidRPr="00895819">
        <w:rPr>
          <w:lang w:val="sr-Cyrl-CS"/>
        </w:rPr>
        <w:t xml:space="preserve"> (</w:t>
      </w:r>
      <w:r w:rsidRPr="00895819">
        <w:rPr>
          <w:i/>
          <w:lang w:val="sr-Cyrl-CS"/>
        </w:rPr>
        <w:t>Изјаве и гаранције</w:t>
      </w:r>
      <w:r w:rsidR="00615BC2" w:rsidRPr="00895819">
        <w:rPr>
          <w:lang w:val="sr-Cyrl-CS"/>
        </w:rPr>
        <w:t xml:space="preserve">) </w:t>
      </w:r>
      <w:r w:rsidRPr="00895819">
        <w:rPr>
          <w:lang w:val="sr-Cyrl-CS"/>
        </w:rPr>
        <w:t>на да</w:t>
      </w:r>
      <w:r w:rsidR="000C40A2" w:rsidRPr="00895819">
        <w:rPr>
          <w:lang w:val="sr-Cyrl-CS"/>
        </w:rPr>
        <w:t>тум</w:t>
      </w:r>
      <w:r w:rsidRPr="00895819">
        <w:rPr>
          <w:lang w:val="sr-Cyrl-CS"/>
        </w:rPr>
        <w:t xml:space="preserve"> када су сви претходни услови наведени у Делу </w:t>
      </w:r>
      <w:r w:rsidR="00615BC2" w:rsidRPr="00895819">
        <w:rPr>
          <w:lang w:val="sr-Cyrl-CS"/>
        </w:rPr>
        <w:t xml:space="preserve">III </w:t>
      </w:r>
      <w:r w:rsidRPr="00895819">
        <w:rPr>
          <w:lang w:val="sr-Cyrl-CS"/>
        </w:rPr>
        <w:t>и</w:t>
      </w:r>
      <w:r w:rsidR="00615BC2" w:rsidRPr="00895819">
        <w:rPr>
          <w:lang w:val="sr-Cyrl-CS"/>
        </w:rPr>
        <w:t xml:space="preserve"> IV </w:t>
      </w:r>
      <w:r w:rsidRPr="00895819">
        <w:rPr>
          <w:lang w:val="sr-Cyrl-CS"/>
        </w:rPr>
        <w:t xml:space="preserve">Прилога </w:t>
      </w:r>
      <w:r w:rsidR="00615BC2" w:rsidRPr="00895819">
        <w:rPr>
          <w:lang w:val="sr-Cyrl-CS"/>
        </w:rPr>
        <w:t>4 (</w:t>
      </w:r>
      <w:r w:rsidRPr="00895819">
        <w:rPr>
          <w:i/>
          <w:lang w:val="sr-Cyrl-CS"/>
        </w:rPr>
        <w:t>Претходни услови</w:t>
      </w:r>
      <w:r w:rsidR="00615BC2" w:rsidRPr="00895819">
        <w:rPr>
          <w:lang w:val="sr-Cyrl-CS"/>
        </w:rPr>
        <w:t xml:space="preserve">) </w:t>
      </w:r>
      <w:r w:rsidR="000C40A2" w:rsidRPr="00895819">
        <w:rPr>
          <w:lang w:val="sr-Cyrl-CS"/>
        </w:rPr>
        <w:t xml:space="preserve">испуњени, на датум сваког Захтева за повлачење средстава, на датум сваког Повлачења средстава и сваког Датума плаћања, осим што се сматра да је Зајмопримац дао поновљене изјаве из члана </w:t>
      </w:r>
      <w:r w:rsidR="00615BC2" w:rsidRPr="00895819">
        <w:rPr>
          <w:lang w:val="sr-Cyrl-CS"/>
        </w:rPr>
        <w:t>10.</w:t>
      </w:r>
      <w:r w:rsidR="005D63B7" w:rsidRPr="00895819">
        <w:rPr>
          <w:lang w:val="sr-Cyrl-CS"/>
        </w:rPr>
        <w:t>9</w:t>
      </w:r>
      <w:r w:rsidR="002854F6" w:rsidRPr="00895819">
        <w:rPr>
          <w:lang w:val="sr-Cyrl-CS"/>
        </w:rPr>
        <w:t xml:space="preserve"> (</w:t>
      </w:r>
      <w:r w:rsidR="002854F6" w:rsidRPr="00895819">
        <w:rPr>
          <w:i/>
          <w:lang w:val="sr-Cyrl-CS"/>
        </w:rPr>
        <w:t>Одсуство информација које наводе у заблуду</w:t>
      </w:r>
      <w:r w:rsidR="00615BC2" w:rsidRPr="00895819">
        <w:rPr>
          <w:lang w:val="sr-Cyrl-CS"/>
        </w:rPr>
        <w:t xml:space="preserve">) </w:t>
      </w:r>
      <w:r w:rsidR="000C40A2" w:rsidRPr="00895819">
        <w:rPr>
          <w:lang w:val="sr-Cyrl-CS"/>
        </w:rPr>
        <w:t>у вези са информацијама које је Зајмопримац пружио од датума давања последње изјаве.</w:t>
      </w:r>
    </w:p>
    <w:p w14:paraId="39846C73" w14:textId="77777777" w:rsidR="00B16F8D" w:rsidRPr="00895819" w:rsidRDefault="000C40A2" w:rsidP="000F181A">
      <w:pPr>
        <w:pStyle w:val="AATitre2"/>
        <w:rPr>
          <w:u w:val="none"/>
          <w:lang w:val="sr-Cyrl-CS"/>
        </w:rPr>
      </w:pPr>
      <w:bookmarkStart w:id="73" w:name="_Toc135947163"/>
      <w:r w:rsidRPr="00895819">
        <w:rPr>
          <w:lang w:val="sr-Cyrl-CS"/>
        </w:rPr>
        <w:t>Овлашћења и надлежности</w:t>
      </w:r>
      <w:bookmarkEnd w:id="73"/>
    </w:p>
    <w:p w14:paraId="28413FC9" w14:textId="37DF22A6" w:rsidR="00B16F8D" w:rsidRPr="00895819" w:rsidRDefault="00DB41C7" w:rsidP="00B16F8D">
      <w:pPr>
        <w:pStyle w:val="BodyText1"/>
        <w:rPr>
          <w:lang w:val="sr-Cyrl-CS"/>
        </w:rPr>
      </w:pPr>
      <w:r w:rsidRPr="00895819">
        <w:rPr>
          <w:lang w:val="sr-Cyrl-CS"/>
        </w:rPr>
        <w:t>Зајмопримац је овлашћен да</w:t>
      </w:r>
      <w:r w:rsidR="00155BE5" w:rsidRPr="00895819">
        <w:rPr>
          <w:lang w:val="sr-Cyrl-CS"/>
        </w:rPr>
        <w:t xml:space="preserve"> закључи, потпише и овери овај у</w:t>
      </w:r>
      <w:r w:rsidRPr="00895819">
        <w:rPr>
          <w:lang w:val="sr-Cyrl-CS"/>
        </w:rPr>
        <w:t>говор и изврши све предвиђене обавезе. Зајмопримац је предузео све радње неопходне ради стицања овлашћења за закључи</w:t>
      </w:r>
      <w:r w:rsidR="009609FE" w:rsidRPr="00895819">
        <w:rPr>
          <w:lang w:val="sr-Cyrl-CS"/>
        </w:rPr>
        <w:t>вање, потписивање и оверу овог у</w:t>
      </w:r>
      <w:r w:rsidRPr="00895819">
        <w:rPr>
          <w:lang w:val="sr-Cyrl-CS"/>
        </w:rPr>
        <w:t>говора</w:t>
      </w:r>
      <w:r w:rsidR="00B16F8D" w:rsidRPr="00895819">
        <w:rPr>
          <w:lang w:val="sr-Cyrl-CS"/>
        </w:rPr>
        <w:t xml:space="preserve">. </w:t>
      </w:r>
    </w:p>
    <w:p w14:paraId="6A38CAD9" w14:textId="77777777" w:rsidR="00B16F8D" w:rsidRPr="00895819" w:rsidRDefault="00DB41C7" w:rsidP="000F181A">
      <w:pPr>
        <w:pStyle w:val="AATitre2"/>
        <w:rPr>
          <w:u w:val="none"/>
          <w:lang w:val="sr-Cyrl-CS"/>
        </w:rPr>
      </w:pPr>
      <w:bookmarkStart w:id="74" w:name="_Toc135947164"/>
      <w:r w:rsidRPr="00895819">
        <w:rPr>
          <w:lang w:val="sr-Cyrl-CS"/>
        </w:rPr>
        <w:t>Ваљаност и прихватљивост у сврхе доказивања</w:t>
      </w:r>
      <w:bookmarkEnd w:id="74"/>
    </w:p>
    <w:p w14:paraId="1FCAD5F4" w14:textId="77777777" w:rsidR="00B16F8D" w:rsidRPr="00895819" w:rsidRDefault="00DB41C7" w:rsidP="00B16F8D">
      <w:pPr>
        <w:pStyle w:val="BodyText1"/>
        <w:rPr>
          <w:lang w:val="sr-Cyrl-CS"/>
        </w:rPr>
      </w:pPr>
      <w:r w:rsidRPr="00895819">
        <w:rPr>
          <w:lang w:val="sr-Cyrl-CS"/>
        </w:rPr>
        <w:t>Сва овлашћења која су потребна</w:t>
      </w:r>
      <w:r w:rsidR="00B16F8D" w:rsidRPr="00895819">
        <w:rPr>
          <w:lang w:val="sr-Cyrl-CS"/>
        </w:rPr>
        <w:t>:</w:t>
      </w:r>
    </w:p>
    <w:p w14:paraId="437EB36E" w14:textId="2CA33E61" w:rsidR="00B16F8D" w:rsidRPr="00895819" w:rsidRDefault="005D63B7" w:rsidP="005D63B7">
      <w:pPr>
        <w:pStyle w:val="AATitre4"/>
        <w:numPr>
          <w:ilvl w:val="0"/>
          <w:numId w:val="0"/>
        </w:numPr>
        <w:ind w:left="1440" w:hanging="720"/>
        <w:rPr>
          <w:lang w:val="sr-Cyrl-CS"/>
        </w:rPr>
      </w:pPr>
      <w:r w:rsidRPr="00895819">
        <w:rPr>
          <w:lang w:val="sr-Cyrl-CS"/>
        </w:rPr>
        <w:lastRenderedPageBreak/>
        <w:t>(а)</w:t>
      </w:r>
      <w:r w:rsidRPr="00895819">
        <w:rPr>
          <w:lang w:val="sr-Cyrl-CS"/>
        </w:rPr>
        <w:tab/>
      </w:r>
      <w:r w:rsidR="00DB41C7" w:rsidRPr="00895819">
        <w:rPr>
          <w:lang w:val="sr-Cyrl-CS"/>
        </w:rPr>
        <w:t>да се Зајмопримцу ом</w:t>
      </w:r>
      <w:r w:rsidR="00155BE5" w:rsidRPr="00895819">
        <w:rPr>
          <w:lang w:val="sr-Cyrl-CS"/>
        </w:rPr>
        <w:t>огући да законито потпише овај у</w:t>
      </w:r>
      <w:r w:rsidR="00DB41C7" w:rsidRPr="00895819">
        <w:rPr>
          <w:lang w:val="sr-Cyrl-CS"/>
        </w:rPr>
        <w:t>говор и оствари своја права и испуни своје обавезе у вези са њим</w:t>
      </w:r>
      <w:r w:rsidR="00B16F8D" w:rsidRPr="00895819">
        <w:rPr>
          <w:lang w:val="sr-Cyrl-CS"/>
        </w:rPr>
        <w:t xml:space="preserve">; </w:t>
      </w:r>
      <w:r w:rsidR="00DB41C7" w:rsidRPr="00895819">
        <w:rPr>
          <w:lang w:val="sr-Cyrl-CS"/>
        </w:rPr>
        <w:t>и</w:t>
      </w:r>
    </w:p>
    <w:p w14:paraId="6EB648DE" w14:textId="36696ADD" w:rsidR="00B16F8D" w:rsidRPr="00895819" w:rsidRDefault="005D63B7" w:rsidP="005D63B7">
      <w:pPr>
        <w:pStyle w:val="AATitre4"/>
        <w:numPr>
          <w:ilvl w:val="0"/>
          <w:numId w:val="0"/>
        </w:numPr>
        <w:ind w:left="1440" w:hanging="720"/>
        <w:rPr>
          <w:lang w:val="sr-Cyrl-CS"/>
        </w:rPr>
      </w:pPr>
      <w:r w:rsidRPr="00895819">
        <w:rPr>
          <w:lang w:val="sr-Cyrl-CS"/>
        </w:rPr>
        <w:t>(б)</w:t>
      </w:r>
      <w:r w:rsidRPr="00895819">
        <w:rPr>
          <w:lang w:val="sr-Cyrl-CS"/>
        </w:rPr>
        <w:tab/>
      </w:r>
      <w:r w:rsidR="00155BE5" w:rsidRPr="00895819">
        <w:rPr>
          <w:lang w:val="sr-Cyrl-CS"/>
        </w:rPr>
        <w:t>да овај у</w:t>
      </w:r>
      <w:r w:rsidR="00DB41C7" w:rsidRPr="00895819">
        <w:rPr>
          <w:lang w:val="sr-Cyrl-CS"/>
        </w:rPr>
        <w:t xml:space="preserve">говор учини прихватљивом у сврхе доказивања пред судом у јурисдикцији Зајмопримца или у арбитражном поступку из члана </w:t>
      </w:r>
      <w:r w:rsidR="00615BC2" w:rsidRPr="00895819">
        <w:rPr>
          <w:lang w:val="sr-Cyrl-CS"/>
        </w:rPr>
        <w:t xml:space="preserve">17 </w:t>
      </w:r>
      <w:r w:rsidR="005844C1" w:rsidRPr="00895819">
        <w:rPr>
          <w:lang w:val="sr-Cyrl-CS"/>
        </w:rPr>
        <w:t>(</w:t>
      </w:r>
      <w:r w:rsidR="005844C1" w:rsidRPr="00895819">
        <w:rPr>
          <w:i/>
          <w:lang w:val="sr-Cyrl-CS"/>
        </w:rPr>
        <w:t>Меродавно право, извршење и избор седишта</w:t>
      </w:r>
      <w:r w:rsidR="005844C1" w:rsidRPr="00895819">
        <w:rPr>
          <w:lang w:val="sr-Cyrl-CS"/>
        </w:rPr>
        <w:t>)</w:t>
      </w:r>
      <w:r w:rsidR="00B16F8D" w:rsidRPr="00895819">
        <w:rPr>
          <w:lang w:val="sr-Cyrl-CS"/>
        </w:rPr>
        <w:t>,</w:t>
      </w:r>
    </w:p>
    <w:p w14:paraId="6216588B" w14:textId="77777777" w:rsidR="00B16F8D" w:rsidRPr="00895819" w:rsidRDefault="00DB41C7" w:rsidP="00B16F8D">
      <w:pPr>
        <w:pStyle w:val="BodyText1"/>
        <w:rPr>
          <w:lang w:val="sr-Cyrl-CS"/>
        </w:rPr>
      </w:pPr>
      <w:r w:rsidRPr="00895819">
        <w:rPr>
          <w:lang w:val="sr-Cyrl-CS"/>
        </w:rPr>
        <w:t>прибављена су и важећа, и не постоје никакве околности које би за последицу могле имати повлачење, непродужавање или измену тих Овлашћења, како у целини тако и делимично</w:t>
      </w:r>
      <w:r w:rsidR="00B16F8D" w:rsidRPr="00895819">
        <w:rPr>
          <w:lang w:val="sr-Cyrl-CS"/>
        </w:rPr>
        <w:t>.</w:t>
      </w:r>
    </w:p>
    <w:p w14:paraId="0E4FBBEB" w14:textId="77777777" w:rsidR="00B16F8D" w:rsidRPr="00895819" w:rsidRDefault="00A21231" w:rsidP="000F181A">
      <w:pPr>
        <w:pStyle w:val="AATitre2"/>
        <w:rPr>
          <w:u w:val="none"/>
          <w:lang w:val="sr-Cyrl-CS"/>
        </w:rPr>
      </w:pPr>
      <w:bookmarkStart w:id="75" w:name="_Toc135947165"/>
      <w:r w:rsidRPr="00895819">
        <w:rPr>
          <w:lang w:val="sr-Cyrl-CS"/>
        </w:rPr>
        <w:t>Обавезе</w:t>
      </w:r>
      <w:bookmarkEnd w:id="75"/>
    </w:p>
    <w:p w14:paraId="23E8DDAC" w14:textId="30B09A94" w:rsidR="00B16F8D" w:rsidRPr="00895819" w:rsidRDefault="00E03CD4" w:rsidP="00B16F8D">
      <w:pPr>
        <w:pStyle w:val="BodyText1"/>
        <w:rPr>
          <w:lang w:val="sr-Cyrl-CS"/>
        </w:rPr>
      </w:pPr>
      <w:r w:rsidRPr="00895819">
        <w:rPr>
          <w:lang w:val="sr-Cyrl-CS"/>
        </w:rPr>
        <w:t>Обавезе кој</w:t>
      </w:r>
      <w:r w:rsidR="00155BE5" w:rsidRPr="00895819">
        <w:rPr>
          <w:lang w:val="sr-Cyrl-CS"/>
        </w:rPr>
        <w:t>е Зајмопримац преузима по овом у</w:t>
      </w:r>
      <w:r w:rsidRPr="00895819">
        <w:rPr>
          <w:lang w:val="sr-Cyrl-CS"/>
        </w:rPr>
        <w:t xml:space="preserve">говору у складу </w:t>
      </w:r>
      <w:r w:rsidR="00FA7DD9" w:rsidRPr="00895819">
        <w:rPr>
          <w:lang w:val="sr-Cyrl-CS"/>
        </w:rPr>
        <w:t xml:space="preserve">су </w:t>
      </w:r>
      <w:r w:rsidRPr="00895819">
        <w:rPr>
          <w:lang w:val="sr-Cyrl-CS"/>
        </w:rPr>
        <w:t xml:space="preserve">са свим законима и прописима примењивим на Зајмопримца у његовој јурисдикцији </w:t>
      </w:r>
      <w:r w:rsidR="00FA7DD9" w:rsidRPr="00895819">
        <w:rPr>
          <w:lang w:val="sr-Cyrl-CS"/>
        </w:rPr>
        <w:t xml:space="preserve">и представљају законске, важеће. обавезујуће и извршиве обавезе које </w:t>
      </w:r>
      <w:r w:rsidR="00FA22C3" w:rsidRPr="00895819">
        <w:rPr>
          <w:lang w:val="sr-Cyrl-CS"/>
        </w:rPr>
        <w:t>су на снази у складу са њих</w:t>
      </w:r>
      <w:r w:rsidR="00FA7DD9" w:rsidRPr="00895819">
        <w:rPr>
          <w:lang w:val="sr-Cyrl-CS"/>
        </w:rPr>
        <w:t>овим пис</w:t>
      </w:r>
      <w:r w:rsidR="00FA22C3" w:rsidRPr="00895819">
        <w:rPr>
          <w:lang w:val="sr-Cyrl-CS"/>
        </w:rPr>
        <w:t>аним</w:t>
      </w:r>
      <w:r w:rsidR="00FA7DD9" w:rsidRPr="00895819">
        <w:rPr>
          <w:lang w:val="sr-Cyrl-CS"/>
        </w:rPr>
        <w:t xml:space="preserve"> условима</w:t>
      </w:r>
      <w:r w:rsidR="00B16F8D" w:rsidRPr="00895819">
        <w:rPr>
          <w:lang w:val="sr-Cyrl-CS"/>
        </w:rPr>
        <w:t>.</w:t>
      </w:r>
    </w:p>
    <w:p w14:paraId="378CC4E9" w14:textId="77777777" w:rsidR="00B16F8D" w:rsidRPr="00895819" w:rsidRDefault="00493CCE" w:rsidP="000F181A">
      <w:pPr>
        <w:pStyle w:val="AATitre2"/>
        <w:rPr>
          <w:u w:val="none"/>
          <w:lang w:val="sr-Cyrl-CS"/>
        </w:rPr>
      </w:pPr>
      <w:bookmarkStart w:id="76" w:name="_Toc106103711"/>
      <w:bookmarkStart w:id="77" w:name="_Toc106104547"/>
      <w:bookmarkStart w:id="78" w:name="_Toc106104658"/>
      <w:bookmarkStart w:id="79" w:name="_Toc421631544"/>
      <w:bookmarkStart w:id="80" w:name="_Toc130385349"/>
      <w:bookmarkStart w:id="81" w:name="_Toc135947166"/>
      <w:r w:rsidRPr="00895819">
        <w:rPr>
          <w:lang w:val="sr-Cyrl-CS"/>
        </w:rPr>
        <w:t>Ослобођење од такси за упис или регистрацију</w:t>
      </w:r>
      <w:bookmarkEnd w:id="76"/>
      <w:bookmarkEnd w:id="77"/>
      <w:bookmarkEnd w:id="78"/>
      <w:bookmarkEnd w:id="79"/>
      <w:bookmarkEnd w:id="80"/>
      <w:bookmarkEnd w:id="81"/>
    </w:p>
    <w:p w14:paraId="2E6AE5AE" w14:textId="34DCBACF" w:rsidR="00B16F8D" w:rsidRPr="00895819" w:rsidRDefault="00493CCE" w:rsidP="00B16F8D">
      <w:pPr>
        <w:pStyle w:val="BodyText1"/>
        <w:rPr>
          <w:lang w:val="sr-Cyrl-CS"/>
        </w:rPr>
      </w:pPr>
      <w:r w:rsidRPr="00895819">
        <w:rPr>
          <w:lang w:val="sr-Cyrl-CS"/>
        </w:rPr>
        <w:t>У складу са законима јурисдикције Зајмо</w:t>
      </w:r>
      <w:r w:rsidR="00155BE5" w:rsidRPr="00895819">
        <w:rPr>
          <w:lang w:val="sr-Cyrl-CS"/>
        </w:rPr>
        <w:t>примца, није неопходно да овај у</w:t>
      </w:r>
      <w:r w:rsidRPr="00895819">
        <w:rPr>
          <w:lang w:val="sr-Cyrl-CS"/>
        </w:rPr>
        <w:t>говор буде уписан, регистрован или заведен код било ког суда или другог органа у тој јурисдикцији нити да било какве таксе или накнаде за упис и рег</w:t>
      </w:r>
      <w:r w:rsidR="00155BE5" w:rsidRPr="00895819">
        <w:rPr>
          <w:lang w:val="sr-Cyrl-CS"/>
        </w:rPr>
        <w:t>истрацију буду плаћене за овај у</w:t>
      </w:r>
      <w:r w:rsidRPr="00895819">
        <w:rPr>
          <w:lang w:val="sr-Cyrl-CS"/>
        </w:rPr>
        <w:t>говор или у вези са њим или са трансакцијама које се њиме предвиђају</w:t>
      </w:r>
      <w:r w:rsidR="00B16F8D" w:rsidRPr="00895819">
        <w:rPr>
          <w:lang w:val="sr-Cyrl-CS"/>
        </w:rPr>
        <w:t>.</w:t>
      </w:r>
    </w:p>
    <w:p w14:paraId="55F9FF2E" w14:textId="77777777" w:rsidR="00B16F8D" w:rsidRPr="00895819" w:rsidRDefault="00493CCE" w:rsidP="000F181A">
      <w:pPr>
        <w:pStyle w:val="AATitre2"/>
        <w:rPr>
          <w:u w:val="none"/>
          <w:lang w:val="sr-Cyrl-CS"/>
        </w:rPr>
      </w:pPr>
      <w:bookmarkStart w:id="82" w:name="_Toc135947167"/>
      <w:r w:rsidRPr="00895819">
        <w:rPr>
          <w:lang w:val="sr-Cyrl-CS"/>
        </w:rPr>
        <w:t>Пренос средстава</w:t>
      </w:r>
      <w:bookmarkEnd w:id="82"/>
    </w:p>
    <w:p w14:paraId="72BF5FAD" w14:textId="4B64A31B" w:rsidR="00B16F8D" w:rsidRPr="00895819" w:rsidRDefault="00493CCE" w:rsidP="00B16F8D">
      <w:pPr>
        <w:pStyle w:val="BodyText1"/>
        <w:rPr>
          <w:lang w:val="sr-Cyrl-CS"/>
        </w:rPr>
      </w:pPr>
      <w:r w:rsidRPr="00895819">
        <w:rPr>
          <w:lang w:val="sr-Cyrl-CS"/>
        </w:rPr>
        <w:t>Сви износи које је Зајмопримац дужан да испла</w:t>
      </w:r>
      <w:r w:rsidR="00155BE5" w:rsidRPr="00895819">
        <w:rPr>
          <w:lang w:val="sr-Cyrl-CS"/>
        </w:rPr>
        <w:t>ти Зајмодавцу у складу са овим у</w:t>
      </w:r>
      <w:r w:rsidRPr="00895819">
        <w:rPr>
          <w:lang w:val="sr-Cyrl-CS"/>
        </w:rPr>
        <w:t xml:space="preserve">говором, било да је реч о главници или камати, камати за доцњу, </w:t>
      </w:r>
      <w:r w:rsidR="00FA31C7" w:rsidRPr="00895819">
        <w:rPr>
          <w:lang w:val="sr-Cyrl-CS"/>
        </w:rPr>
        <w:t>о</w:t>
      </w:r>
      <w:r w:rsidRPr="00895819">
        <w:rPr>
          <w:lang w:val="sr-Cyrl-CS"/>
        </w:rPr>
        <w:t>бештећењу за превремену отплату, додатни</w:t>
      </w:r>
      <w:r w:rsidR="00FA31C7" w:rsidRPr="00895819">
        <w:rPr>
          <w:lang w:val="sr-Cyrl-CS"/>
        </w:rPr>
        <w:t>м</w:t>
      </w:r>
      <w:r w:rsidRPr="00895819">
        <w:rPr>
          <w:lang w:val="sr-Cyrl-CS"/>
        </w:rPr>
        <w:t xml:space="preserve"> трошков</w:t>
      </w:r>
      <w:r w:rsidR="00FA31C7" w:rsidRPr="00895819">
        <w:rPr>
          <w:lang w:val="sr-Cyrl-CS"/>
        </w:rPr>
        <w:t>им</w:t>
      </w:r>
      <w:r w:rsidRPr="00895819">
        <w:rPr>
          <w:lang w:val="sr-Cyrl-CS"/>
        </w:rPr>
        <w:t>а и расход</w:t>
      </w:r>
      <w:r w:rsidR="00FA31C7" w:rsidRPr="00895819">
        <w:rPr>
          <w:lang w:val="sr-Cyrl-CS"/>
        </w:rPr>
        <w:t>им</w:t>
      </w:r>
      <w:r w:rsidRPr="00895819">
        <w:rPr>
          <w:lang w:val="sr-Cyrl-CS"/>
        </w:rPr>
        <w:t>а, као и било који други износ, слободно се могу конвертовати и преносити</w:t>
      </w:r>
      <w:r w:rsidR="00B16F8D" w:rsidRPr="00895819">
        <w:rPr>
          <w:lang w:val="sr-Cyrl-CS"/>
        </w:rPr>
        <w:t>.</w:t>
      </w:r>
    </w:p>
    <w:p w14:paraId="32C65321" w14:textId="77777777" w:rsidR="00B16F8D" w:rsidRPr="00895819" w:rsidRDefault="00493CCE" w:rsidP="00B16F8D">
      <w:pPr>
        <w:pStyle w:val="BodyText1"/>
        <w:rPr>
          <w:lang w:val="sr-Cyrl-CS"/>
        </w:rPr>
      </w:pPr>
      <w:r w:rsidRPr="00895819">
        <w:rPr>
          <w:lang w:val="sr-Cyrl-CS"/>
        </w:rPr>
        <w:t>Ова изјава остаје на снази и примењује се у потпуности све до потпуне отплате свих износа који се плаћају Зајмодавцу. У случају да Зајмодавац продужи рокове отплате Кредита, није потребна никаква даља потврда ове изјаве</w:t>
      </w:r>
      <w:r w:rsidR="00B16F8D" w:rsidRPr="00895819">
        <w:rPr>
          <w:lang w:val="sr-Cyrl-CS"/>
        </w:rPr>
        <w:t>.</w:t>
      </w:r>
    </w:p>
    <w:p w14:paraId="7D6FE663" w14:textId="77777777" w:rsidR="00B16F8D" w:rsidRPr="00895819" w:rsidRDefault="00493CCE" w:rsidP="00B16F8D">
      <w:pPr>
        <w:pStyle w:val="BodyText1"/>
        <w:rPr>
          <w:lang w:val="sr-Cyrl-CS"/>
        </w:rPr>
      </w:pPr>
      <w:r w:rsidRPr="00895819">
        <w:rPr>
          <w:lang w:val="sr-Cyrl-CS"/>
        </w:rPr>
        <w:t>Зајмопримац ће на одговарајући начин прибавити евре неопходне за испуњење услова из ове изјаве</w:t>
      </w:r>
      <w:r w:rsidR="00B16F8D" w:rsidRPr="00895819">
        <w:rPr>
          <w:lang w:val="sr-Cyrl-CS"/>
        </w:rPr>
        <w:t>.</w:t>
      </w:r>
    </w:p>
    <w:p w14:paraId="48E65628" w14:textId="5F3DBE3C" w:rsidR="00B16F8D" w:rsidRPr="00895819" w:rsidRDefault="00493CCE" w:rsidP="00B16F8D">
      <w:pPr>
        <w:pStyle w:val="BodyText1"/>
        <w:rPr>
          <w:lang w:val="sr-Cyrl-CS"/>
        </w:rPr>
      </w:pPr>
      <w:r w:rsidRPr="00895819">
        <w:rPr>
          <w:lang w:val="sr-Cyrl-CS"/>
        </w:rPr>
        <w:t>У случају настанка било каквих тешкоћа из било ко</w:t>
      </w:r>
      <w:r w:rsidR="00727993" w:rsidRPr="00895819">
        <w:rPr>
          <w:lang w:val="sr-Cyrl-CS"/>
        </w:rPr>
        <w:t>г</w:t>
      </w:r>
      <w:r w:rsidRPr="00895819">
        <w:rPr>
          <w:lang w:val="sr-Cyrl-CS"/>
        </w:rPr>
        <w:t xml:space="preserve"> разлога у погледу права Зајмодавца на конверзију и слободан </w:t>
      </w:r>
      <w:r w:rsidR="009609FE" w:rsidRPr="00895819">
        <w:rPr>
          <w:lang w:val="sr-Cyrl-CS"/>
        </w:rPr>
        <w:t>пренос било ког износа из овог у</w:t>
      </w:r>
      <w:r w:rsidRPr="00895819">
        <w:rPr>
          <w:lang w:val="sr-Cyrl-CS"/>
        </w:rPr>
        <w:t>говора и то укључујући али не ограничавајући се на</w:t>
      </w:r>
      <w:r w:rsidR="00B16F8D" w:rsidRPr="00895819">
        <w:rPr>
          <w:lang w:val="sr-Cyrl-CS"/>
        </w:rPr>
        <w:t xml:space="preserve">: (i) </w:t>
      </w:r>
      <w:r w:rsidRPr="00895819">
        <w:rPr>
          <w:lang w:val="sr-Cyrl-CS"/>
        </w:rPr>
        <w:t xml:space="preserve">ступања на снагу новог или измене и допуне било ког закона или прописа, или измене тумачења или примене било ког постојећег закона или прописа; или </w:t>
      </w:r>
      <w:r w:rsidR="00B16F8D" w:rsidRPr="00895819">
        <w:rPr>
          <w:lang w:val="sr-Cyrl-CS"/>
        </w:rPr>
        <w:t xml:space="preserve">(ii) </w:t>
      </w:r>
      <w:r w:rsidRPr="00895819">
        <w:rPr>
          <w:lang w:val="sr-Cyrl-CS"/>
        </w:rPr>
        <w:t>поштовањ</w:t>
      </w:r>
      <w:r w:rsidR="00727993" w:rsidRPr="00895819">
        <w:rPr>
          <w:lang w:val="sr-Cyrl-CS"/>
        </w:rPr>
        <w:t>е</w:t>
      </w:r>
      <w:r w:rsidRPr="00895819">
        <w:rPr>
          <w:lang w:val="sr-Cyrl-CS"/>
        </w:rPr>
        <w:t xml:space="preserve"> било ког закона или прописа који ступи на снагу након Да</w:t>
      </w:r>
      <w:r w:rsidR="00FA5791" w:rsidRPr="00895819">
        <w:rPr>
          <w:lang w:val="sr-Cyrl-CS"/>
        </w:rPr>
        <w:t>тума</w:t>
      </w:r>
      <w:r w:rsidRPr="00895819">
        <w:rPr>
          <w:lang w:val="sr-Cyrl-CS"/>
        </w:rPr>
        <w:t xml:space="preserve"> потписивања; Зајмодавац ће, без одлагања, прибавити све неопходне потврде/дозволе од надлежних органа (укључујући и Народну банку Србије) да би се обезбедила слободна конвертибилност и преносивост свих износа ко</w:t>
      </w:r>
      <w:r w:rsidR="009609FE" w:rsidRPr="00895819">
        <w:rPr>
          <w:lang w:val="sr-Cyrl-CS"/>
        </w:rPr>
        <w:t>ји се плаћају у складу са овим у</w:t>
      </w:r>
      <w:r w:rsidRPr="00895819">
        <w:rPr>
          <w:lang w:val="sr-Cyrl-CS"/>
        </w:rPr>
        <w:t>говором</w:t>
      </w:r>
      <w:r w:rsidR="00B16F8D" w:rsidRPr="00895819">
        <w:rPr>
          <w:lang w:val="sr-Cyrl-CS"/>
        </w:rPr>
        <w:t>.</w:t>
      </w:r>
    </w:p>
    <w:p w14:paraId="47840F7A" w14:textId="77777777" w:rsidR="00B16F8D" w:rsidRPr="00895819" w:rsidRDefault="00260F6A" w:rsidP="000F181A">
      <w:pPr>
        <w:pStyle w:val="AATitre2"/>
        <w:rPr>
          <w:u w:val="none"/>
          <w:lang w:val="sr-Cyrl-CS"/>
        </w:rPr>
      </w:pPr>
      <w:bookmarkStart w:id="83" w:name="_Toc135947168"/>
      <w:r w:rsidRPr="00895819">
        <w:rPr>
          <w:lang w:val="sr-Cyrl-CS"/>
        </w:rPr>
        <w:t>Одсуство сукоба са другим обавезама</w:t>
      </w:r>
      <w:bookmarkEnd w:id="83"/>
    </w:p>
    <w:p w14:paraId="30529815" w14:textId="14510182" w:rsidR="00B16F8D" w:rsidRPr="00895819" w:rsidRDefault="009609FE" w:rsidP="00B16F8D">
      <w:pPr>
        <w:pStyle w:val="BodyText1"/>
        <w:rPr>
          <w:lang w:val="sr-Cyrl-CS"/>
        </w:rPr>
      </w:pPr>
      <w:r w:rsidRPr="00895819">
        <w:rPr>
          <w:lang w:val="sr-Cyrl-CS"/>
        </w:rPr>
        <w:t>Закључење и извршење овог у</w:t>
      </w:r>
      <w:r w:rsidR="00E16078" w:rsidRPr="00895819">
        <w:rPr>
          <w:lang w:val="sr-Cyrl-CS"/>
        </w:rPr>
        <w:t>говора и трансакција које су њ</w:t>
      </w:r>
      <w:r w:rsidR="00727993" w:rsidRPr="00895819">
        <w:rPr>
          <w:lang w:val="sr-Cyrl-CS"/>
        </w:rPr>
        <w:t>и</w:t>
      </w:r>
      <w:r w:rsidR="00E16078" w:rsidRPr="00895819">
        <w:rPr>
          <w:lang w:val="sr-Cyrl-CS"/>
        </w:rPr>
        <w:t xml:space="preserve">ме предвиђене од стране Зајмопримца </w:t>
      </w:r>
      <w:r w:rsidR="002722D1" w:rsidRPr="00895819">
        <w:rPr>
          <w:lang w:val="sr-Cyrl-CS"/>
        </w:rPr>
        <w:t>није у</w:t>
      </w:r>
      <w:r w:rsidR="00E16078" w:rsidRPr="00895819">
        <w:rPr>
          <w:lang w:val="sr-Cyrl-CS"/>
        </w:rPr>
        <w:t xml:space="preserve"> сукоб</w:t>
      </w:r>
      <w:r w:rsidR="002722D1" w:rsidRPr="00895819">
        <w:rPr>
          <w:lang w:val="sr-Cyrl-CS"/>
        </w:rPr>
        <w:t>у</w:t>
      </w:r>
      <w:r w:rsidR="00E16078" w:rsidRPr="00895819">
        <w:rPr>
          <w:lang w:val="sr-Cyrl-CS"/>
        </w:rPr>
        <w:t xml:space="preserve"> са било којим домаћим или иностраним законом или прописом, </w:t>
      </w:r>
      <w:r w:rsidR="002722D1" w:rsidRPr="00895819">
        <w:rPr>
          <w:lang w:val="sr-Cyrl-CS"/>
        </w:rPr>
        <w:t>уставом</w:t>
      </w:r>
      <w:r w:rsidR="00E16078" w:rsidRPr="00895819">
        <w:rPr>
          <w:lang w:val="sr-Cyrl-CS"/>
        </w:rPr>
        <w:t xml:space="preserve"> (или другим сличним документима) </w:t>
      </w:r>
      <w:r w:rsidR="002722D1" w:rsidRPr="00895819">
        <w:rPr>
          <w:lang w:val="sr-Cyrl-CS"/>
        </w:rPr>
        <w:t>нити</w:t>
      </w:r>
      <w:r w:rsidR="00E16078" w:rsidRPr="00895819">
        <w:rPr>
          <w:lang w:val="sr-Cyrl-CS"/>
        </w:rPr>
        <w:t xml:space="preserve"> било којим споразумом или инструментом који је обавезујући за Зајмопримца или који утиче на било коју његову имовину</w:t>
      </w:r>
      <w:r w:rsidR="00B16F8D" w:rsidRPr="00895819">
        <w:rPr>
          <w:lang w:val="sr-Cyrl-CS"/>
        </w:rPr>
        <w:t>.</w:t>
      </w:r>
    </w:p>
    <w:p w14:paraId="6BA13285" w14:textId="77777777" w:rsidR="00B16F8D" w:rsidRPr="00895819" w:rsidRDefault="00E16078" w:rsidP="000F181A">
      <w:pPr>
        <w:pStyle w:val="AATitre2"/>
        <w:rPr>
          <w:u w:val="none"/>
          <w:lang w:val="sr-Cyrl-CS"/>
        </w:rPr>
      </w:pPr>
      <w:bookmarkStart w:id="84" w:name="_Toc135947169"/>
      <w:r w:rsidRPr="00895819">
        <w:rPr>
          <w:lang w:val="sr-Cyrl-CS"/>
        </w:rPr>
        <w:lastRenderedPageBreak/>
        <w:t>Меродавно право и извршење</w:t>
      </w:r>
      <w:bookmarkEnd w:id="84"/>
    </w:p>
    <w:p w14:paraId="221C10CE" w14:textId="07B4CACA" w:rsidR="00B16F8D" w:rsidRPr="00895819" w:rsidRDefault="005D63B7" w:rsidP="005D63B7">
      <w:pPr>
        <w:pStyle w:val="AATitre4"/>
        <w:numPr>
          <w:ilvl w:val="0"/>
          <w:numId w:val="0"/>
        </w:numPr>
        <w:ind w:left="1440" w:hanging="720"/>
        <w:rPr>
          <w:lang w:val="sr-Cyrl-CS"/>
        </w:rPr>
      </w:pPr>
      <w:r w:rsidRPr="00895819">
        <w:rPr>
          <w:lang w:val="sr-Cyrl-CS"/>
        </w:rPr>
        <w:t>(а)</w:t>
      </w:r>
      <w:r w:rsidRPr="00895819">
        <w:rPr>
          <w:lang w:val="sr-Cyrl-CS"/>
        </w:rPr>
        <w:tab/>
      </w:r>
      <w:r w:rsidR="00E16078" w:rsidRPr="00895819">
        <w:rPr>
          <w:lang w:val="sr-Cyrl-CS"/>
        </w:rPr>
        <w:t xml:space="preserve">Право Француске је </w:t>
      </w:r>
      <w:r w:rsidR="009609FE" w:rsidRPr="00895819">
        <w:rPr>
          <w:lang w:val="sr-Cyrl-CS"/>
        </w:rPr>
        <w:t>меродавно право у погледу овог у</w:t>
      </w:r>
      <w:r w:rsidR="00E16078" w:rsidRPr="00895819">
        <w:rPr>
          <w:lang w:val="sr-Cyrl-CS"/>
        </w:rPr>
        <w:t xml:space="preserve">говора </w:t>
      </w:r>
      <w:r w:rsidR="00A576E6" w:rsidRPr="00895819">
        <w:rPr>
          <w:lang w:val="sr-Cyrl-CS"/>
        </w:rPr>
        <w:t>и њега ће признати и спроводити судови и арбитражна судови у јурисдикцији Зајмопримца</w:t>
      </w:r>
      <w:r w:rsidR="00B16F8D" w:rsidRPr="00895819">
        <w:rPr>
          <w:lang w:val="sr-Cyrl-CS"/>
        </w:rPr>
        <w:t>.</w:t>
      </w:r>
    </w:p>
    <w:p w14:paraId="29BD654F" w14:textId="2799FC09" w:rsidR="00B16F8D" w:rsidRPr="00895819" w:rsidRDefault="005D63B7" w:rsidP="005D63B7">
      <w:pPr>
        <w:pStyle w:val="AATitre4"/>
        <w:numPr>
          <w:ilvl w:val="0"/>
          <w:numId w:val="0"/>
        </w:numPr>
        <w:ind w:left="1440" w:hanging="720"/>
        <w:rPr>
          <w:lang w:val="sr-Cyrl-CS"/>
        </w:rPr>
      </w:pPr>
      <w:r w:rsidRPr="00895819">
        <w:rPr>
          <w:lang w:val="sr-Cyrl-CS"/>
        </w:rPr>
        <w:t>(б)</w:t>
      </w:r>
      <w:r w:rsidRPr="00895819">
        <w:rPr>
          <w:lang w:val="sr-Cyrl-CS"/>
        </w:rPr>
        <w:tab/>
      </w:r>
      <w:r w:rsidR="00A576E6" w:rsidRPr="00895819">
        <w:rPr>
          <w:lang w:val="sr-Cyrl-CS"/>
        </w:rPr>
        <w:t>Било која судск</w:t>
      </w:r>
      <w:r w:rsidR="009609FE" w:rsidRPr="00895819">
        <w:rPr>
          <w:lang w:val="sr-Cyrl-CS"/>
        </w:rPr>
        <w:t>а одлука донета у погледу овог у</w:t>
      </w:r>
      <w:r w:rsidR="00A576E6" w:rsidRPr="00895819">
        <w:rPr>
          <w:lang w:val="sr-Cyrl-CS"/>
        </w:rPr>
        <w:t>говора у суду Француске или било која одлука арбитражног суда признаће се и спроводити у јурисдикцији у којој Зајмопримац има седиште</w:t>
      </w:r>
      <w:r w:rsidR="00B16F8D" w:rsidRPr="00895819">
        <w:rPr>
          <w:lang w:val="sr-Cyrl-CS"/>
        </w:rPr>
        <w:t>.</w:t>
      </w:r>
    </w:p>
    <w:p w14:paraId="61E4638F" w14:textId="77777777" w:rsidR="00B16F8D" w:rsidRPr="00895819" w:rsidRDefault="00707636" w:rsidP="000F181A">
      <w:pPr>
        <w:pStyle w:val="AATitre2"/>
        <w:rPr>
          <w:u w:val="none"/>
          <w:lang w:val="sr-Cyrl-CS"/>
        </w:rPr>
      </w:pPr>
      <w:bookmarkStart w:id="85" w:name="_Toc135947170"/>
      <w:r w:rsidRPr="00895819">
        <w:rPr>
          <w:lang w:val="sr-Cyrl-CS"/>
        </w:rPr>
        <w:t>Одсуство</w:t>
      </w:r>
      <w:r w:rsidR="00D63A77" w:rsidRPr="00895819">
        <w:rPr>
          <w:lang w:val="sr-Cyrl-CS"/>
        </w:rPr>
        <w:t xml:space="preserve"> неизвршења обавеза</w:t>
      </w:r>
      <w:bookmarkEnd w:id="85"/>
    </w:p>
    <w:p w14:paraId="11CC5951" w14:textId="77777777" w:rsidR="00B16F8D" w:rsidRPr="00895819" w:rsidRDefault="00D63A77" w:rsidP="00B16F8D">
      <w:pPr>
        <w:pStyle w:val="BodyText1"/>
        <w:rPr>
          <w:lang w:val="sr-Cyrl-CS"/>
        </w:rPr>
      </w:pPr>
      <w:r w:rsidRPr="00895819">
        <w:rPr>
          <w:lang w:val="sr-Cyrl-CS"/>
        </w:rPr>
        <w:t>Ни један случај неизвршења обавеза не траје нити би се разумно могло очекивати да ће до њега доћи</w:t>
      </w:r>
      <w:r w:rsidR="00B16F8D" w:rsidRPr="00895819">
        <w:rPr>
          <w:lang w:val="sr-Cyrl-CS"/>
        </w:rPr>
        <w:t>.</w:t>
      </w:r>
    </w:p>
    <w:p w14:paraId="678B2F45" w14:textId="77777777" w:rsidR="00B16F8D" w:rsidRPr="00895819" w:rsidRDefault="00D63A77" w:rsidP="00B16F8D">
      <w:pPr>
        <w:pStyle w:val="BodyText1"/>
        <w:rPr>
          <w:lang w:val="sr-Cyrl-CS"/>
        </w:rPr>
      </w:pPr>
      <w:r w:rsidRPr="00895819">
        <w:rPr>
          <w:lang w:val="sr-Cyrl-CS"/>
        </w:rPr>
        <w:t>Зајмопримац не крши ниједан споразум који је обавезујући за њега или утиче на његову имовину који има или постоји разумна вероватноћа да ће имати Значајне негативне последице</w:t>
      </w:r>
      <w:r w:rsidR="00B16F8D" w:rsidRPr="00895819">
        <w:rPr>
          <w:lang w:val="sr-Cyrl-CS"/>
        </w:rPr>
        <w:t xml:space="preserve">. </w:t>
      </w:r>
    </w:p>
    <w:p w14:paraId="61A168C5" w14:textId="77777777" w:rsidR="00B16F8D" w:rsidRPr="00895819" w:rsidRDefault="00D63A77" w:rsidP="000F181A">
      <w:pPr>
        <w:pStyle w:val="AATitre2"/>
        <w:rPr>
          <w:u w:val="none"/>
          <w:lang w:val="sr-Cyrl-CS"/>
        </w:rPr>
      </w:pPr>
      <w:bookmarkStart w:id="86" w:name="_Toc135947171"/>
      <w:r w:rsidRPr="00895819">
        <w:rPr>
          <w:lang w:val="sr-Cyrl-CS"/>
        </w:rPr>
        <w:t xml:space="preserve">Одсуство информација које наводе </w:t>
      </w:r>
      <w:r w:rsidR="00B10524" w:rsidRPr="00895819">
        <w:rPr>
          <w:lang w:val="sr-Cyrl-CS"/>
        </w:rPr>
        <w:t>у заблуду</w:t>
      </w:r>
      <w:bookmarkEnd w:id="86"/>
    </w:p>
    <w:p w14:paraId="083D2D54" w14:textId="77777777" w:rsidR="00B16F8D" w:rsidRPr="00895819" w:rsidRDefault="00865E63" w:rsidP="00B16F8D">
      <w:pPr>
        <w:pStyle w:val="BodyText1"/>
        <w:rPr>
          <w:lang w:val="sr-Cyrl-CS"/>
        </w:rPr>
      </w:pPr>
      <w:r w:rsidRPr="00895819">
        <w:rPr>
          <w:lang w:val="sr-Cyrl-CS"/>
        </w:rPr>
        <w:t xml:space="preserve">Све информације и документација које је Зајмопримац доставио Зајмодавцу били су истинити, тачни и ажурни на дан достављања, или, </w:t>
      </w:r>
      <w:r w:rsidR="002238B7" w:rsidRPr="00895819">
        <w:rPr>
          <w:lang w:val="sr-Cyrl-CS"/>
        </w:rPr>
        <w:t>зависно од случаја</w:t>
      </w:r>
      <w:r w:rsidRPr="00895819">
        <w:rPr>
          <w:lang w:val="sr-Cyrl-CS"/>
        </w:rPr>
        <w:t>, на дан који је наведен као дан достављања, и нису измењени, опозвани, поништени или продужени под промењеним условима, и не наводе на погрешан закључак на било који значајан начин услед изостављања података, настанка нових околности или откривања или неоткривања било каквих информација</w:t>
      </w:r>
      <w:r w:rsidR="00B16F8D" w:rsidRPr="00895819">
        <w:rPr>
          <w:lang w:val="sr-Cyrl-CS"/>
        </w:rPr>
        <w:t>.</w:t>
      </w:r>
    </w:p>
    <w:p w14:paraId="2E00A83D" w14:textId="77777777" w:rsidR="00B16F8D" w:rsidRPr="00895819" w:rsidRDefault="00865E63" w:rsidP="000F181A">
      <w:pPr>
        <w:pStyle w:val="AATitre2"/>
        <w:rPr>
          <w:u w:val="none"/>
          <w:lang w:val="sr-Cyrl-CS"/>
        </w:rPr>
      </w:pPr>
      <w:bookmarkStart w:id="87" w:name="_Toc135947172"/>
      <w:r w:rsidRPr="00895819">
        <w:rPr>
          <w:lang w:val="sr-Cyrl-CS"/>
        </w:rPr>
        <w:t xml:space="preserve">Статус </w:t>
      </w:r>
      <w:r w:rsidR="00B16F8D" w:rsidRPr="00895819">
        <w:rPr>
          <w:lang w:val="sr-Cyrl-CS"/>
        </w:rPr>
        <w:t>Pari Passu</w:t>
      </w:r>
      <w:bookmarkEnd w:id="87"/>
      <w:r w:rsidR="00B16F8D" w:rsidRPr="00895819">
        <w:rPr>
          <w:lang w:val="sr-Cyrl-CS"/>
        </w:rPr>
        <w:t xml:space="preserve"> </w:t>
      </w:r>
    </w:p>
    <w:p w14:paraId="6A42F2E4" w14:textId="564E6192" w:rsidR="00B16F8D" w:rsidRPr="00895819" w:rsidRDefault="00865E63" w:rsidP="00B16F8D">
      <w:pPr>
        <w:pStyle w:val="BodyText1"/>
        <w:rPr>
          <w:lang w:val="sr-Cyrl-CS"/>
        </w:rPr>
      </w:pPr>
      <w:r w:rsidRPr="00895819">
        <w:rPr>
          <w:lang w:val="sr-Cyrl-CS"/>
        </w:rPr>
        <w:t xml:space="preserve">Потраживања Зајмодавца по основу </w:t>
      </w:r>
      <w:r w:rsidR="009609FE" w:rsidRPr="00895819">
        <w:rPr>
          <w:lang w:val="sr-Cyrl-CS"/>
        </w:rPr>
        <w:t>овог у</w:t>
      </w:r>
      <w:r w:rsidR="004526EF" w:rsidRPr="00895819">
        <w:rPr>
          <w:lang w:val="sr-Cyrl-CS"/>
        </w:rPr>
        <w:t xml:space="preserve">говора </w:t>
      </w:r>
      <w:r w:rsidRPr="00895819">
        <w:rPr>
          <w:lang w:val="sr-Cyrl-CS"/>
        </w:rPr>
        <w:t xml:space="preserve">имају у најмању руку статус </w:t>
      </w:r>
      <w:r w:rsidRPr="00895819">
        <w:rPr>
          <w:i/>
          <w:iCs/>
          <w:lang w:val="sr-Cyrl-CS"/>
        </w:rPr>
        <w:t>pari passu</w:t>
      </w:r>
      <w:r w:rsidRPr="00895819">
        <w:rPr>
          <w:lang w:val="sr-Cyrl-CS"/>
        </w:rPr>
        <w:t xml:space="preserve"> са потраживањима свих других стечајних и разлучних поверилаца Зајмопримца</w:t>
      </w:r>
      <w:r w:rsidR="00B16F8D" w:rsidRPr="00895819">
        <w:rPr>
          <w:lang w:val="sr-Cyrl-CS"/>
        </w:rPr>
        <w:t>.</w:t>
      </w:r>
    </w:p>
    <w:p w14:paraId="256D00A7" w14:textId="77777777" w:rsidR="00B16F8D" w:rsidRPr="00895819" w:rsidRDefault="00865E63" w:rsidP="000F181A">
      <w:pPr>
        <w:pStyle w:val="AATitre2"/>
        <w:rPr>
          <w:lang w:val="sr-Cyrl-CS"/>
        </w:rPr>
      </w:pPr>
      <w:bookmarkStart w:id="88" w:name="_Toc135947173"/>
      <w:r w:rsidRPr="00895819">
        <w:rPr>
          <w:lang w:val="sr-Cyrl-CS"/>
        </w:rPr>
        <w:t xml:space="preserve">Законито порекло средстава и </w:t>
      </w:r>
      <w:r w:rsidR="00741DE3" w:rsidRPr="00895819">
        <w:rPr>
          <w:lang w:val="sr-Cyrl-CS"/>
        </w:rPr>
        <w:t>З</w:t>
      </w:r>
      <w:r w:rsidRPr="00895819">
        <w:rPr>
          <w:lang w:val="sr-Cyrl-CS"/>
        </w:rPr>
        <w:t>абрањене радње</w:t>
      </w:r>
      <w:bookmarkEnd w:id="88"/>
    </w:p>
    <w:p w14:paraId="61BEC8C1" w14:textId="77777777" w:rsidR="00B16F8D" w:rsidRPr="00895819" w:rsidRDefault="00865E63" w:rsidP="00B16F8D">
      <w:pPr>
        <w:pStyle w:val="BodyText1"/>
        <w:rPr>
          <w:lang w:val="sr-Cyrl-CS"/>
        </w:rPr>
      </w:pPr>
      <w:r w:rsidRPr="00895819">
        <w:rPr>
          <w:lang w:val="sr-Cyrl-CS"/>
        </w:rPr>
        <w:t>Зајмопримац изјављује и гарантује</w:t>
      </w:r>
      <w:r w:rsidR="00B16F8D" w:rsidRPr="00895819">
        <w:rPr>
          <w:lang w:val="sr-Cyrl-CS"/>
        </w:rPr>
        <w:t xml:space="preserve">: </w:t>
      </w:r>
    </w:p>
    <w:p w14:paraId="6F2875E4" w14:textId="666A8C8B" w:rsidR="00B16F8D" w:rsidRPr="00895819" w:rsidRDefault="005D63B7" w:rsidP="005D63B7">
      <w:pPr>
        <w:pStyle w:val="AATitre6"/>
        <w:numPr>
          <w:ilvl w:val="0"/>
          <w:numId w:val="0"/>
        </w:numPr>
        <w:ind w:left="1410" w:hanging="600"/>
        <w:rPr>
          <w:lang w:val="sr-Cyrl-CS"/>
        </w:rPr>
      </w:pPr>
      <w:r w:rsidRPr="00895819">
        <w:rPr>
          <w:lang w:val="sr-Cyrl-CS"/>
        </w:rPr>
        <w:t>(а)</w:t>
      </w:r>
      <w:r w:rsidRPr="00895819">
        <w:rPr>
          <w:lang w:val="sr-Cyrl-CS"/>
        </w:rPr>
        <w:tab/>
      </w:r>
      <w:r w:rsidR="00766160" w:rsidRPr="00895819">
        <w:rPr>
          <w:lang w:val="sr-Cyrl-CS"/>
        </w:rPr>
        <w:t>да сва средства опредељена за подршку Операцији потичу или ће потицати из средстава Кредита</w:t>
      </w:r>
      <w:r w:rsidR="00B16F8D" w:rsidRPr="00895819">
        <w:rPr>
          <w:lang w:val="sr-Cyrl-CS"/>
        </w:rPr>
        <w:t>,</w:t>
      </w:r>
      <w:r w:rsidR="00766160" w:rsidRPr="00895819">
        <w:rPr>
          <w:lang w:val="sr-Cyrl-CS"/>
        </w:rPr>
        <w:t xml:space="preserve"> суфинансирања и државног буџета, у складу са Законом о буџету Републике Србије од године у којој је Уговор потписан до Датума завршетка Операције</w:t>
      </w:r>
      <w:r w:rsidR="00B16F8D" w:rsidRPr="00895819">
        <w:rPr>
          <w:lang w:val="sr-Cyrl-CS"/>
        </w:rPr>
        <w:t>;</w:t>
      </w:r>
    </w:p>
    <w:p w14:paraId="7E3FAD9A" w14:textId="2B4B3131" w:rsidR="00B16F8D" w:rsidRPr="00895819" w:rsidRDefault="005D63B7" w:rsidP="005D63B7">
      <w:pPr>
        <w:pStyle w:val="AATitre6"/>
        <w:numPr>
          <w:ilvl w:val="0"/>
          <w:numId w:val="0"/>
        </w:numPr>
        <w:ind w:left="720" w:firstLine="90"/>
        <w:rPr>
          <w:lang w:val="sr-Cyrl-CS"/>
        </w:rPr>
      </w:pPr>
      <w:r w:rsidRPr="00895819">
        <w:rPr>
          <w:lang w:val="sr-Cyrl-CS"/>
        </w:rPr>
        <w:t>(б)</w:t>
      </w:r>
      <w:r w:rsidRPr="00895819">
        <w:rPr>
          <w:lang w:val="sr-Cyrl-CS"/>
        </w:rPr>
        <w:tab/>
      </w:r>
      <w:r w:rsidR="00766160" w:rsidRPr="00895819">
        <w:rPr>
          <w:lang w:val="sr-Cyrl-CS"/>
        </w:rPr>
        <w:t>да Операција за последицу нема никакву Забрањену радњу</w:t>
      </w:r>
      <w:r w:rsidR="00B16F8D" w:rsidRPr="00895819">
        <w:rPr>
          <w:lang w:val="sr-Cyrl-CS"/>
        </w:rPr>
        <w:t xml:space="preserve">; </w:t>
      </w:r>
    </w:p>
    <w:p w14:paraId="6BF3DDDC" w14:textId="7368CA1E" w:rsidR="00B16F8D" w:rsidRPr="00895819" w:rsidRDefault="005D63B7" w:rsidP="005D63B7">
      <w:pPr>
        <w:pStyle w:val="AATitre6"/>
        <w:numPr>
          <w:ilvl w:val="0"/>
          <w:numId w:val="0"/>
        </w:numPr>
        <w:ind w:left="1410" w:hanging="600"/>
        <w:rPr>
          <w:lang w:val="sr-Cyrl-CS"/>
        </w:rPr>
      </w:pPr>
      <w:r w:rsidRPr="00895819">
        <w:rPr>
          <w:lang w:val="sr-Cyrl-CS"/>
        </w:rPr>
        <w:t>(ц)</w:t>
      </w:r>
      <w:r w:rsidRPr="00895819">
        <w:rPr>
          <w:lang w:val="sr-Cyrl-CS"/>
        </w:rPr>
        <w:tab/>
      </w:r>
      <w:r w:rsidR="00766160" w:rsidRPr="00895819">
        <w:rPr>
          <w:lang w:val="sr-Cyrl-CS"/>
        </w:rPr>
        <w:t xml:space="preserve">да се није обавезао нити учествовао у било којој радњи која је у супротности са важећим законом о </w:t>
      </w:r>
      <w:r w:rsidR="00E37609" w:rsidRPr="00895819">
        <w:rPr>
          <w:lang w:val="sr-Cyrl-CS"/>
        </w:rPr>
        <w:t>спречавању</w:t>
      </w:r>
      <w:r w:rsidR="00766160" w:rsidRPr="00895819">
        <w:rPr>
          <w:lang w:val="sr-Cyrl-CS"/>
        </w:rPr>
        <w:t xml:space="preserve"> прања новца и финансирањ</w:t>
      </w:r>
      <w:r w:rsidR="00E37609" w:rsidRPr="00895819">
        <w:rPr>
          <w:lang w:val="sr-Cyrl-CS"/>
        </w:rPr>
        <w:t>у</w:t>
      </w:r>
      <w:r w:rsidR="00766160" w:rsidRPr="00895819">
        <w:rPr>
          <w:lang w:val="sr-Cyrl-CS"/>
        </w:rPr>
        <w:t xml:space="preserve"> тероризма</w:t>
      </w:r>
      <w:r w:rsidR="0044722B" w:rsidRPr="00895819">
        <w:rPr>
          <w:lang w:val="sr-Cyrl-CS"/>
        </w:rPr>
        <w:t>.</w:t>
      </w:r>
    </w:p>
    <w:p w14:paraId="059336F0" w14:textId="77777777" w:rsidR="00B16F8D" w:rsidRPr="00895819" w:rsidRDefault="00766160" w:rsidP="000F181A">
      <w:pPr>
        <w:pStyle w:val="AATitre2"/>
        <w:rPr>
          <w:u w:val="none"/>
          <w:lang w:val="sr-Cyrl-CS"/>
        </w:rPr>
      </w:pPr>
      <w:bookmarkStart w:id="89" w:name="_Toc135947174"/>
      <w:r w:rsidRPr="00895819">
        <w:rPr>
          <w:lang w:val="sr-Cyrl-CS"/>
        </w:rPr>
        <w:t>Одсуство значајних негативних последица</w:t>
      </w:r>
      <w:bookmarkEnd w:id="89"/>
    </w:p>
    <w:p w14:paraId="7BAF4BF5" w14:textId="77777777" w:rsidR="00B16F8D" w:rsidRPr="00895819" w:rsidRDefault="00766160" w:rsidP="00B16F8D">
      <w:pPr>
        <w:pStyle w:val="BodyText1"/>
        <w:rPr>
          <w:lang w:val="sr-Cyrl-CS"/>
        </w:rPr>
      </w:pPr>
      <w:r w:rsidRPr="00895819">
        <w:rPr>
          <w:lang w:val="sr-Cyrl-CS"/>
        </w:rPr>
        <w:t>Зајмопримац изјављује и гарантује да није наступио нити постоји вероватноћа да ће наступити било какав случај нити околност која може имати Значајне негативне последице</w:t>
      </w:r>
      <w:r w:rsidR="00B16F8D" w:rsidRPr="00895819">
        <w:rPr>
          <w:lang w:val="sr-Cyrl-CS"/>
        </w:rPr>
        <w:t>.</w:t>
      </w:r>
    </w:p>
    <w:p w14:paraId="0F01EDBE" w14:textId="77777777" w:rsidR="00B16F8D" w:rsidRPr="00895819" w:rsidRDefault="00766160" w:rsidP="000F181A">
      <w:pPr>
        <w:pStyle w:val="AATitre2"/>
        <w:rPr>
          <w:lang w:val="sr-Cyrl-CS"/>
        </w:rPr>
      </w:pPr>
      <w:bookmarkStart w:id="90" w:name="_Toc135947175"/>
      <w:r w:rsidRPr="00895819">
        <w:rPr>
          <w:lang w:val="sr-Cyrl-CS"/>
        </w:rPr>
        <w:t>Одрицање од имунитета</w:t>
      </w:r>
      <w:bookmarkEnd w:id="90"/>
    </w:p>
    <w:p w14:paraId="580A4FB0" w14:textId="18492202" w:rsidR="00B16F8D" w:rsidRPr="00895819" w:rsidRDefault="00425943" w:rsidP="00225DCB">
      <w:pPr>
        <w:pStyle w:val="BodyText1"/>
        <w:rPr>
          <w:lang w:val="sr-Cyrl-CS"/>
        </w:rPr>
      </w:pPr>
      <w:r w:rsidRPr="00895819">
        <w:rPr>
          <w:lang w:val="sr-Cyrl-CS"/>
        </w:rPr>
        <w:t xml:space="preserve">Ако, и у мери у којој се Зајмопримац може тренутно или у будућности у било којој јурисдикцији позвати на имунитет за себе или своју имовину, и у мери у којој таква </w:t>
      </w:r>
      <w:r w:rsidRPr="00895819">
        <w:rPr>
          <w:lang w:val="sr-Cyrl-CS"/>
        </w:rPr>
        <w:lastRenderedPageBreak/>
        <w:t>јурисдикција допусти Зајмопримцу коришћење имунитета, Зајмопримац неће имати право да се у своју корист или у корист било које своје имовину позове на имунитет од тужбе, извршења, пленидбе или дру</w:t>
      </w:r>
      <w:r w:rsidR="009609FE" w:rsidRPr="00895819">
        <w:rPr>
          <w:lang w:val="sr-Cyrl-CS"/>
        </w:rPr>
        <w:t>ге правне радње у вези са овим у</w:t>
      </w:r>
      <w:r w:rsidRPr="00895819">
        <w:rPr>
          <w:lang w:val="sr-Cyrl-CS"/>
        </w:rPr>
        <w:t>говором у пуној мери у којој је до допуштено законима такве јурисдикције</w:t>
      </w:r>
      <w:r w:rsidR="00B16F8D" w:rsidRPr="00895819">
        <w:rPr>
          <w:lang w:val="sr-Cyrl-CS"/>
        </w:rPr>
        <w:t xml:space="preserve">. </w:t>
      </w:r>
    </w:p>
    <w:p w14:paraId="1E9FFF96" w14:textId="65B76B32" w:rsidR="00B16F8D" w:rsidRPr="00895819" w:rsidRDefault="00D97233" w:rsidP="00225DCB">
      <w:pPr>
        <w:pStyle w:val="BodyText1"/>
        <w:rPr>
          <w:lang w:val="sr-Cyrl-CS"/>
        </w:rPr>
      </w:pPr>
      <w:r w:rsidRPr="00895819">
        <w:rPr>
          <w:lang w:val="sr-Cyrl-CS"/>
        </w:rPr>
        <w:t>Зајмопримац се не одриче било каквог имунитета у погледу било којих садашњих или будућих (i) „просторија мисије</w:t>
      </w:r>
      <w:r w:rsidR="003963A8" w:rsidRPr="00895819">
        <w:rPr>
          <w:lang w:val="sr-Cyrl-CS"/>
        </w:rPr>
        <w:t>”</w:t>
      </w:r>
      <w:r w:rsidRPr="00895819">
        <w:rPr>
          <w:lang w:val="sr-Cyrl-CS"/>
        </w:rPr>
        <w:t xml:space="preserve"> у складу са дефиницијом из Бечке конвенције о дипломатским односима из 1961</w:t>
      </w:r>
      <w:r w:rsidR="00840D00" w:rsidRPr="00895819">
        <w:rPr>
          <w:lang w:val="sr-Cyrl-CS"/>
        </w:rPr>
        <w:t>;</w:t>
      </w:r>
      <w:r w:rsidRPr="00895819">
        <w:rPr>
          <w:lang w:val="sr-Cyrl-CS"/>
        </w:rPr>
        <w:t xml:space="preserve"> (ii) „конзуларних просторија</w:t>
      </w:r>
      <w:r w:rsidR="003963A8" w:rsidRPr="00895819">
        <w:rPr>
          <w:lang w:val="sr-Cyrl-CS"/>
        </w:rPr>
        <w:t>”</w:t>
      </w:r>
      <w:r w:rsidRPr="00895819">
        <w:rPr>
          <w:lang w:val="sr-Cyrl-CS"/>
        </w:rPr>
        <w:t xml:space="preserve"> у складу са дефиницијом из Бечке конвенције о конзуларним односима из 1963</w:t>
      </w:r>
      <w:r w:rsidR="00840D00" w:rsidRPr="00895819">
        <w:rPr>
          <w:lang w:val="sr-Cyrl-CS"/>
        </w:rPr>
        <w:t>;</w:t>
      </w:r>
      <w:r w:rsidRPr="00895819">
        <w:rPr>
          <w:lang w:val="sr-Cyrl-CS"/>
        </w:rPr>
        <w:t xml:space="preserve"> (iii) имовине која није предмет правног промета</w:t>
      </w:r>
      <w:r w:rsidR="00840D00" w:rsidRPr="00895819">
        <w:rPr>
          <w:lang w:val="sr-Cyrl-CS"/>
        </w:rPr>
        <w:t>;</w:t>
      </w:r>
      <w:r w:rsidRPr="00895819">
        <w:rPr>
          <w:lang w:val="sr-Cyrl-CS"/>
        </w:rPr>
        <w:t xml:space="preserve"> (iv) војне имовине и објеката, оружја и опреме намењених одбрани и државној и јавној безбедности</w:t>
      </w:r>
      <w:r w:rsidR="00840D00" w:rsidRPr="00895819">
        <w:rPr>
          <w:lang w:val="sr-Cyrl-CS"/>
        </w:rPr>
        <w:t>;</w:t>
      </w:r>
      <w:r w:rsidRPr="00895819">
        <w:rPr>
          <w:lang w:val="sr-Cyrl-CS"/>
        </w:rPr>
        <w:t xml:space="preserve"> (v) потраживања чији је пренос ограничен законом</w:t>
      </w:r>
      <w:r w:rsidR="00840D00" w:rsidRPr="00895819">
        <w:rPr>
          <w:lang w:val="sr-Cyrl-CS"/>
        </w:rPr>
        <w:t>;</w:t>
      </w:r>
      <w:r w:rsidRPr="00895819">
        <w:rPr>
          <w:lang w:val="sr-Cyrl-CS"/>
        </w:rPr>
        <w:t xml:space="preserve"> (vi) природних богатстава, добара у општој употреби, мрежа у јавној својини, водног земљишта и водних објеката у јавној својини, заштићених природних добара у јавној својини, културних добара у јавној својини,</w:t>
      </w:r>
      <w:r w:rsidR="005D63B7" w:rsidRPr="00895819">
        <w:rPr>
          <w:lang w:val="sr-Cyrl-CS"/>
        </w:rPr>
        <w:t xml:space="preserve"> (vii)</w:t>
      </w:r>
      <w:r w:rsidRPr="00895819">
        <w:rPr>
          <w:lang w:val="sr-Cyrl-CS"/>
        </w:rPr>
        <w:t xml:space="preserve"> непокретности у јавној својини које, у целини или делимично, користе органи Републике Србије, аутономне покрајине и јединице локалне самоуправе за остваривање права и дужности; (viii) удела односно акција које јавна предузећа и привредна друштва чији је власник Република Србија, аутономна покрајина или јединица локалне самоуправе имају у привредним друштвима, осим уколико постоји сагласност Републике Србије, аутономне покрајине или јединице локалне самоуправе на успостављање залоге на тим уделима, односно акцијама; (ix) покретних и непокретних ствари које користе здравствене установе, осим у случајевима у којима је хипотека заснована на основу одлуке Владе; (x) новчаних средстава и финансијских инструмената који су утврђени као средство обезбеђења у складу са законом којим се уређује финансијско обезбеђење, укључујући новчана средства и финансијске инструменте на којима је установљено заложно право у складу са тим законом; или (xi) других права и ствари који су међународним правом или међународним уговором изузети од извршења</w:t>
      </w:r>
      <w:r w:rsidR="00B16F8D" w:rsidRPr="00895819">
        <w:rPr>
          <w:lang w:val="sr-Cyrl-CS"/>
        </w:rPr>
        <w:t>.</w:t>
      </w:r>
    </w:p>
    <w:p w14:paraId="7B1CDF80" w14:textId="77777777" w:rsidR="00B16F8D" w:rsidRPr="00895819" w:rsidRDefault="00C818BE" w:rsidP="000F181A">
      <w:pPr>
        <w:pStyle w:val="AATitre2"/>
        <w:rPr>
          <w:lang w:val="sr-Cyrl-CS"/>
        </w:rPr>
      </w:pPr>
      <w:bookmarkStart w:id="91" w:name="_Toc135947176"/>
      <w:r w:rsidRPr="00895819">
        <w:rPr>
          <w:lang w:val="sr-Cyrl-CS"/>
        </w:rPr>
        <w:t>Списак активности искључених из Оквира расхода</w:t>
      </w:r>
      <w:bookmarkEnd w:id="91"/>
    </w:p>
    <w:p w14:paraId="1DB732AE" w14:textId="77777777" w:rsidR="00225DCB" w:rsidRPr="00895819" w:rsidRDefault="00C818BE" w:rsidP="00225DCB">
      <w:pPr>
        <w:pStyle w:val="BodyText1"/>
        <w:rPr>
          <w:lang w:val="sr-Cyrl-CS"/>
        </w:rPr>
      </w:pPr>
      <w:r w:rsidRPr="00895819">
        <w:rPr>
          <w:lang w:val="sr-Cyrl-CS"/>
        </w:rPr>
        <w:t>Зајмопримац изјављује и гарантује да ни један пројекат нити буџетска ставка наведен</w:t>
      </w:r>
      <w:r w:rsidR="00840D00" w:rsidRPr="00895819">
        <w:rPr>
          <w:lang w:val="sr-Cyrl-CS"/>
        </w:rPr>
        <w:t>и</w:t>
      </w:r>
      <w:r w:rsidRPr="00895819">
        <w:rPr>
          <w:lang w:val="sr-Cyrl-CS"/>
        </w:rPr>
        <w:t xml:space="preserve"> у Оквиру расхода у Прилогу </w:t>
      </w:r>
      <w:r w:rsidR="00924CFD" w:rsidRPr="00895819">
        <w:rPr>
          <w:lang w:val="sr-Cyrl-CS"/>
        </w:rPr>
        <w:t>3</w:t>
      </w:r>
      <w:r w:rsidRPr="00895819">
        <w:rPr>
          <w:lang w:val="sr-Cyrl-CS"/>
        </w:rPr>
        <w:t>Ц</w:t>
      </w:r>
      <w:r w:rsidR="00225DCB" w:rsidRPr="00895819">
        <w:rPr>
          <w:lang w:val="sr-Cyrl-CS"/>
        </w:rPr>
        <w:t>:</w:t>
      </w:r>
    </w:p>
    <w:p w14:paraId="181FF662" w14:textId="77777777" w:rsidR="00225DCB" w:rsidRPr="00895819" w:rsidRDefault="00C818BE" w:rsidP="00225DCB">
      <w:pPr>
        <w:pStyle w:val="Bullet1"/>
        <w:ind w:left="1418"/>
        <w:rPr>
          <w:lang w:val="sr-Cyrl-CS"/>
        </w:rPr>
      </w:pPr>
      <w:r w:rsidRPr="00895819">
        <w:rPr>
          <w:lang w:val="sr-Cyrl-CS"/>
        </w:rPr>
        <w:t xml:space="preserve">нису повезани ни на који начин са активностима наведеним на Листи санкција АФД-а датој у Прилогу </w:t>
      </w:r>
      <w:r w:rsidR="00924CFD" w:rsidRPr="00895819">
        <w:rPr>
          <w:lang w:val="sr-Cyrl-CS"/>
        </w:rPr>
        <w:t>9</w:t>
      </w:r>
      <w:r w:rsidR="00225DCB" w:rsidRPr="00895819">
        <w:rPr>
          <w:lang w:val="sr-Cyrl-CS"/>
        </w:rPr>
        <w:t xml:space="preserve"> (</w:t>
      </w:r>
      <w:r w:rsidRPr="00895819">
        <w:rPr>
          <w:i/>
          <w:lang w:val="sr-Cyrl-CS"/>
        </w:rPr>
        <w:t>Списак искључења</w:t>
      </w:r>
      <w:r w:rsidR="00225DCB" w:rsidRPr="00895819">
        <w:rPr>
          <w:lang w:val="sr-Cyrl-CS"/>
        </w:rPr>
        <w:t>);</w:t>
      </w:r>
    </w:p>
    <w:p w14:paraId="1D3BD7C8" w14:textId="77777777" w:rsidR="00225DCB" w:rsidRPr="00895819" w:rsidRDefault="00D6384F" w:rsidP="00225DCB">
      <w:pPr>
        <w:pStyle w:val="Bullet1"/>
        <w:ind w:left="1418"/>
        <w:rPr>
          <w:lang w:val="sr-Cyrl-CS"/>
        </w:rPr>
      </w:pPr>
      <w:r w:rsidRPr="00895819">
        <w:rPr>
          <w:lang w:val="sr-Cyrl-CS"/>
        </w:rPr>
        <w:t>не захтевају куповину земљишта нити расељавање становника</w:t>
      </w:r>
      <w:r w:rsidR="00225DCB" w:rsidRPr="00895819">
        <w:rPr>
          <w:lang w:val="sr-Cyrl-CS"/>
        </w:rPr>
        <w:t>.</w:t>
      </w:r>
    </w:p>
    <w:p w14:paraId="1BD1E6C1" w14:textId="77777777" w:rsidR="00225DCB" w:rsidRPr="00895819" w:rsidRDefault="00C818BE" w:rsidP="000F181A">
      <w:pPr>
        <w:pStyle w:val="AATitre2"/>
        <w:rPr>
          <w:lang w:val="sr-Cyrl-CS"/>
        </w:rPr>
      </w:pPr>
      <w:bookmarkStart w:id="92" w:name="_Toc135947177"/>
      <w:r w:rsidRPr="00895819">
        <w:rPr>
          <w:lang w:val="sr-Cyrl-CS"/>
        </w:rPr>
        <w:t>Набавка</w:t>
      </w:r>
      <w:bookmarkEnd w:id="92"/>
    </w:p>
    <w:p w14:paraId="5E8E3E72" w14:textId="77777777" w:rsidR="00225DCB" w:rsidRPr="00895819" w:rsidRDefault="00D6384F" w:rsidP="00225DCB">
      <w:pPr>
        <w:pStyle w:val="Bullet1"/>
        <w:numPr>
          <w:ilvl w:val="0"/>
          <w:numId w:val="0"/>
        </w:numPr>
        <w:ind w:left="720"/>
        <w:rPr>
          <w:lang w:val="sr-Cyrl-CS"/>
        </w:rPr>
      </w:pPr>
      <w:r w:rsidRPr="00895819">
        <w:rPr>
          <w:lang w:val="sr-Cyrl-CS"/>
        </w:rPr>
        <w:t xml:space="preserve">Зајмопримац овим изјављује </w:t>
      </w:r>
      <w:r w:rsidR="00225DCB" w:rsidRPr="00895819">
        <w:rPr>
          <w:lang w:val="sr-Cyrl-CS"/>
        </w:rPr>
        <w:t xml:space="preserve">(i) </w:t>
      </w:r>
      <w:r w:rsidRPr="00895819">
        <w:rPr>
          <w:lang w:val="sr-Cyrl-CS"/>
        </w:rPr>
        <w:t xml:space="preserve">да је примио примерак Важећих приписа о набавкама; и </w:t>
      </w:r>
      <w:r w:rsidR="00225DCB" w:rsidRPr="00895819">
        <w:rPr>
          <w:lang w:val="sr-Cyrl-CS"/>
        </w:rPr>
        <w:t xml:space="preserve">(ii) </w:t>
      </w:r>
      <w:r w:rsidRPr="00895819">
        <w:rPr>
          <w:lang w:val="sr-Cyrl-CS"/>
        </w:rPr>
        <w:t xml:space="preserve">да разуме одредбе </w:t>
      </w:r>
      <w:r w:rsidR="004A683C" w:rsidRPr="00895819">
        <w:rPr>
          <w:lang w:val="sr-Cyrl-CS"/>
        </w:rPr>
        <w:t>В</w:t>
      </w:r>
      <w:r w:rsidRPr="00895819">
        <w:rPr>
          <w:lang w:val="sr-Cyrl-CS"/>
        </w:rPr>
        <w:t>ажећих прописа о набавкама</w:t>
      </w:r>
      <w:r w:rsidR="00225DCB" w:rsidRPr="00895819">
        <w:rPr>
          <w:lang w:val="sr-Cyrl-CS"/>
        </w:rPr>
        <w:t>.</w:t>
      </w:r>
    </w:p>
    <w:p w14:paraId="11FE8E6F" w14:textId="018339DC" w:rsidR="00225DCB" w:rsidRPr="00895819" w:rsidRDefault="004A683C" w:rsidP="00225DCB">
      <w:pPr>
        <w:pStyle w:val="Bullet1"/>
        <w:numPr>
          <w:ilvl w:val="0"/>
          <w:numId w:val="0"/>
        </w:numPr>
        <w:ind w:left="720"/>
        <w:rPr>
          <w:lang w:val="sr-Cyrl-CS"/>
        </w:rPr>
      </w:pPr>
      <w:r w:rsidRPr="00895819">
        <w:rPr>
          <w:lang w:val="sr-Cyrl-CS"/>
        </w:rPr>
        <w:t xml:space="preserve">Корисник или Зајмопримац је уговорно везан Важећим прописима о набавкама као да су такви прописи о набавкама инкорпорирани референцом у овај </w:t>
      </w:r>
      <w:r w:rsidR="004268F4" w:rsidRPr="00895819">
        <w:rPr>
          <w:lang w:val="sr-Cyrl-CS"/>
        </w:rPr>
        <w:t>уговор</w:t>
      </w:r>
      <w:r w:rsidR="00225DCB" w:rsidRPr="00895819">
        <w:rPr>
          <w:lang w:val="sr-Cyrl-CS"/>
        </w:rPr>
        <w:t>.</w:t>
      </w:r>
    </w:p>
    <w:p w14:paraId="6DAAE4D4" w14:textId="77777777" w:rsidR="00B16F8D" w:rsidRPr="00895819" w:rsidRDefault="004A683C" w:rsidP="00225DCB">
      <w:pPr>
        <w:pStyle w:val="Bullet1"/>
        <w:numPr>
          <w:ilvl w:val="0"/>
          <w:numId w:val="0"/>
        </w:numPr>
        <w:ind w:left="720" w:hanging="11"/>
        <w:rPr>
          <w:lang w:val="sr-Cyrl-CS"/>
        </w:rPr>
      </w:pPr>
      <w:r w:rsidRPr="00895819">
        <w:rPr>
          <w:lang w:val="sr-Cyrl-CS"/>
        </w:rPr>
        <w:t xml:space="preserve">Корисник или Зајмопримац потврђује </w:t>
      </w:r>
      <w:r w:rsidR="00B46B79" w:rsidRPr="00895819">
        <w:rPr>
          <w:lang w:val="sr-Cyrl-CS"/>
        </w:rPr>
        <w:t>да су набавка, додела и извршење свих уговора склопљених у сврху имплементације Транше техничке помоћи или било ког њеног дела, у складу са одредбама Важећих прописа о набавкама, укључујући такве уговоре склопљене и/или за које је поступак набавка започео пре Датума потписивања и који Зајмодавац ретроактивно финансира</w:t>
      </w:r>
      <w:r w:rsidR="00225DCB" w:rsidRPr="00895819">
        <w:rPr>
          <w:lang w:val="sr-Cyrl-CS"/>
        </w:rPr>
        <w:t>.</w:t>
      </w:r>
    </w:p>
    <w:p w14:paraId="5019952C" w14:textId="77777777" w:rsidR="00B16F8D" w:rsidRPr="00895819" w:rsidRDefault="00FE3749" w:rsidP="00A32298">
      <w:pPr>
        <w:pStyle w:val="AATitre1"/>
        <w:rPr>
          <w:lang w:val="sr-Cyrl-CS"/>
        </w:rPr>
      </w:pPr>
      <w:bookmarkStart w:id="93" w:name="_Toc135947178"/>
      <w:r w:rsidRPr="00895819">
        <w:rPr>
          <w:lang w:val="sr-Cyrl-CS"/>
        </w:rPr>
        <w:lastRenderedPageBreak/>
        <w:t>ОБАВЕЗЕ</w:t>
      </w:r>
      <w:bookmarkEnd w:id="93"/>
    </w:p>
    <w:p w14:paraId="007C9214" w14:textId="5A9B1231" w:rsidR="00B16F8D" w:rsidRPr="00895819" w:rsidRDefault="00FE3749" w:rsidP="00B16F8D">
      <w:pPr>
        <w:pStyle w:val="BodyText1"/>
        <w:rPr>
          <w:lang w:val="sr-Cyrl-CS"/>
        </w:rPr>
      </w:pPr>
      <w:r w:rsidRPr="00895819">
        <w:rPr>
          <w:lang w:val="sr-Cyrl-CS"/>
        </w:rPr>
        <w:t>О</w:t>
      </w:r>
      <w:r w:rsidR="004268F4" w:rsidRPr="00895819">
        <w:rPr>
          <w:lang w:val="sr-Cyrl-CS"/>
        </w:rPr>
        <w:t>бавезе из овог ч</w:t>
      </w:r>
      <w:r w:rsidRPr="00895819">
        <w:rPr>
          <w:lang w:val="sr-Cyrl-CS"/>
        </w:rPr>
        <w:t xml:space="preserve">лана </w:t>
      </w:r>
      <w:r w:rsidR="00615BC2" w:rsidRPr="00895819">
        <w:rPr>
          <w:lang w:val="sr-Cyrl-CS"/>
        </w:rPr>
        <w:t>11 (</w:t>
      </w:r>
      <w:r w:rsidRPr="00895819">
        <w:rPr>
          <w:i/>
          <w:lang w:val="sr-Cyrl-CS"/>
        </w:rPr>
        <w:t>Обавезе</w:t>
      </w:r>
      <w:r w:rsidR="00615BC2" w:rsidRPr="00895819">
        <w:rPr>
          <w:lang w:val="sr-Cyrl-CS"/>
        </w:rPr>
        <w:t>)</w:t>
      </w:r>
      <w:r w:rsidR="00B16F8D" w:rsidRPr="00895819">
        <w:rPr>
          <w:lang w:val="sr-Cyrl-CS"/>
        </w:rPr>
        <w:t xml:space="preserve"> </w:t>
      </w:r>
      <w:r w:rsidRPr="00895819">
        <w:rPr>
          <w:lang w:val="sr-Cyrl-CS"/>
        </w:rPr>
        <w:t xml:space="preserve">ступају на снагу Датумом потписивања и остају на снази и примењују се у потпуности све док постоји било </w:t>
      </w:r>
      <w:r w:rsidR="00840D00" w:rsidRPr="00895819">
        <w:rPr>
          <w:lang w:val="sr-Cyrl-CS"/>
        </w:rPr>
        <w:t>к</w:t>
      </w:r>
      <w:r w:rsidRPr="00895819">
        <w:rPr>
          <w:lang w:val="sr-Cyrl-CS"/>
        </w:rPr>
        <w:t>оји неи</w:t>
      </w:r>
      <w:r w:rsidR="009609FE" w:rsidRPr="00895819">
        <w:rPr>
          <w:lang w:val="sr-Cyrl-CS"/>
        </w:rPr>
        <w:t>змирени износ у складу са овим у</w:t>
      </w:r>
      <w:r w:rsidRPr="00895819">
        <w:rPr>
          <w:lang w:val="sr-Cyrl-CS"/>
        </w:rPr>
        <w:t>говором.</w:t>
      </w:r>
    </w:p>
    <w:p w14:paraId="45FCBB9E" w14:textId="77777777" w:rsidR="00B16F8D" w:rsidRPr="00895819" w:rsidRDefault="00FE3749" w:rsidP="000F181A">
      <w:pPr>
        <w:pStyle w:val="AATitre2"/>
        <w:rPr>
          <w:u w:val="none"/>
          <w:lang w:val="sr-Cyrl-CS"/>
        </w:rPr>
      </w:pPr>
      <w:bookmarkStart w:id="94" w:name="_Toc135947179"/>
      <w:r w:rsidRPr="00895819">
        <w:rPr>
          <w:lang w:val="sr-Cyrl-CS"/>
        </w:rPr>
        <w:t xml:space="preserve">Поштовање закона, прописа </w:t>
      </w:r>
      <w:r w:rsidR="00300CCA" w:rsidRPr="00895819">
        <w:rPr>
          <w:lang w:val="sr-Cyrl-CS"/>
        </w:rPr>
        <w:t>и</w:t>
      </w:r>
      <w:r w:rsidRPr="00895819">
        <w:rPr>
          <w:lang w:val="sr-Cyrl-CS"/>
        </w:rPr>
        <w:t xml:space="preserve"> обавеза</w:t>
      </w:r>
      <w:bookmarkEnd w:id="94"/>
    </w:p>
    <w:p w14:paraId="0BB678A4" w14:textId="77777777" w:rsidR="00B16F8D" w:rsidRPr="00895819" w:rsidRDefault="00FE3749" w:rsidP="00B16F8D">
      <w:pPr>
        <w:pStyle w:val="BodyText1"/>
        <w:rPr>
          <w:lang w:val="sr-Cyrl-CS"/>
        </w:rPr>
      </w:pPr>
      <w:r w:rsidRPr="00895819">
        <w:rPr>
          <w:lang w:val="sr-Cyrl-CS"/>
        </w:rPr>
        <w:t>Зајмопримац ће поштовати:</w:t>
      </w:r>
      <w:r w:rsidR="00B16F8D" w:rsidRPr="00895819">
        <w:rPr>
          <w:lang w:val="sr-Cyrl-CS"/>
        </w:rPr>
        <w:t xml:space="preserve"> </w:t>
      </w:r>
    </w:p>
    <w:p w14:paraId="723EDB28" w14:textId="30AD6EA8" w:rsidR="00B16F8D" w:rsidRPr="00895819" w:rsidRDefault="00B02E95" w:rsidP="00B02E95">
      <w:pPr>
        <w:pStyle w:val="AATitre4"/>
        <w:numPr>
          <w:ilvl w:val="0"/>
          <w:numId w:val="0"/>
        </w:numPr>
        <w:ind w:left="1440" w:hanging="720"/>
        <w:rPr>
          <w:lang w:val="sr-Cyrl-CS"/>
        </w:rPr>
      </w:pPr>
      <w:r w:rsidRPr="00895819">
        <w:rPr>
          <w:lang w:val="sr-Cyrl-CS"/>
        </w:rPr>
        <w:t>(а)</w:t>
      </w:r>
      <w:r w:rsidRPr="00895819">
        <w:rPr>
          <w:lang w:val="sr-Cyrl-CS"/>
        </w:rPr>
        <w:tab/>
      </w:r>
      <w:r w:rsidR="00BB0AF5" w:rsidRPr="00895819">
        <w:rPr>
          <w:lang w:val="sr-Cyrl-CS"/>
        </w:rPr>
        <w:t>све законе и прописе који се примењују на њега и/или на Операцију, у свим аспектима, а посебно по питању важећих закона о набавкама, заштити животне средине, безбедности, раду и превенцији и борби против Забрањених пракси</w:t>
      </w:r>
      <w:r w:rsidR="00B16F8D" w:rsidRPr="00895819">
        <w:rPr>
          <w:lang w:val="sr-Cyrl-CS"/>
        </w:rPr>
        <w:t xml:space="preserve">; </w:t>
      </w:r>
      <w:r w:rsidR="00BB0AF5" w:rsidRPr="00895819">
        <w:rPr>
          <w:lang w:val="sr-Cyrl-CS"/>
        </w:rPr>
        <w:t>и</w:t>
      </w:r>
      <w:r w:rsidR="00B16F8D" w:rsidRPr="00895819">
        <w:rPr>
          <w:lang w:val="sr-Cyrl-CS"/>
        </w:rPr>
        <w:t xml:space="preserve"> </w:t>
      </w:r>
    </w:p>
    <w:p w14:paraId="706A747B" w14:textId="67291330" w:rsidR="00B16F8D" w:rsidRPr="00895819" w:rsidRDefault="00B02E95" w:rsidP="00B02E95">
      <w:pPr>
        <w:pStyle w:val="AATitre4"/>
        <w:numPr>
          <w:ilvl w:val="0"/>
          <w:numId w:val="0"/>
        </w:numPr>
        <w:ind w:left="1440" w:hanging="720"/>
        <w:rPr>
          <w:lang w:val="sr-Cyrl-CS"/>
        </w:rPr>
      </w:pPr>
      <w:r w:rsidRPr="00895819">
        <w:rPr>
          <w:lang w:val="sr-Cyrl-CS"/>
        </w:rPr>
        <w:t>(б)</w:t>
      </w:r>
      <w:r w:rsidRPr="00895819">
        <w:rPr>
          <w:lang w:val="sr-Cyrl-CS"/>
        </w:rPr>
        <w:tab/>
      </w:r>
      <w:r w:rsidR="00BB0AF5" w:rsidRPr="00895819">
        <w:rPr>
          <w:lang w:val="sr-Cyrl-CS"/>
        </w:rPr>
        <w:t xml:space="preserve">све своје обавезе које проистичу из овог </w:t>
      </w:r>
      <w:r w:rsidR="009609FE" w:rsidRPr="00895819">
        <w:rPr>
          <w:lang w:val="sr-Cyrl-CS"/>
        </w:rPr>
        <w:t>у</w:t>
      </w:r>
      <w:r w:rsidR="00BB0AF5" w:rsidRPr="00895819">
        <w:rPr>
          <w:lang w:val="sr-Cyrl-CS"/>
        </w:rPr>
        <w:t>говора</w:t>
      </w:r>
      <w:r w:rsidR="00B16F8D" w:rsidRPr="00895819">
        <w:rPr>
          <w:lang w:val="sr-Cyrl-CS"/>
        </w:rPr>
        <w:t>.</w:t>
      </w:r>
    </w:p>
    <w:p w14:paraId="3F0382B4" w14:textId="77777777" w:rsidR="00B16F8D" w:rsidRPr="00895819" w:rsidRDefault="00BB0AF5" w:rsidP="000F181A">
      <w:pPr>
        <w:pStyle w:val="AATitre2"/>
        <w:rPr>
          <w:u w:val="none"/>
          <w:lang w:val="sr-Cyrl-CS"/>
        </w:rPr>
      </w:pPr>
      <w:bookmarkStart w:id="95" w:name="_Toc135947180"/>
      <w:r w:rsidRPr="00895819">
        <w:rPr>
          <w:lang w:val="sr-Cyrl-CS"/>
        </w:rPr>
        <w:t>Овлашћења</w:t>
      </w:r>
      <w:bookmarkEnd w:id="95"/>
    </w:p>
    <w:p w14:paraId="04B9FC26" w14:textId="3BEC45A1" w:rsidR="00B16F8D" w:rsidRPr="00895819" w:rsidRDefault="0055075D" w:rsidP="00B16F8D">
      <w:pPr>
        <w:pStyle w:val="BodyText1"/>
        <w:rPr>
          <w:lang w:val="sr-Cyrl-CS"/>
        </w:rPr>
      </w:pPr>
      <w:r w:rsidRPr="00895819">
        <w:rPr>
          <w:lang w:val="sr-Cyrl-CS"/>
        </w:rPr>
        <w:t xml:space="preserve">Зајмопримац ће без одлагања прибавити, поштовати и учинити све што је потребно да омогући пуну примену и важење било ког Овлашћења неопходног у складу са било којим применљивим законом или прописом како би му се омогућило да извршава </w:t>
      </w:r>
      <w:r w:rsidR="009609FE" w:rsidRPr="00895819">
        <w:rPr>
          <w:lang w:val="sr-Cyrl-CS"/>
        </w:rPr>
        <w:t>своје обавезе у складу са овим у</w:t>
      </w:r>
      <w:r w:rsidRPr="00895819">
        <w:rPr>
          <w:lang w:val="sr-Cyrl-CS"/>
        </w:rPr>
        <w:t>говором и како би се обезбедила законитост, ваљаност, извршивост и прихватљивост у сврхе доказивања</w:t>
      </w:r>
      <w:r w:rsidR="00B16F8D" w:rsidRPr="00895819">
        <w:rPr>
          <w:lang w:val="sr-Cyrl-CS"/>
        </w:rPr>
        <w:t>.</w:t>
      </w:r>
    </w:p>
    <w:p w14:paraId="6E0AFF97" w14:textId="77777777" w:rsidR="00B16F8D" w:rsidRPr="00895819" w:rsidRDefault="0055075D" w:rsidP="000F181A">
      <w:pPr>
        <w:pStyle w:val="AATitre2"/>
        <w:rPr>
          <w:lang w:val="sr-Cyrl-CS"/>
        </w:rPr>
      </w:pPr>
      <w:bookmarkStart w:id="96" w:name="_Toc135947181"/>
      <w:r w:rsidRPr="00895819">
        <w:rPr>
          <w:lang w:val="sr-Cyrl-CS"/>
        </w:rPr>
        <w:t>Документа везана за Операцију</w:t>
      </w:r>
      <w:bookmarkEnd w:id="96"/>
    </w:p>
    <w:p w14:paraId="36FC3021" w14:textId="77777777" w:rsidR="00B16F8D" w:rsidRPr="00895819" w:rsidRDefault="0055075D" w:rsidP="00B16F8D">
      <w:pPr>
        <w:spacing w:after="240"/>
        <w:ind w:left="709"/>
        <w:rPr>
          <w:lang w:val="sr-Cyrl-CS"/>
        </w:rPr>
      </w:pPr>
      <w:r w:rsidRPr="00895819">
        <w:rPr>
          <w:lang w:val="sr-Cyrl-CS"/>
        </w:rPr>
        <w:t xml:space="preserve">Зајмопримац ће Зајмодавцу доставити примерак свих измена и допуна докумената који се односе на Операцију који су повезани са Планом финансирања описаним у Прилогу </w:t>
      </w:r>
      <w:r w:rsidR="00B16F8D" w:rsidRPr="00895819">
        <w:rPr>
          <w:lang w:val="sr-Cyrl-CS"/>
        </w:rPr>
        <w:t>3A (</w:t>
      </w:r>
      <w:r w:rsidRPr="00895819">
        <w:rPr>
          <w:i/>
          <w:lang w:val="sr-Cyrl-CS"/>
        </w:rPr>
        <w:t>План финансирања</w:t>
      </w:r>
      <w:r w:rsidR="00B16F8D" w:rsidRPr="00895819">
        <w:rPr>
          <w:lang w:val="sr-Cyrl-CS"/>
        </w:rPr>
        <w:t xml:space="preserve">), </w:t>
      </w:r>
      <w:r w:rsidRPr="00895819">
        <w:rPr>
          <w:lang w:val="sr-Cyrl-CS"/>
        </w:rPr>
        <w:t>Оквир</w:t>
      </w:r>
      <w:r w:rsidR="0092720F" w:rsidRPr="00895819">
        <w:rPr>
          <w:lang w:val="sr-Cyrl-CS"/>
        </w:rPr>
        <w:t>ом</w:t>
      </w:r>
      <w:r w:rsidRPr="00895819">
        <w:rPr>
          <w:lang w:val="sr-Cyrl-CS"/>
        </w:rPr>
        <w:t xml:space="preserve"> расхода из Прилога </w:t>
      </w:r>
      <w:r w:rsidR="00B16F8D" w:rsidRPr="00895819">
        <w:rPr>
          <w:lang w:val="sr-Cyrl-CS"/>
        </w:rPr>
        <w:t>3</w:t>
      </w:r>
      <w:r w:rsidRPr="00895819">
        <w:rPr>
          <w:lang w:val="sr-Cyrl-CS"/>
        </w:rPr>
        <w:t>Б</w:t>
      </w:r>
      <w:r w:rsidR="00B16F8D" w:rsidRPr="00895819">
        <w:rPr>
          <w:lang w:val="sr-Cyrl-CS"/>
        </w:rPr>
        <w:t xml:space="preserve"> (</w:t>
      </w:r>
      <w:r w:rsidRPr="00895819">
        <w:rPr>
          <w:i/>
          <w:lang w:val="sr-Cyrl-CS"/>
        </w:rPr>
        <w:t>Оквир расхода</w:t>
      </w:r>
      <w:r w:rsidR="00B16F8D" w:rsidRPr="00895819">
        <w:rPr>
          <w:lang w:val="sr-Cyrl-CS"/>
        </w:rPr>
        <w:t xml:space="preserve">) </w:t>
      </w:r>
      <w:r w:rsidRPr="00895819">
        <w:rPr>
          <w:lang w:val="sr-Cyrl-CS"/>
        </w:rPr>
        <w:t>и Оквир</w:t>
      </w:r>
      <w:r w:rsidR="0092720F" w:rsidRPr="00895819">
        <w:rPr>
          <w:lang w:val="sr-Cyrl-CS"/>
        </w:rPr>
        <w:t>ом</w:t>
      </w:r>
      <w:r w:rsidRPr="00895819">
        <w:rPr>
          <w:lang w:val="sr-Cyrl-CS"/>
        </w:rPr>
        <w:t xml:space="preserve"> резултата датим у Прилогу </w:t>
      </w:r>
      <w:r w:rsidR="00B16F8D" w:rsidRPr="00895819">
        <w:rPr>
          <w:lang w:val="sr-Cyrl-CS"/>
        </w:rPr>
        <w:t>3</w:t>
      </w:r>
      <w:r w:rsidRPr="00895819">
        <w:rPr>
          <w:lang w:val="sr-Cyrl-CS"/>
        </w:rPr>
        <w:t>Ц</w:t>
      </w:r>
      <w:r w:rsidR="00B16F8D" w:rsidRPr="00895819">
        <w:rPr>
          <w:lang w:val="sr-Cyrl-CS"/>
        </w:rPr>
        <w:t xml:space="preserve"> (</w:t>
      </w:r>
      <w:r w:rsidRPr="00895819">
        <w:rPr>
          <w:i/>
          <w:lang w:val="sr-Cyrl-CS"/>
        </w:rPr>
        <w:t>Оквир резултата</w:t>
      </w:r>
      <w:r w:rsidR="00B16F8D" w:rsidRPr="00895819">
        <w:rPr>
          <w:lang w:val="sr-Cyrl-CS"/>
        </w:rPr>
        <w:t xml:space="preserve">). </w:t>
      </w:r>
    </w:p>
    <w:p w14:paraId="03CF279A" w14:textId="77777777" w:rsidR="00B16F8D" w:rsidRPr="00895819" w:rsidRDefault="0055075D" w:rsidP="00B16F8D">
      <w:pPr>
        <w:spacing w:after="240"/>
        <w:ind w:left="709"/>
        <w:rPr>
          <w:lang w:val="sr-Cyrl-CS"/>
        </w:rPr>
      </w:pPr>
      <w:r w:rsidRPr="00895819">
        <w:rPr>
          <w:lang w:val="sr-Cyrl-CS"/>
        </w:rPr>
        <w:t>Зајмопримац неће правити никакве суштинске измене било ког документа везаног за Операцију без претходног одобрења Суфинансијера</w:t>
      </w:r>
      <w:r w:rsidR="00B16F8D" w:rsidRPr="00895819">
        <w:rPr>
          <w:lang w:val="sr-Cyrl-CS"/>
        </w:rPr>
        <w:t xml:space="preserve">. </w:t>
      </w:r>
    </w:p>
    <w:p w14:paraId="3D2EE89B" w14:textId="77777777" w:rsidR="00B16F8D" w:rsidRPr="00895819" w:rsidRDefault="0055075D" w:rsidP="000F181A">
      <w:pPr>
        <w:pStyle w:val="AATitre2"/>
        <w:rPr>
          <w:lang w:val="sr-Cyrl-CS"/>
        </w:rPr>
      </w:pPr>
      <w:bookmarkStart w:id="97" w:name="_Toc135947182"/>
      <w:r w:rsidRPr="00895819">
        <w:rPr>
          <w:lang w:val="sr-Cyrl-CS"/>
        </w:rPr>
        <w:t>Имплементација и одржавање Операције</w:t>
      </w:r>
      <w:bookmarkEnd w:id="97"/>
    </w:p>
    <w:p w14:paraId="4B9E5BD9" w14:textId="77777777" w:rsidR="00B16F8D" w:rsidRPr="00895819" w:rsidRDefault="0055075D" w:rsidP="00B16F8D">
      <w:pPr>
        <w:pStyle w:val="BodyText1"/>
        <w:rPr>
          <w:lang w:val="sr-Cyrl-CS"/>
        </w:rPr>
      </w:pPr>
      <w:r w:rsidRPr="00895819">
        <w:rPr>
          <w:lang w:val="sr-Cyrl-CS"/>
        </w:rPr>
        <w:t>Зајмопримац ће</w:t>
      </w:r>
      <w:r w:rsidR="00B16F8D" w:rsidRPr="00895819">
        <w:rPr>
          <w:lang w:val="sr-Cyrl-CS"/>
        </w:rPr>
        <w:t>:</w:t>
      </w:r>
    </w:p>
    <w:p w14:paraId="15366FFF" w14:textId="48A9608F" w:rsidR="00B16F8D" w:rsidRPr="00895819" w:rsidRDefault="00B02E95" w:rsidP="00B02E95">
      <w:pPr>
        <w:pStyle w:val="AATitre6"/>
        <w:numPr>
          <w:ilvl w:val="0"/>
          <w:numId w:val="0"/>
        </w:numPr>
        <w:ind w:left="1403" w:hanging="705"/>
        <w:rPr>
          <w:lang w:val="sr-Cyrl-CS"/>
        </w:rPr>
      </w:pPr>
      <w:r w:rsidRPr="00895819">
        <w:rPr>
          <w:lang w:val="sr-Cyrl-CS"/>
        </w:rPr>
        <w:t>(а)</w:t>
      </w:r>
      <w:r w:rsidRPr="00895819">
        <w:rPr>
          <w:lang w:val="sr-Cyrl-CS"/>
        </w:rPr>
        <w:tab/>
      </w:r>
      <w:r w:rsidR="0055075D" w:rsidRPr="00895819">
        <w:rPr>
          <w:lang w:val="sr-Cyrl-CS"/>
        </w:rPr>
        <w:t>реализовати Операцију у складу са општеприхваћеним начелима безбедности и важећим техничким стандардима</w:t>
      </w:r>
      <w:r w:rsidR="00B16F8D" w:rsidRPr="00895819">
        <w:rPr>
          <w:lang w:val="sr-Cyrl-CS"/>
        </w:rPr>
        <w:t xml:space="preserve">; </w:t>
      </w:r>
      <w:r w:rsidR="0055075D" w:rsidRPr="00895819">
        <w:rPr>
          <w:lang w:val="sr-Cyrl-CS"/>
        </w:rPr>
        <w:t>и</w:t>
      </w:r>
    </w:p>
    <w:p w14:paraId="64734D25" w14:textId="589FB091" w:rsidR="00B16F8D" w:rsidRPr="00895819" w:rsidRDefault="00B02E95" w:rsidP="00B02E95">
      <w:pPr>
        <w:pStyle w:val="AATitre6"/>
        <w:numPr>
          <w:ilvl w:val="0"/>
          <w:numId w:val="0"/>
        </w:numPr>
        <w:ind w:left="1403" w:hanging="705"/>
        <w:rPr>
          <w:lang w:val="sr-Cyrl-CS"/>
        </w:rPr>
      </w:pPr>
      <w:r w:rsidRPr="00895819">
        <w:rPr>
          <w:lang w:val="sr-Cyrl-CS"/>
        </w:rPr>
        <w:t>(б)</w:t>
      </w:r>
      <w:r w:rsidRPr="00895819">
        <w:rPr>
          <w:lang w:val="sr-Cyrl-CS"/>
        </w:rPr>
        <w:tab/>
      </w:r>
      <w:r w:rsidR="0055075D" w:rsidRPr="00895819">
        <w:rPr>
          <w:lang w:val="sr-Cyrl-CS"/>
        </w:rPr>
        <w:t>одржавати имовину Операције у складу са свим применљивим законима и прописима и у добром радном и исправном стању, и користити сву релевантну имовину наменски и у складу са свим применљивим законима и прописима</w:t>
      </w:r>
      <w:r w:rsidR="00B16F8D" w:rsidRPr="00895819">
        <w:rPr>
          <w:lang w:val="sr-Cyrl-CS"/>
        </w:rPr>
        <w:t>.</w:t>
      </w:r>
    </w:p>
    <w:p w14:paraId="36637788" w14:textId="77777777" w:rsidR="00B16F8D" w:rsidRPr="00895819" w:rsidRDefault="0055075D" w:rsidP="000F181A">
      <w:pPr>
        <w:pStyle w:val="AATitre2"/>
        <w:rPr>
          <w:u w:val="none"/>
          <w:lang w:val="sr-Cyrl-CS"/>
        </w:rPr>
      </w:pPr>
      <w:bookmarkStart w:id="98" w:name="_Toc135947183"/>
      <w:r w:rsidRPr="00895819">
        <w:rPr>
          <w:lang w:val="sr-Cyrl-CS"/>
        </w:rPr>
        <w:t>Одговорност у области животне средине и социјалних питања</w:t>
      </w:r>
      <w:bookmarkEnd w:id="98"/>
    </w:p>
    <w:p w14:paraId="20ED763F" w14:textId="77777777" w:rsidR="00B16F8D" w:rsidRPr="00895819" w:rsidRDefault="0055075D" w:rsidP="00B16F8D">
      <w:pPr>
        <w:pStyle w:val="AATitre3"/>
        <w:rPr>
          <w:lang w:val="sr-Cyrl-CS"/>
        </w:rPr>
      </w:pPr>
      <w:r w:rsidRPr="00895819">
        <w:rPr>
          <w:lang w:val="sr-Cyrl-CS"/>
        </w:rPr>
        <w:t>Примена мера које се односе на животну средину и социјална питања</w:t>
      </w:r>
    </w:p>
    <w:p w14:paraId="50DE208F" w14:textId="610E983A" w:rsidR="00B16F8D" w:rsidRPr="00895819" w:rsidRDefault="00B60C7F" w:rsidP="00B16F8D">
      <w:pPr>
        <w:pStyle w:val="BodyText1"/>
        <w:ind w:left="1418"/>
        <w:rPr>
          <w:snapToGrid w:val="0"/>
          <w:lang w:val="sr-Cyrl-CS"/>
        </w:rPr>
      </w:pPr>
      <w:r w:rsidRPr="00895819">
        <w:rPr>
          <w:snapToGrid w:val="0"/>
          <w:lang w:val="sr-Cyrl-CS"/>
        </w:rPr>
        <w:t>У циљу подстицања одрживог развоја, Стране су сагласне о неопходности подстицања поштовања међународно прихваћених стандарда заштите животне средине и рада, укључујући и основне конвенције Међународне организације рада (</w:t>
      </w:r>
      <w:r w:rsidR="00B02E95" w:rsidRPr="00895819">
        <w:rPr>
          <w:snapToGrid w:val="0"/>
          <w:lang w:val="sr-Cyrl-CS"/>
        </w:rPr>
        <w:t>„</w:t>
      </w:r>
      <w:r w:rsidRPr="00895819">
        <w:rPr>
          <w:b/>
          <w:snapToGrid w:val="0"/>
          <w:lang w:val="sr-Cyrl-CS"/>
        </w:rPr>
        <w:t>МОР</w:t>
      </w:r>
      <w:r w:rsidR="00B02E95" w:rsidRPr="00895819">
        <w:rPr>
          <w:lang w:val="sr-Cyrl-CS"/>
        </w:rPr>
        <w:t>”</w:t>
      </w:r>
      <w:r w:rsidRPr="00895819">
        <w:rPr>
          <w:snapToGrid w:val="0"/>
          <w:lang w:val="sr-Cyrl-CS"/>
        </w:rPr>
        <w:t>) и међународно право и прописе о заштити животне средине који су на снази у јурисдикцији Зајмопримца</w:t>
      </w:r>
      <w:r w:rsidR="00B16F8D" w:rsidRPr="00895819">
        <w:rPr>
          <w:snapToGrid w:val="0"/>
          <w:lang w:val="sr-Cyrl-CS"/>
        </w:rPr>
        <w:t>.</w:t>
      </w:r>
    </w:p>
    <w:p w14:paraId="7493E756" w14:textId="77777777" w:rsidR="00B16F8D" w:rsidRPr="00895819" w:rsidRDefault="00B60C7F" w:rsidP="00B16F8D">
      <w:pPr>
        <w:pStyle w:val="BodyText1"/>
        <w:ind w:left="1418"/>
        <w:rPr>
          <w:snapToGrid w:val="0"/>
          <w:lang w:val="sr-Cyrl-CS"/>
        </w:rPr>
      </w:pPr>
      <w:r w:rsidRPr="00895819">
        <w:rPr>
          <w:snapToGrid w:val="0"/>
          <w:lang w:val="sr-Cyrl-CS"/>
        </w:rPr>
        <w:lastRenderedPageBreak/>
        <w:t>У ту сврху, Зајмопримац ће, у смислу својих пословних активности у контексту Операције</w:t>
      </w:r>
      <w:r w:rsidR="00B16F8D" w:rsidRPr="00895819">
        <w:rPr>
          <w:snapToGrid w:val="0"/>
          <w:lang w:val="sr-Cyrl-CS"/>
        </w:rPr>
        <w:t>:</w:t>
      </w:r>
    </w:p>
    <w:p w14:paraId="691EC2D4" w14:textId="77777777" w:rsidR="00B16F8D" w:rsidRPr="00895819" w:rsidRDefault="00414586" w:rsidP="00B16F8D">
      <w:pPr>
        <w:pStyle w:val="Bullet1"/>
        <w:ind w:left="1985" w:hanging="437"/>
        <w:rPr>
          <w:snapToGrid w:val="0"/>
          <w:lang w:val="sr-Cyrl-CS"/>
        </w:rPr>
      </w:pPr>
      <w:r w:rsidRPr="00895819">
        <w:rPr>
          <w:snapToGrid w:val="0"/>
          <w:lang w:val="sr-Cyrl-CS"/>
        </w:rPr>
        <w:t xml:space="preserve">поштовати међународне стандарде заштите животне средине и законе </w:t>
      </w:r>
      <w:r w:rsidR="00CF38F6" w:rsidRPr="00895819">
        <w:rPr>
          <w:snapToGrid w:val="0"/>
          <w:lang w:val="sr-Cyrl-CS"/>
        </w:rPr>
        <w:t>о</w:t>
      </w:r>
      <w:r w:rsidRPr="00895819">
        <w:rPr>
          <w:snapToGrid w:val="0"/>
          <w:lang w:val="sr-Cyrl-CS"/>
        </w:rPr>
        <w:t xml:space="preserve"> раду, а посебно основн</w:t>
      </w:r>
      <w:r w:rsidR="00CF38F6" w:rsidRPr="00895819">
        <w:rPr>
          <w:snapToGrid w:val="0"/>
          <w:lang w:val="sr-Cyrl-CS"/>
        </w:rPr>
        <w:t>е</w:t>
      </w:r>
      <w:r w:rsidRPr="00895819">
        <w:rPr>
          <w:snapToGrid w:val="0"/>
          <w:lang w:val="sr-Cyrl-CS"/>
        </w:rPr>
        <w:t xml:space="preserve"> конвенциј</w:t>
      </w:r>
      <w:r w:rsidR="00CF38F6" w:rsidRPr="00895819">
        <w:rPr>
          <w:snapToGrid w:val="0"/>
          <w:lang w:val="sr-Cyrl-CS"/>
        </w:rPr>
        <w:t>е</w:t>
      </w:r>
      <w:r w:rsidRPr="00895819">
        <w:rPr>
          <w:snapToGrid w:val="0"/>
          <w:lang w:val="sr-Cyrl-CS"/>
        </w:rPr>
        <w:t xml:space="preserve"> МОР-а и међународн</w:t>
      </w:r>
      <w:r w:rsidR="00CF38F6" w:rsidRPr="00895819">
        <w:rPr>
          <w:snapToGrid w:val="0"/>
          <w:lang w:val="sr-Cyrl-CS"/>
        </w:rPr>
        <w:t>е</w:t>
      </w:r>
      <w:r w:rsidRPr="00895819">
        <w:rPr>
          <w:snapToGrid w:val="0"/>
          <w:lang w:val="sr-Cyrl-CS"/>
        </w:rPr>
        <w:t xml:space="preserve"> конвенциј</w:t>
      </w:r>
      <w:r w:rsidR="00CF38F6" w:rsidRPr="00895819">
        <w:rPr>
          <w:snapToGrid w:val="0"/>
          <w:lang w:val="sr-Cyrl-CS"/>
        </w:rPr>
        <w:t>е</w:t>
      </w:r>
      <w:r w:rsidRPr="00895819">
        <w:rPr>
          <w:snapToGrid w:val="0"/>
          <w:lang w:val="sr-Cyrl-CS"/>
        </w:rPr>
        <w:t xml:space="preserve"> о заштити животне средине, у складу са важећим законима и прописима Републике Србије</w:t>
      </w:r>
      <w:r w:rsidR="00B16F8D" w:rsidRPr="00895819">
        <w:rPr>
          <w:snapToGrid w:val="0"/>
          <w:lang w:val="sr-Cyrl-CS"/>
        </w:rPr>
        <w:t>;</w:t>
      </w:r>
    </w:p>
    <w:p w14:paraId="5C253121" w14:textId="369A4A83" w:rsidR="00B16F8D" w:rsidRPr="00895819" w:rsidRDefault="006F062C" w:rsidP="00B16F8D">
      <w:pPr>
        <w:pStyle w:val="Bullet1"/>
        <w:ind w:left="1985" w:hanging="437"/>
        <w:rPr>
          <w:snapToGrid w:val="0"/>
          <w:lang w:val="sr-Cyrl-CS"/>
        </w:rPr>
      </w:pPr>
      <w:r w:rsidRPr="00895819">
        <w:rPr>
          <w:snapToGrid w:val="0"/>
          <w:lang w:val="sr-Cyrl-CS"/>
        </w:rPr>
        <w:t>у</w:t>
      </w:r>
      <w:r w:rsidR="00414586" w:rsidRPr="00895819">
        <w:rPr>
          <w:snapToGrid w:val="0"/>
          <w:lang w:val="sr-Cyrl-CS"/>
        </w:rPr>
        <w:t xml:space="preserve">споставити одговарајуће мере ублажавања специфичне за Операцију како је дефинисано у контексту политике управљања еколошким и социјалним ризицима Операције, као што је описано у ЕСЦП у Прилогу </w:t>
      </w:r>
      <w:r w:rsidR="00B16F8D" w:rsidRPr="00895819">
        <w:rPr>
          <w:snapToGrid w:val="0"/>
          <w:lang w:val="sr-Cyrl-CS"/>
        </w:rPr>
        <w:t>3</w:t>
      </w:r>
      <w:r w:rsidR="00414586" w:rsidRPr="00895819">
        <w:rPr>
          <w:snapToGrid w:val="0"/>
          <w:lang w:val="sr-Cyrl-CS"/>
        </w:rPr>
        <w:t>Д</w:t>
      </w:r>
      <w:r w:rsidR="00B16F8D" w:rsidRPr="00895819">
        <w:rPr>
          <w:snapToGrid w:val="0"/>
          <w:lang w:val="sr-Cyrl-CS"/>
        </w:rPr>
        <w:t xml:space="preserve"> (</w:t>
      </w:r>
      <w:r w:rsidR="00414586" w:rsidRPr="00895819">
        <w:rPr>
          <w:i/>
          <w:snapToGrid w:val="0"/>
          <w:lang w:val="sr-Cyrl-CS"/>
        </w:rPr>
        <w:t xml:space="preserve">План </w:t>
      </w:r>
      <w:r w:rsidR="00B02E95" w:rsidRPr="00895819">
        <w:rPr>
          <w:i/>
          <w:snapToGrid w:val="0"/>
          <w:lang w:val="sr-Cyrl-CS"/>
        </w:rPr>
        <w:t>ангажовања</w:t>
      </w:r>
      <w:r w:rsidR="00414586" w:rsidRPr="00895819">
        <w:rPr>
          <w:i/>
          <w:snapToGrid w:val="0"/>
          <w:lang w:val="sr-Cyrl-CS"/>
        </w:rPr>
        <w:t xml:space="preserve"> у области животне средине и социјалних питања</w:t>
      </w:r>
      <w:r w:rsidR="00B16F8D" w:rsidRPr="00895819">
        <w:rPr>
          <w:snapToGrid w:val="0"/>
          <w:lang w:val="sr-Cyrl-CS"/>
        </w:rPr>
        <w:t xml:space="preserve">). </w:t>
      </w:r>
    </w:p>
    <w:p w14:paraId="19DAB155" w14:textId="5F03D384" w:rsidR="00B16F8D" w:rsidRPr="00895819" w:rsidRDefault="00541C1B" w:rsidP="00B16F8D">
      <w:pPr>
        <w:pStyle w:val="Bullet1"/>
        <w:numPr>
          <w:ilvl w:val="0"/>
          <w:numId w:val="0"/>
        </w:numPr>
        <w:ind w:left="1548"/>
        <w:rPr>
          <w:snapToGrid w:val="0"/>
          <w:lang w:val="sr-Cyrl-CS"/>
        </w:rPr>
      </w:pPr>
      <w:r w:rsidRPr="00895819">
        <w:rPr>
          <w:snapToGrid w:val="0"/>
          <w:lang w:val="sr-Cyrl-CS"/>
        </w:rPr>
        <w:t xml:space="preserve">Зајмодавац задржава право да искључи </w:t>
      </w:r>
      <w:r w:rsidR="000F58FC" w:rsidRPr="00895819">
        <w:rPr>
          <w:snapToGrid w:val="0"/>
          <w:lang w:val="sr-Cyrl-CS"/>
        </w:rPr>
        <w:t xml:space="preserve">из Оквира расхода </w:t>
      </w:r>
      <w:r w:rsidRPr="00895819">
        <w:rPr>
          <w:snapToGrid w:val="0"/>
          <w:lang w:val="sr-Cyrl-CS"/>
        </w:rPr>
        <w:t>пројекте и буџетске ставке које нису у складу са његовим важећим прописима, посебно са Листом искључења приложено</w:t>
      </w:r>
      <w:r w:rsidR="000F58FC" w:rsidRPr="00895819">
        <w:rPr>
          <w:snapToGrid w:val="0"/>
          <w:lang w:val="sr-Cyrl-CS"/>
        </w:rPr>
        <w:t>м</w:t>
      </w:r>
      <w:r w:rsidRPr="00895819">
        <w:rPr>
          <w:snapToGrid w:val="0"/>
          <w:lang w:val="sr-Cyrl-CS"/>
        </w:rPr>
        <w:t xml:space="preserve"> у Прилогу 9 (</w:t>
      </w:r>
      <w:r w:rsidR="00B02E95" w:rsidRPr="00895819">
        <w:rPr>
          <w:i/>
          <w:iCs/>
          <w:snapToGrid w:val="0"/>
          <w:lang w:val="sr-Cyrl-CS"/>
        </w:rPr>
        <w:t>Списак</w:t>
      </w:r>
      <w:r w:rsidRPr="00895819">
        <w:rPr>
          <w:i/>
          <w:iCs/>
          <w:snapToGrid w:val="0"/>
          <w:lang w:val="sr-Cyrl-CS"/>
        </w:rPr>
        <w:t xml:space="preserve"> искључења</w:t>
      </w:r>
      <w:r w:rsidRPr="00895819">
        <w:rPr>
          <w:snapToGrid w:val="0"/>
          <w:lang w:val="sr-Cyrl-CS"/>
        </w:rPr>
        <w:t>), у било ком тренутку током спровођења Операције</w:t>
      </w:r>
      <w:r w:rsidR="00B16F8D" w:rsidRPr="00895819">
        <w:rPr>
          <w:snapToGrid w:val="0"/>
          <w:lang w:val="sr-Cyrl-CS"/>
        </w:rPr>
        <w:t xml:space="preserve">. </w:t>
      </w:r>
    </w:p>
    <w:p w14:paraId="75D1C465" w14:textId="77777777" w:rsidR="00B16F8D" w:rsidRPr="00895819" w:rsidRDefault="000F58FC" w:rsidP="00B16F8D">
      <w:pPr>
        <w:pStyle w:val="AATitre3"/>
        <w:rPr>
          <w:lang w:val="sr-Cyrl-CS"/>
        </w:rPr>
      </w:pPr>
      <w:r w:rsidRPr="00895819">
        <w:rPr>
          <w:lang w:val="sr-Cyrl-CS"/>
        </w:rPr>
        <w:t xml:space="preserve">Управљање </w:t>
      </w:r>
      <w:r w:rsidR="00241156" w:rsidRPr="00895819">
        <w:rPr>
          <w:lang w:val="sr-Cyrl-CS"/>
        </w:rPr>
        <w:t>жалбама</w:t>
      </w:r>
      <w:r w:rsidRPr="00895819">
        <w:rPr>
          <w:lang w:val="sr-Cyrl-CS"/>
        </w:rPr>
        <w:t xml:space="preserve"> из области животне средине и социјалних питања</w:t>
      </w:r>
    </w:p>
    <w:p w14:paraId="0B685194" w14:textId="21C0645C" w:rsidR="00B16F8D" w:rsidRPr="00895819" w:rsidRDefault="00B02E95" w:rsidP="00B02E95">
      <w:pPr>
        <w:pStyle w:val="AATitre4"/>
        <w:numPr>
          <w:ilvl w:val="0"/>
          <w:numId w:val="0"/>
        </w:numPr>
        <w:ind w:left="1985" w:hanging="569"/>
        <w:rPr>
          <w:snapToGrid w:val="0"/>
          <w:lang w:val="sr-Cyrl-CS"/>
        </w:rPr>
      </w:pPr>
      <w:r w:rsidRPr="00895819">
        <w:rPr>
          <w:snapToGrid w:val="0"/>
          <w:lang w:val="sr-Cyrl-CS"/>
        </w:rPr>
        <w:t>(а)</w:t>
      </w:r>
      <w:r w:rsidRPr="00895819">
        <w:rPr>
          <w:snapToGrid w:val="0"/>
          <w:lang w:val="sr-Cyrl-CS"/>
        </w:rPr>
        <w:tab/>
      </w:r>
      <w:r w:rsidR="00241156" w:rsidRPr="00895819">
        <w:rPr>
          <w:snapToGrid w:val="0"/>
          <w:lang w:val="sr-Cyrl-CS"/>
        </w:rPr>
        <w:t xml:space="preserve">Зајмодавац (i) потврђује да је примио примерак Правилника о Жалбеном механизму у погледу животне средине и </w:t>
      </w:r>
      <w:r w:rsidR="005B1D45" w:rsidRPr="00895819">
        <w:rPr>
          <w:snapToGrid w:val="0"/>
          <w:lang w:val="sr-Cyrl-CS"/>
        </w:rPr>
        <w:t>социјалних питања</w:t>
      </w:r>
      <w:r w:rsidR="00241156" w:rsidRPr="00895819">
        <w:rPr>
          <w:snapToGrid w:val="0"/>
          <w:lang w:val="sr-Cyrl-CS"/>
        </w:rPr>
        <w:t xml:space="preserve"> и прихватио његове услове, и то нарочито у погледу радњи које Зајмодавац може извршити у случају да треће лице поднесе жалбу, и (ii) прима к знању да тај Правилник о Жалбеном механизму у погледу животне средине и </w:t>
      </w:r>
      <w:r w:rsidR="005B1D45" w:rsidRPr="00895819">
        <w:rPr>
          <w:snapToGrid w:val="0"/>
          <w:lang w:val="sr-Cyrl-CS"/>
        </w:rPr>
        <w:t>социјалних питања</w:t>
      </w:r>
      <w:r w:rsidR="00241156" w:rsidRPr="00895819">
        <w:rPr>
          <w:snapToGrid w:val="0"/>
          <w:lang w:val="sr-Cyrl-CS"/>
        </w:rPr>
        <w:t xml:space="preserve"> има једнако уговорно обавезујуће дејство на однос између Зај</w:t>
      </w:r>
      <w:r w:rsidR="00155BE5" w:rsidRPr="00895819">
        <w:rPr>
          <w:snapToGrid w:val="0"/>
          <w:lang w:val="sr-Cyrl-CS"/>
        </w:rPr>
        <w:t>мопримца и Зајмодавца као овај у</w:t>
      </w:r>
      <w:r w:rsidR="00241156" w:rsidRPr="00895819">
        <w:rPr>
          <w:snapToGrid w:val="0"/>
          <w:lang w:val="sr-Cyrl-CS"/>
        </w:rPr>
        <w:t>говор</w:t>
      </w:r>
      <w:r w:rsidR="00B16F8D" w:rsidRPr="00895819">
        <w:rPr>
          <w:snapToGrid w:val="0"/>
          <w:lang w:val="sr-Cyrl-CS"/>
        </w:rPr>
        <w:t>.</w:t>
      </w:r>
    </w:p>
    <w:p w14:paraId="3C0E4A0C" w14:textId="68A764C3" w:rsidR="00B16F8D" w:rsidRPr="00895819" w:rsidRDefault="00B02E95" w:rsidP="00B02E95">
      <w:pPr>
        <w:pStyle w:val="AATitre4"/>
        <w:numPr>
          <w:ilvl w:val="0"/>
          <w:numId w:val="0"/>
        </w:numPr>
        <w:ind w:left="1985" w:hanging="569"/>
        <w:rPr>
          <w:snapToGrid w:val="0"/>
          <w:lang w:val="sr-Cyrl-CS"/>
        </w:rPr>
      </w:pPr>
      <w:r w:rsidRPr="00895819">
        <w:rPr>
          <w:snapToGrid w:val="0"/>
          <w:lang w:val="sr-Cyrl-CS"/>
        </w:rPr>
        <w:t>(б)</w:t>
      </w:r>
      <w:r w:rsidRPr="00895819">
        <w:rPr>
          <w:snapToGrid w:val="0"/>
          <w:lang w:val="sr-Cyrl-CS"/>
        </w:rPr>
        <w:tab/>
      </w:r>
      <w:r w:rsidR="00367B72" w:rsidRPr="00895819">
        <w:rPr>
          <w:snapToGrid w:val="0"/>
          <w:lang w:val="sr-Cyrl-CS"/>
        </w:rPr>
        <w:t>Зајмодавац изричито овлашћује Зајмопримца да експертима (у складу са дефиницијом из Правилника о Жалбеном механизму у погледу животне средине и социјалних питања) и лицима укљученим у поступак ревизије усклађености и/или решавања спора обелодани документа вез</w:t>
      </w:r>
      <w:r w:rsidR="00CF028F" w:rsidRPr="00895819">
        <w:rPr>
          <w:snapToGrid w:val="0"/>
          <w:lang w:val="sr-Cyrl-CS"/>
        </w:rPr>
        <w:t>а</w:t>
      </w:r>
      <w:r w:rsidR="00367B72" w:rsidRPr="00895819">
        <w:rPr>
          <w:snapToGrid w:val="0"/>
          <w:lang w:val="sr-Cyrl-CS"/>
        </w:rPr>
        <w:t>на за Операцију која се односе на животну средину и социјална питања која су неопходна за обраду жалби које се односе на животну средину и социјална питања</w:t>
      </w:r>
      <w:r w:rsidR="00B16F8D" w:rsidRPr="00895819">
        <w:rPr>
          <w:snapToGrid w:val="0"/>
          <w:lang w:val="sr-Cyrl-CS"/>
        </w:rPr>
        <w:t xml:space="preserve"> (</w:t>
      </w:r>
      <w:r w:rsidR="00367B72" w:rsidRPr="00895819">
        <w:rPr>
          <w:snapToGrid w:val="0"/>
          <w:lang w:val="sr-Cyrl-CS"/>
        </w:rPr>
        <w:t>као што је наведено у Правилнику о управљању жалбама у области животне средине и социјалних питања</w:t>
      </w:r>
      <w:r w:rsidR="00B16F8D" w:rsidRPr="00895819">
        <w:rPr>
          <w:snapToGrid w:val="0"/>
          <w:lang w:val="sr-Cyrl-CS"/>
        </w:rPr>
        <w:t xml:space="preserve">), </w:t>
      </w:r>
      <w:r w:rsidR="00367B72" w:rsidRPr="00895819">
        <w:rPr>
          <w:snapToGrid w:val="0"/>
          <w:lang w:val="sr-Cyrl-CS"/>
        </w:rPr>
        <w:t xml:space="preserve">укључујући али не ограничавајући се на оне наведене у Прилогу </w:t>
      </w:r>
      <w:r w:rsidR="00B16F8D" w:rsidRPr="00895819">
        <w:rPr>
          <w:snapToGrid w:val="0"/>
          <w:lang w:val="sr-Cyrl-CS"/>
        </w:rPr>
        <w:t>7 (</w:t>
      </w:r>
      <w:r w:rsidR="00367B72" w:rsidRPr="00895819">
        <w:rPr>
          <w:i/>
          <w:snapToGrid w:val="0"/>
          <w:lang w:val="sr-Cyrl-CS"/>
        </w:rPr>
        <w:t xml:space="preserve">Нетаксативни списак документације о животној средини и социјалним питањима чије објављивање Зајмопримац допушта у складу са Правилником </w:t>
      </w:r>
      <w:r w:rsidR="00367B72" w:rsidRPr="00895819">
        <w:rPr>
          <w:i/>
          <w:iCs/>
          <w:snapToGrid w:val="0"/>
          <w:lang w:val="sr-Cyrl-CS"/>
        </w:rPr>
        <w:t>о Жалбеном механизму у погледу животне средине и социјалних питања</w:t>
      </w:r>
      <w:r w:rsidR="00B16F8D" w:rsidRPr="00895819">
        <w:rPr>
          <w:snapToGrid w:val="0"/>
          <w:lang w:val="sr-Cyrl-CS"/>
        </w:rPr>
        <w:t>).</w:t>
      </w:r>
    </w:p>
    <w:p w14:paraId="0B3B7971" w14:textId="77777777" w:rsidR="00B16F8D" w:rsidRPr="00895819" w:rsidRDefault="00DE0AC9" w:rsidP="000F181A">
      <w:pPr>
        <w:pStyle w:val="AATitre2"/>
        <w:rPr>
          <w:u w:val="none"/>
          <w:lang w:val="sr-Cyrl-CS"/>
        </w:rPr>
      </w:pPr>
      <w:bookmarkStart w:id="99" w:name="_Toc135947184"/>
      <w:r w:rsidRPr="00895819">
        <w:rPr>
          <w:lang w:val="sr-Cyrl-CS"/>
        </w:rPr>
        <w:t>Додатно финансирање</w:t>
      </w:r>
      <w:bookmarkEnd w:id="99"/>
    </w:p>
    <w:p w14:paraId="03AE97AE" w14:textId="77777777" w:rsidR="00B16F8D" w:rsidRPr="00895819" w:rsidRDefault="008C4E92" w:rsidP="00B16F8D">
      <w:pPr>
        <w:pStyle w:val="BodyText1"/>
        <w:rPr>
          <w:lang w:val="sr-Cyrl-CS"/>
        </w:rPr>
      </w:pPr>
      <w:r w:rsidRPr="00895819">
        <w:rPr>
          <w:lang w:val="sr-Cyrl-CS"/>
        </w:rPr>
        <w:t>Зајмопримац неће уносити измене и допуне нити ће мењати План финансирања без претходног писаног одобрења Зајмодавца и финансираће све додатне трошкове који нису антиципирани у Плану финансирања под условима који ће осигурати да Кредит буде отплаћен</w:t>
      </w:r>
      <w:r w:rsidR="00B16F8D" w:rsidRPr="00895819">
        <w:rPr>
          <w:lang w:val="sr-Cyrl-CS"/>
        </w:rPr>
        <w:t>.</w:t>
      </w:r>
    </w:p>
    <w:p w14:paraId="5BFDA774" w14:textId="77777777" w:rsidR="00B16F8D" w:rsidRPr="00895819" w:rsidRDefault="00DE0AC9" w:rsidP="000F181A">
      <w:pPr>
        <w:pStyle w:val="AATitre2"/>
        <w:rPr>
          <w:u w:val="none"/>
          <w:lang w:val="sr-Cyrl-CS"/>
        </w:rPr>
      </w:pPr>
      <w:bookmarkStart w:id="100" w:name="_Toc421631564"/>
      <w:bookmarkStart w:id="101" w:name="_Toc130385364"/>
      <w:bookmarkStart w:id="102" w:name="_Toc135947185"/>
      <w:r w:rsidRPr="00895819">
        <w:rPr>
          <w:lang w:val="sr-Cyrl-CS"/>
        </w:rPr>
        <w:t>Статус pari passu</w:t>
      </w:r>
      <w:bookmarkEnd w:id="100"/>
      <w:bookmarkEnd w:id="101"/>
      <w:bookmarkEnd w:id="102"/>
    </w:p>
    <w:p w14:paraId="2D0E04A7" w14:textId="7D0A3599" w:rsidR="00B16F8D" w:rsidRPr="00895819" w:rsidRDefault="00941B7C" w:rsidP="00B16F8D">
      <w:pPr>
        <w:pStyle w:val="BodyText1"/>
        <w:rPr>
          <w:lang w:val="sr-Cyrl-CS"/>
        </w:rPr>
      </w:pPr>
      <w:r w:rsidRPr="00895819">
        <w:rPr>
          <w:lang w:val="sr-Cyrl-CS"/>
        </w:rPr>
        <w:t>Зајмопримац преузима обавезу (i) да се постара да потражи</w:t>
      </w:r>
      <w:r w:rsidR="009609FE" w:rsidRPr="00895819">
        <w:rPr>
          <w:lang w:val="sr-Cyrl-CS"/>
        </w:rPr>
        <w:t>вања Зајмодавца по основу овог у</w:t>
      </w:r>
      <w:r w:rsidRPr="00895819">
        <w:rPr>
          <w:lang w:val="sr-Cyrl-CS"/>
        </w:rPr>
        <w:t xml:space="preserve">говора имају најмање статус </w:t>
      </w:r>
      <w:r w:rsidRPr="00895819">
        <w:rPr>
          <w:i/>
          <w:iCs/>
          <w:lang w:val="sr-Cyrl-CS"/>
        </w:rPr>
        <w:t xml:space="preserve">pari passu </w:t>
      </w:r>
      <w:r w:rsidRPr="00895819">
        <w:rPr>
          <w:lang w:val="sr-Cyrl-CS"/>
        </w:rPr>
        <w:t>у односу на друг</w:t>
      </w:r>
      <w:r w:rsidR="00CC0234" w:rsidRPr="00895819">
        <w:rPr>
          <w:lang w:val="sr-Cyrl-CS"/>
        </w:rPr>
        <w:t>а</w:t>
      </w:r>
      <w:r w:rsidRPr="00895819">
        <w:rPr>
          <w:lang w:val="sr-Cyrl-CS"/>
        </w:rPr>
        <w:t xml:space="preserve"> садашња и будућа стечајна и разлучна потраживања Зајмопримца; (ii) да не пружи приоритетни статус или гаранцију било ком зајмодавцу осим ако Зајмопримац не пружи исти статус или гаранцију у корист Зајмодавца, ако то Зајмодавац затражи</w:t>
      </w:r>
      <w:r w:rsidR="00B16F8D" w:rsidRPr="00895819">
        <w:rPr>
          <w:lang w:val="sr-Cyrl-CS"/>
        </w:rPr>
        <w:t>.</w:t>
      </w:r>
    </w:p>
    <w:p w14:paraId="0DD549A5" w14:textId="77777777" w:rsidR="00B16F8D" w:rsidRPr="00895819" w:rsidRDefault="00941B7C" w:rsidP="000F181A">
      <w:pPr>
        <w:pStyle w:val="AATitre2"/>
        <w:rPr>
          <w:u w:val="none"/>
          <w:lang w:val="sr-Cyrl-CS"/>
        </w:rPr>
      </w:pPr>
      <w:bookmarkStart w:id="103" w:name="_Toc135947186"/>
      <w:r w:rsidRPr="00895819">
        <w:rPr>
          <w:lang w:val="sr-Cyrl-CS"/>
        </w:rPr>
        <w:lastRenderedPageBreak/>
        <w:t>Надзор</w:t>
      </w:r>
      <w:bookmarkEnd w:id="103"/>
    </w:p>
    <w:p w14:paraId="4A7703A6" w14:textId="77777777" w:rsidR="00B16F8D" w:rsidRPr="00895819" w:rsidRDefault="00941B7C" w:rsidP="00B16F8D">
      <w:pPr>
        <w:pStyle w:val="BodyText1"/>
        <w:rPr>
          <w:lang w:val="sr-Cyrl-CS"/>
        </w:rPr>
      </w:pPr>
      <w:r w:rsidRPr="00895819">
        <w:rPr>
          <w:lang w:val="sr-Cyrl-CS"/>
        </w:rPr>
        <w:t>Зајмопримац овим овлашћује Зајмодавца и његове представнике да изврше годишњи надзор у сврху процене реализације Операције и Оквира резултата описаних у Прилогу</w:t>
      </w:r>
      <w:r w:rsidR="00B16F8D" w:rsidRPr="00895819">
        <w:rPr>
          <w:lang w:val="sr-Cyrl-CS"/>
        </w:rPr>
        <w:t xml:space="preserve"> 3</w:t>
      </w:r>
      <w:r w:rsidRPr="00895819">
        <w:rPr>
          <w:lang w:val="sr-Cyrl-CS"/>
        </w:rPr>
        <w:t>Ц</w:t>
      </w:r>
      <w:r w:rsidR="00B16F8D" w:rsidRPr="00895819">
        <w:rPr>
          <w:lang w:val="sr-Cyrl-CS"/>
        </w:rPr>
        <w:t xml:space="preserve"> (</w:t>
      </w:r>
      <w:r w:rsidRPr="00895819">
        <w:rPr>
          <w:i/>
          <w:lang w:val="sr-Cyrl-CS"/>
        </w:rPr>
        <w:t>Оквир резултата</w:t>
      </w:r>
      <w:r w:rsidR="00B16F8D" w:rsidRPr="00895819">
        <w:rPr>
          <w:lang w:val="sr-Cyrl-CS"/>
        </w:rPr>
        <w:t xml:space="preserve">) </w:t>
      </w:r>
      <w:r w:rsidRPr="00895819">
        <w:rPr>
          <w:lang w:val="sr-Cyrl-CS"/>
        </w:rPr>
        <w:t>у погледу његових техничких, финансијских и институционалних аспеката</w:t>
      </w:r>
      <w:r w:rsidR="00B16F8D" w:rsidRPr="00895819">
        <w:rPr>
          <w:lang w:val="sr-Cyrl-CS"/>
        </w:rPr>
        <w:t>.</w:t>
      </w:r>
    </w:p>
    <w:p w14:paraId="52D3E6CC" w14:textId="77777777" w:rsidR="00B16F8D" w:rsidRPr="00895819" w:rsidRDefault="00EF2715" w:rsidP="00B16F8D">
      <w:pPr>
        <w:pStyle w:val="BodyText1"/>
        <w:rPr>
          <w:lang w:val="sr-Cyrl-CS"/>
        </w:rPr>
      </w:pPr>
      <w:r w:rsidRPr="00895819">
        <w:rPr>
          <w:lang w:val="sr-Cyrl-CS"/>
        </w:rPr>
        <w:t>Зајмопримац ће сарађивати са Зајмодавцем и његовим представницима и пружити им сву разумну помоћ и информације при вршењу таквог надзора, чије ће време и начин утврдити Зајмодавац након што се о томе консултује са Зајмопримцем</w:t>
      </w:r>
      <w:r w:rsidR="00B16F8D" w:rsidRPr="00895819">
        <w:rPr>
          <w:lang w:val="sr-Cyrl-CS"/>
        </w:rPr>
        <w:t>.</w:t>
      </w:r>
    </w:p>
    <w:p w14:paraId="264A04BD" w14:textId="77777777" w:rsidR="00B16F8D" w:rsidRPr="00895819" w:rsidRDefault="00EF2715" w:rsidP="00B16F8D">
      <w:pPr>
        <w:pStyle w:val="BodyText1"/>
        <w:rPr>
          <w:lang w:val="sr-Cyrl-CS"/>
        </w:rPr>
      </w:pPr>
      <w:r w:rsidRPr="00895819">
        <w:rPr>
          <w:lang w:val="sr-Cyrl-CS"/>
        </w:rPr>
        <w:t xml:space="preserve">Зајмопримац ће </w:t>
      </w:r>
      <w:r w:rsidR="00CC0234" w:rsidRPr="00895819">
        <w:rPr>
          <w:lang w:val="sr-Cyrl-CS"/>
        </w:rPr>
        <w:t>чувати</w:t>
      </w:r>
      <w:r w:rsidRPr="00895819">
        <w:rPr>
          <w:lang w:val="sr-Cyrl-CS"/>
        </w:rPr>
        <w:t xml:space="preserve"> и ставити Зајмодавцу на увод сва документа која се односе на расходе Операције током периода од десет </w:t>
      </w:r>
      <w:r w:rsidR="00B16F8D" w:rsidRPr="00895819">
        <w:rPr>
          <w:lang w:val="sr-Cyrl-CS"/>
        </w:rPr>
        <w:t xml:space="preserve">(10) </w:t>
      </w:r>
      <w:r w:rsidRPr="00895819">
        <w:rPr>
          <w:lang w:val="sr-Cyrl-CS"/>
        </w:rPr>
        <w:t>година од датума последњег Повлачења средстава Кредита</w:t>
      </w:r>
      <w:r w:rsidR="00B16F8D" w:rsidRPr="00895819">
        <w:rPr>
          <w:lang w:val="sr-Cyrl-CS"/>
        </w:rPr>
        <w:t xml:space="preserve">. </w:t>
      </w:r>
    </w:p>
    <w:p w14:paraId="00A49E55" w14:textId="77777777" w:rsidR="00B16F8D" w:rsidRPr="00895819" w:rsidRDefault="001C0106" w:rsidP="000F181A">
      <w:pPr>
        <w:pStyle w:val="AATitre2"/>
        <w:rPr>
          <w:u w:val="none"/>
          <w:lang w:val="sr-Cyrl-CS"/>
        </w:rPr>
      </w:pPr>
      <w:bookmarkStart w:id="104" w:name="_Toc135947187"/>
      <w:r w:rsidRPr="00895819">
        <w:rPr>
          <w:lang w:val="sr-Cyrl-CS"/>
        </w:rPr>
        <w:t>Евалуација Операције</w:t>
      </w:r>
      <w:bookmarkEnd w:id="104"/>
    </w:p>
    <w:p w14:paraId="465AC3EC" w14:textId="77777777" w:rsidR="00B16F8D" w:rsidRPr="00895819" w:rsidRDefault="001C0106" w:rsidP="00B16F8D">
      <w:pPr>
        <w:pStyle w:val="BodyText1"/>
        <w:rPr>
          <w:lang w:val="sr-Cyrl-CS"/>
        </w:rPr>
      </w:pPr>
      <w:r w:rsidRPr="00895819">
        <w:rPr>
          <w:lang w:val="sr-Cyrl-CS"/>
        </w:rPr>
        <w:t xml:space="preserve">Зајмопримац је сагласан да Зајмодавац може вршити, или ангажовати треће лице да за његов рачун изврши евалуацију Операције. Повратне информације те евалуације користиће се за израду </w:t>
      </w:r>
      <w:r w:rsidR="008D6EC9" w:rsidRPr="00895819">
        <w:rPr>
          <w:lang w:val="sr-Cyrl-CS"/>
        </w:rPr>
        <w:t>краћег извештаја</w:t>
      </w:r>
      <w:r w:rsidRPr="00895819">
        <w:rPr>
          <w:lang w:val="sr-Cyrl-CS"/>
        </w:rPr>
        <w:t xml:space="preserve"> који ће садржати информације о Операцији, као што је: укупан износ и трајање финансирања, циљеви Операције, очекивани и постигнути квантификовани резултати Операције, </w:t>
      </w:r>
      <w:r w:rsidR="00860CB7" w:rsidRPr="00895819">
        <w:rPr>
          <w:lang w:val="sr-Cyrl-CS"/>
        </w:rPr>
        <w:t>процена релевантности, успешности, утицаја и изводљивости/одрживости Операције, главни закључци и препоруке.</w:t>
      </w:r>
      <w:r w:rsidR="00B16F8D" w:rsidRPr="00895819">
        <w:rPr>
          <w:lang w:val="sr-Cyrl-CS"/>
        </w:rPr>
        <w:t xml:space="preserve"> </w:t>
      </w:r>
    </w:p>
    <w:p w14:paraId="231B128C" w14:textId="77777777" w:rsidR="00B16F8D" w:rsidRPr="00895819" w:rsidRDefault="002C7FCD" w:rsidP="00B16F8D">
      <w:pPr>
        <w:pStyle w:val="BodyText1"/>
        <w:rPr>
          <w:lang w:val="sr-Cyrl-CS"/>
        </w:rPr>
      </w:pPr>
      <w:r w:rsidRPr="00895819">
        <w:rPr>
          <w:lang w:val="sr-Cyrl-CS"/>
        </w:rPr>
        <w:t xml:space="preserve">Главни циљ евалуације је дефинисање кредибилног и независног суда о кључним питањима релевантности, имплементације </w:t>
      </w:r>
      <w:r w:rsidR="00B16F8D" w:rsidRPr="00895819">
        <w:rPr>
          <w:lang w:val="sr-Cyrl-CS"/>
        </w:rPr>
        <w:t>(</w:t>
      </w:r>
      <w:r w:rsidRPr="00895819">
        <w:rPr>
          <w:lang w:val="sr-Cyrl-CS"/>
        </w:rPr>
        <w:t>ефикасности</w:t>
      </w:r>
      <w:r w:rsidR="00B16F8D" w:rsidRPr="00895819">
        <w:rPr>
          <w:lang w:val="sr-Cyrl-CS"/>
        </w:rPr>
        <w:t xml:space="preserve">) </w:t>
      </w:r>
      <w:r w:rsidRPr="00895819">
        <w:rPr>
          <w:lang w:val="sr-Cyrl-CS"/>
        </w:rPr>
        <w:t>и резултата</w:t>
      </w:r>
      <w:r w:rsidR="00B16F8D" w:rsidRPr="00895819">
        <w:rPr>
          <w:lang w:val="sr-Cyrl-CS"/>
        </w:rPr>
        <w:t xml:space="preserve"> (</w:t>
      </w:r>
      <w:r w:rsidRPr="00895819">
        <w:rPr>
          <w:lang w:val="sr-Cyrl-CS"/>
        </w:rPr>
        <w:t>успешности, ефеката и одрживости</w:t>
      </w:r>
      <w:r w:rsidR="00B16F8D" w:rsidRPr="00895819">
        <w:rPr>
          <w:lang w:val="sr-Cyrl-CS"/>
        </w:rPr>
        <w:t xml:space="preserve">). </w:t>
      </w:r>
    </w:p>
    <w:p w14:paraId="60A353AF" w14:textId="77777777" w:rsidR="00B16F8D" w:rsidRPr="00895819" w:rsidRDefault="008E59EB" w:rsidP="00B16F8D">
      <w:pPr>
        <w:pStyle w:val="BodyText1"/>
        <w:rPr>
          <w:lang w:val="sr-Cyrl-CS"/>
        </w:rPr>
      </w:pPr>
      <w:r w:rsidRPr="00895819">
        <w:rPr>
          <w:lang w:val="sr-Cyrl-CS"/>
        </w:rPr>
        <w:t>Евалуатори ће морати да на уравнотежен начин узму у обзир различите легитимне перспективе које се могу изразити и да непристрасно изврше вредновање</w:t>
      </w:r>
      <w:r w:rsidR="00B16F8D" w:rsidRPr="00895819">
        <w:rPr>
          <w:lang w:val="sr-Cyrl-CS"/>
        </w:rPr>
        <w:t>.</w:t>
      </w:r>
    </w:p>
    <w:p w14:paraId="74CE3DB5" w14:textId="77777777" w:rsidR="00B16F8D" w:rsidRPr="00895819" w:rsidRDefault="008E59EB" w:rsidP="00B16F8D">
      <w:pPr>
        <w:pStyle w:val="BodyText1"/>
        <w:rPr>
          <w:lang w:val="sr-Cyrl-CS"/>
        </w:rPr>
      </w:pPr>
      <w:r w:rsidRPr="00895819">
        <w:rPr>
          <w:lang w:val="sr-Cyrl-CS"/>
        </w:rPr>
        <w:t>Зајмопримац ће бити што је могуће ближе укључен у евалуацију, почевши од израде Пројектног задатка до достављања коначног извештаја</w:t>
      </w:r>
      <w:r w:rsidR="00B16F8D" w:rsidRPr="00895819">
        <w:rPr>
          <w:lang w:val="sr-Cyrl-CS"/>
        </w:rPr>
        <w:t>.</w:t>
      </w:r>
    </w:p>
    <w:p w14:paraId="2722407E" w14:textId="510604B0" w:rsidR="00B16F8D" w:rsidRPr="00895819" w:rsidRDefault="008E59EB" w:rsidP="00B16F8D">
      <w:pPr>
        <w:pStyle w:val="BodyText1"/>
        <w:rPr>
          <w:lang w:val="sr-Cyrl-CS"/>
        </w:rPr>
      </w:pPr>
      <w:r w:rsidRPr="00895819">
        <w:rPr>
          <w:lang w:val="sr-Cyrl-CS"/>
        </w:rPr>
        <w:t xml:space="preserve">Зајмопримац је сагласан да се овај </w:t>
      </w:r>
      <w:r w:rsidR="008D6EC9" w:rsidRPr="00895819">
        <w:rPr>
          <w:lang w:val="sr-Cyrl-CS"/>
        </w:rPr>
        <w:t>извештај</w:t>
      </w:r>
      <w:r w:rsidRPr="00895819">
        <w:rPr>
          <w:lang w:val="sr-Cyrl-CS"/>
        </w:rPr>
        <w:t xml:space="preserve"> може објавити, и то нарочито на </w:t>
      </w:r>
      <w:r w:rsidR="00B02E95" w:rsidRPr="00895819">
        <w:rPr>
          <w:lang w:val="sr-Cyrl-CS"/>
        </w:rPr>
        <w:t>и</w:t>
      </w:r>
      <w:r w:rsidRPr="00895819">
        <w:rPr>
          <w:lang w:val="sr-Cyrl-CS"/>
        </w:rPr>
        <w:t>нтернет страници Зајмодавца</w:t>
      </w:r>
      <w:r w:rsidR="00B16F8D" w:rsidRPr="00895819">
        <w:rPr>
          <w:lang w:val="sr-Cyrl-CS"/>
        </w:rPr>
        <w:t>.</w:t>
      </w:r>
    </w:p>
    <w:p w14:paraId="6810DF70" w14:textId="77777777" w:rsidR="00B16F8D" w:rsidRPr="00895819" w:rsidRDefault="003B771F" w:rsidP="000F181A">
      <w:pPr>
        <w:pStyle w:val="AATitre2"/>
        <w:rPr>
          <w:u w:val="none"/>
          <w:lang w:val="sr-Cyrl-CS"/>
        </w:rPr>
      </w:pPr>
      <w:bookmarkStart w:id="105" w:name="_Toc135947188"/>
      <w:r w:rsidRPr="00895819">
        <w:rPr>
          <w:lang w:val="sr-Cyrl-CS"/>
        </w:rPr>
        <w:t>Списак финансијских санкција и ембарга</w:t>
      </w:r>
      <w:bookmarkEnd w:id="105"/>
    </w:p>
    <w:p w14:paraId="6A58B855" w14:textId="77777777" w:rsidR="00B16F8D" w:rsidRPr="00895819" w:rsidRDefault="003B771F" w:rsidP="00B16F8D">
      <w:pPr>
        <w:pStyle w:val="BodyText1"/>
        <w:rPr>
          <w:snapToGrid w:val="0"/>
          <w:lang w:val="sr-Cyrl-CS"/>
        </w:rPr>
      </w:pPr>
      <w:r w:rsidRPr="00895819">
        <w:rPr>
          <w:snapToGrid w:val="0"/>
          <w:lang w:val="sr-Cyrl-CS"/>
        </w:rPr>
        <w:t>Зајмопримац преузима обавезу</w:t>
      </w:r>
      <w:r w:rsidR="00B16F8D" w:rsidRPr="00895819">
        <w:rPr>
          <w:snapToGrid w:val="0"/>
          <w:lang w:val="sr-Cyrl-CS"/>
        </w:rPr>
        <w:t xml:space="preserve">: </w:t>
      </w:r>
    </w:p>
    <w:p w14:paraId="68A47D40" w14:textId="31801C57" w:rsidR="00B16F8D" w:rsidRPr="00895819" w:rsidRDefault="00B02E95" w:rsidP="00B02E95">
      <w:pPr>
        <w:pStyle w:val="AATitre6"/>
        <w:numPr>
          <w:ilvl w:val="0"/>
          <w:numId w:val="0"/>
        </w:numPr>
        <w:ind w:left="1403" w:hanging="705"/>
        <w:rPr>
          <w:lang w:val="sr-Cyrl-CS"/>
        </w:rPr>
      </w:pPr>
      <w:r w:rsidRPr="00895819">
        <w:rPr>
          <w:iCs/>
          <w:lang w:val="sr-Cyrl-CS"/>
        </w:rPr>
        <w:t>(а)</w:t>
      </w:r>
      <w:r w:rsidRPr="00895819">
        <w:rPr>
          <w:iCs/>
          <w:lang w:val="sr-Cyrl-CS"/>
        </w:rPr>
        <w:tab/>
      </w:r>
      <w:r w:rsidR="003B771F" w:rsidRPr="00895819">
        <w:rPr>
          <w:iCs/>
          <w:lang w:val="sr-Cyrl-CS"/>
        </w:rPr>
        <w:t>да се никаква средства или економски ресурси Операције не учине доступним нити да се омогући њихово коришћење, непосредно или посредно, лицима, групама или субјектима наведеним на било каквом Списку финансијских санкција</w:t>
      </w:r>
      <w:r w:rsidR="00B16F8D" w:rsidRPr="00895819">
        <w:rPr>
          <w:lang w:val="sr-Cyrl-CS"/>
        </w:rPr>
        <w:t>;</w:t>
      </w:r>
    </w:p>
    <w:p w14:paraId="0966016E" w14:textId="50F92A4D" w:rsidR="00B16F8D" w:rsidRPr="00895819" w:rsidRDefault="00B02E95" w:rsidP="00B02E95">
      <w:pPr>
        <w:pStyle w:val="AATitre6"/>
        <w:numPr>
          <w:ilvl w:val="0"/>
          <w:numId w:val="0"/>
        </w:numPr>
        <w:ind w:left="1403" w:hanging="705"/>
        <w:rPr>
          <w:lang w:val="sr-Cyrl-CS"/>
        </w:rPr>
      </w:pPr>
      <w:r w:rsidRPr="00895819">
        <w:rPr>
          <w:lang w:val="sr-Cyrl-CS"/>
        </w:rPr>
        <w:t>(б)</w:t>
      </w:r>
      <w:r w:rsidRPr="00895819">
        <w:rPr>
          <w:lang w:val="sr-Cyrl-CS"/>
        </w:rPr>
        <w:tab/>
      </w:r>
      <w:r w:rsidR="005B4438" w:rsidRPr="00895819">
        <w:rPr>
          <w:lang w:val="sr-Cyrl-CS"/>
        </w:rPr>
        <w:t>да неће финансирати, стицати или обезбеђивати било какве производе нити предузимати радње у секторима на које се примењује Ембарго Уједињених нација, Европске уније или Француске</w:t>
      </w:r>
      <w:r w:rsidR="00B16F8D" w:rsidRPr="00895819">
        <w:rPr>
          <w:lang w:val="sr-Cyrl-CS"/>
        </w:rPr>
        <w:t xml:space="preserve">. </w:t>
      </w:r>
    </w:p>
    <w:p w14:paraId="29519222" w14:textId="77777777" w:rsidR="00B16F8D" w:rsidRPr="00895819" w:rsidRDefault="005B4438" w:rsidP="000F181A">
      <w:pPr>
        <w:pStyle w:val="AATitre2"/>
        <w:rPr>
          <w:u w:val="none"/>
          <w:lang w:val="sr-Cyrl-CS"/>
        </w:rPr>
      </w:pPr>
      <w:bookmarkStart w:id="106" w:name="_Ref190168562"/>
      <w:bookmarkStart w:id="107" w:name="_Ref379251412"/>
      <w:bookmarkStart w:id="108" w:name="_Toc421631570"/>
      <w:bookmarkStart w:id="109" w:name="_Toc130385368"/>
      <w:bookmarkStart w:id="110" w:name="_Toc135947189"/>
      <w:r w:rsidRPr="00895819">
        <w:rPr>
          <w:lang w:val="sr-Cyrl-CS"/>
        </w:rPr>
        <w:t>Законито порекло, уздржавање од Забрањених радњи</w:t>
      </w:r>
      <w:bookmarkEnd w:id="106"/>
      <w:bookmarkEnd w:id="107"/>
      <w:bookmarkEnd w:id="108"/>
      <w:bookmarkEnd w:id="109"/>
      <w:bookmarkEnd w:id="110"/>
      <w:r w:rsidR="00B16F8D" w:rsidRPr="00895819">
        <w:rPr>
          <w:lang w:val="sr-Cyrl-CS"/>
        </w:rPr>
        <w:t xml:space="preserve"> </w:t>
      </w:r>
    </w:p>
    <w:p w14:paraId="395FEC88" w14:textId="77777777" w:rsidR="00B16F8D" w:rsidRPr="00895819" w:rsidRDefault="00BB2802" w:rsidP="00B16F8D">
      <w:pPr>
        <w:pStyle w:val="BodyText1"/>
        <w:rPr>
          <w:lang w:val="sr-Cyrl-CS"/>
        </w:rPr>
      </w:pPr>
      <w:r w:rsidRPr="00895819">
        <w:rPr>
          <w:lang w:val="sr-Cyrl-CS"/>
        </w:rPr>
        <w:t>Зајмопримац преузима обавезу</w:t>
      </w:r>
      <w:r w:rsidR="00B16F8D" w:rsidRPr="00895819">
        <w:rPr>
          <w:lang w:val="sr-Cyrl-CS"/>
        </w:rPr>
        <w:t>:</w:t>
      </w:r>
    </w:p>
    <w:p w14:paraId="3001F081" w14:textId="7CC0EC8A" w:rsidR="00B16F8D" w:rsidRPr="00895819" w:rsidRDefault="00B02E95" w:rsidP="00B02E95">
      <w:pPr>
        <w:pStyle w:val="AATitre6"/>
        <w:numPr>
          <w:ilvl w:val="0"/>
          <w:numId w:val="0"/>
        </w:numPr>
        <w:ind w:left="1403" w:hanging="705"/>
        <w:rPr>
          <w:lang w:val="sr-Cyrl-CS"/>
        </w:rPr>
      </w:pPr>
      <w:r w:rsidRPr="00895819">
        <w:rPr>
          <w:lang w:val="sr-Cyrl-CS"/>
        </w:rPr>
        <w:lastRenderedPageBreak/>
        <w:t>(а)</w:t>
      </w:r>
      <w:r w:rsidRPr="00895819">
        <w:rPr>
          <w:lang w:val="sr-Cyrl-CS"/>
        </w:rPr>
        <w:tab/>
      </w:r>
      <w:r w:rsidR="005B4438" w:rsidRPr="00895819">
        <w:rPr>
          <w:lang w:val="sr-Cyrl-CS"/>
        </w:rPr>
        <w:t>да средства Кредита користи у складу са политиком Групе АФД у погледу спречавања и борбе против забрањених радњи, која је доступна на њеној Интернет страници</w:t>
      </w:r>
      <w:r w:rsidR="00B16F8D" w:rsidRPr="00895819">
        <w:rPr>
          <w:lang w:val="sr-Cyrl-CS"/>
        </w:rPr>
        <w:t xml:space="preserve">; </w:t>
      </w:r>
    </w:p>
    <w:p w14:paraId="55744932" w14:textId="75EB55A6" w:rsidR="00B16F8D" w:rsidRPr="00895819" w:rsidRDefault="00B02E95" w:rsidP="00B02E95">
      <w:pPr>
        <w:pStyle w:val="AATitre6"/>
        <w:numPr>
          <w:ilvl w:val="0"/>
          <w:numId w:val="0"/>
        </w:numPr>
        <w:ind w:left="1403" w:hanging="705"/>
        <w:rPr>
          <w:lang w:val="sr-Cyrl-CS"/>
        </w:rPr>
      </w:pPr>
      <w:r w:rsidRPr="00895819">
        <w:rPr>
          <w:lang w:val="sr-Cyrl-CS"/>
        </w:rPr>
        <w:t>(б)</w:t>
      </w:r>
      <w:r w:rsidRPr="00895819">
        <w:rPr>
          <w:lang w:val="sr-Cyrl-CS"/>
        </w:rPr>
        <w:tab/>
      </w:r>
      <w:r w:rsidR="005B4438" w:rsidRPr="00895819">
        <w:rPr>
          <w:lang w:val="sr-Cyrl-CS"/>
        </w:rPr>
        <w:t>да се постара да средства, осим средстава Државног порекла, која се користе за реализацију Операције не</w:t>
      </w:r>
      <w:r w:rsidR="004B3480" w:rsidRPr="00895819">
        <w:rPr>
          <w:lang w:val="sr-Cyrl-CS"/>
        </w:rPr>
        <w:t xml:space="preserve"> буду</w:t>
      </w:r>
      <w:r w:rsidR="005B4438" w:rsidRPr="00895819">
        <w:rPr>
          <w:lang w:val="sr-Cyrl-CS"/>
        </w:rPr>
        <w:t xml:space="preserve"> Незаконитог порекла</w:t>
      </w:r>
      <w:r w:rsidR="00B16F8D" w:rsidRPr="00895819">
        <w:rPr>
          <w:lang w:val="sr-Cyrl-CS"/>
        </w:rPr>
        <w:t>;</w:t>
      </w:r>
    </w:p>
    <w:p w14:paraId="6928F62D" w14:textId="2A6C01F8" w:rsidR="00B16F8D" w:rsidRPr="00895819" w:rsidRDefault="00B02E95" w:rsidP="00B02E95">
      <w:pPr>
        <w:pStyle w:val="AATitre6"/>
        <w:numPr>
          <w:ilvl w:val="0"/>
          <w:numId w:val="0"/>
        </w:numPr>
        <w:ind w:left="720" w:hanging="22"/>
        <w:rPr>
          <w:lang w:val="sr-Cyrl-CS"/>
        </w:rPr>
      </w:pPr>
      <w:r w:rsidRPr="00895819">
        <w:rPr>
          <w:lang w:val="sr-Cyrl-CS"/>
        </w:rPr>
        <w:t>(ц)</w:t>
      </w:r>
      <w:r w:rsidRPr="00895819">
        <w:rPr>
          <w:lang w:val="sr-Cyrl-CS"/>
        </w:rPr>
        <w:tab/>
      </w:r>
      <w:r w:rsidR="005B4438" w:rsidRPr="00895819">
        <w:rPr>
          <w:lang w:val="sr-Cyrl-CS"/>
        </w:rPr>
        <w:t>да се постара да реализација Програма н</w:t>
      </w:r>
      <w:r w:rsidR="004B3480" w:rsidRPr="00895819">
        <w:rPr>
          <w:lang w:val="sr-Cyrl-CS"/>
        </w:rPr>
        <w:t xml:space="preserve"> доведе </w:t>
      </w:r>
      <w:r w:rsidR="005B4438" w:rsidRPr="00895819">
        <w:rPr>
          <w:lang w:val="sr-Cyrl-CS"/>
        </w:rPr>
        <w:t>ни до какве Забрањене радње</w:t>
      </w:r>
      <w:r w:rsidR="00B16F8D" w:rsidRPr="00895819">
        <w:rPr>
          <w:lang w:val="sr-Cyrl-CS"/>
        </w:rPr>
        <w:t xml:space="preserve">; </w:t>
      </w:r>
    </w:p>
    <w:p w14:paraId="63791594" w14:textId="3B4A7EB8" w:rsidR="00B16F8D" w:rsidRPr="00895819" w:rsidRDefault="00B02E95" w:rsidP="00B02E95">
      <w:pPr>
        <w:pStyle w:val="AATitre6"/>
        <w:numPr>
          <w:ilvl w:val="0"/>
          <w:numId w:val="0"/>
        </w:numPr>
        <w:ind w:left="1403" w:hanging="705"/>
        <w:rPr>
          <w:lang w:val="sr-Cyrl-CS"/>
        </w:rPr>
      </w:pPr>
      <w:r w:rsidRPr="00895819">
        <w:rPr>
          <w:lang w:val="sr-Cyrl-CS"/>
        </w:rPr>
        <w:t>(д)</w:t>
      </w:r>
      <w:r w:rsidRPr="00895819">
        <w:rPr>
          <w:lang w:val="sr-Cyrl-CS"/>
        </w:rPr>
        <w:tab/>
      </w:r>
      <w:r w:rsidR="005B4438" w:rsidRPr="00895819">
        <w:rPr>
          <w:lang w:val="sr-Cyrl-CS"/>
        </w:rPr>
        <w:t>да извести Зајмодавца без одлагања чим постане свестан било какве Забрањене радње или посумња на њу</w:t>
      </w:r>
      <w:r w:rsidR="00B16F8D" w:rsidRPr="00895819">
        <w:rPr>
          <w:lang w:val="sr-Cyrl-CS"/>
        </w:rPr>
        <w:t xml:space="preserve">; </w:t>
      </w:r>
    </w:p>
    <w:p w14:paraId="373DCAEC" w14:textId="00C8FD8D" w:rsidR="00B16F8D" w:rsidRPr="00895819" w:rsidRDefault="00B02E95" w:rsidP="00B02E95">
      <w:pPr>
        <w:pStyle w:val="AATitre6"/>
        <w:numPr>
          <w:ilvl w:val="0"/>
          <w:numId w:val="0"/>
        </w:numPr>
        <w:ind w:left="1403" w:hanging="705"/>
        <w:rPr>
          <w:sz w:val="24"/>
          <w:szCs w:val="24"/>
          <w:lang w:val="sr-Cyrl-CS"/>
        </w:rPr>
      </w:pPr>
      <w:r w:rsidRPr="00895819">
        <w:rPr>
          <w:lang w:val="sr-Cyrl-CS"/>
        </w:rPr>
        <w:t>(е)</w:t>
      </w:r>
      <w:r w:rsidRPr="00895819">
        <w:rPr>
          <w:lang w:val="sr-Cyrl-CS"/>
        </w:rPr>
        <w:tab/>
      </w:r>
      <w:r w:rsidR="005B4438" w:rsidRPr="00895819">
        <w:rPr>
          <w:lang w:val="sr-Cyrl-CS"/>
        </w:rPr>
        <w:t>у случају из горе наведеног става, или на захтев Зајмодавца ако Зајмодавац посумња да је дошло до Забрањене радње, предузме све неопходне радње ради отклањања таквог случаја на начин који је прихватљив Зајмодавцу и у року који одреди Зајмодавац; и</w:t>
      </w:r>
    </w:p>
    <w:p w14:paraId="589E98BF" w14:textId="1258D626" w:rsidR="00B16F8D" w:rsidRPr="00895819" w:rsidRDefault="00B02E95" w:rsidP="00B02E95">
      <w:pPr>
        <w:pStyle w:val="AATitre6"/>
        <w:numPr>
          <w:ilvl w:val="0"/>
          <w:numId w:val="0"/>
        </w:numPr>
        <w:ind w:left="1403" w:hanging="705"/>
        <w:rPr>
          <w:lang w:val="sr-Cyrl-CS"/>
        </w:rPr>
      </w:pPr>
      <w:r w:rsidRPr="00895819">
        <w:rPr>
          <w:lang w:val="sr-Cyrl-CS"/>
        </w:rPr>
        <w:t>(ф)</w:t>
      </w:r>
      <w:r w:rsidRPr="00895819">
        <w:rPr>
          <w:lang w:val="sr-Cyrl-CS"/>
        </w:rPr>
        <w:tab/>
      </w:r>
      <w:r w:rsidR="00BB2802" w:rsidRPr="00895819">
        <w:rPr>
          <w:lang w:val="sr-Cyrl-CS"/>
        </w:rPr>
        <w:t>да извести Зајмодавца без одлагања ако сазна за било какве информације које изазивају сумњу у Незаконито порекло било којих средстава која се користе за реализацију Операције</w:t>
      </w:r>
      <w:r w:rsidR="00B16F8D" w:rsidRPr="00895819">
        <w:rPr>
          <w:lang w:val="sr-Cyrl-CS"/>
        </w:rPr>
        <w:t>.</w:t>
      </w:r>
    </w:p>
    <w:p w14:paraId="5756CF7F" w14:textId="77777777" w:rsidR="00B16F8D" w:rsidRPr="00895819" w:rsidRDefault="00BB2802" w:rsidP="000F181A">
      <w:pPr>
        <w:pStyle w:val="AATitre2"/>
        <w:rPr>
          <w:lang w:val="sr-Cyrl-CS"/>
        </w:rPr>
      </w:pPr>
      <w:bookmarkStart w:id="111" w:name="_Toc135947190"/>
      <w:r w:rsidRPr="00895819">
        <w:rPr>
          <w:lang w:val="sr-Cyrl-CS"/>
        </w:rPr>
        <w:t>Истрага</w:t>
      </w:r>
      <w:bookmarkEnd w:id="111"/>
    </w:p>
    <w:p w14:paraId="38631B7F" w14:textId="77777777" w:rsidR="00B16F8D" w:rsidRPr="00895819" w:rsidRDefault="00BB2802" w:rsidP="00B16F8D">
      <w:pPr>
        <w:pStyle w:val="BodyText1"/>
        <w:rPr>
          <w:lang w:val="sr-Cyrl-CS"/>
        </w:rPr>
      </w:pPr>
      <w:r w:rsidRPr="00895819">
        <w:rPr>
          <w:lang w:val="sr-Cyrl-CS"/>
        </w:rPr>
        <w:t>Зајмопримац ће дозволити Зајмодавцу или било којој трећој страни коју је Зајмодавац овластио да спроведе истрагу у случају навода о забрањеној пракси. У том циљу, Зајмодавац или било које треће лице које он овласти је овлашћен да</w:t>
      </w:r>
      <w:r w:rsidR="00B16F8D" w:rsidRPr="00895819">
        <w:rPr>
          <w:lang w:val="sr-Cyrl-CS"/>
        </w:rPr>
        <w:t xml:space="preserve">: </w:t>
      </w:r>
    </w:p>
    <w:p w14:paraId="4D22A13E" w14:textId="5F3C1855" w:rsidR="00B16F8D" w:rsidRPr="00895819" w:rsidRDefault="00B02E95" w:rsidP="00B02E95">
      <w:pPr>
        <w:pStyle w:val="AATitre4"/>
        <w:numPr>
          <w:ilvl w:val="0"/>
          <w:numId w:val="0"/>
        </w:numPr>
        <w:ind w:left="1440" w:hanging="720"/>
        <w:rPr>
          <w:lang w:val="sr-Cyrl-CS"/>
        </w:rPr>
      </w:pPr>
      <w:r w:rsidRPr="00895819">
        <w:rPr>
          <w:lang w:val="sr-Cyrl-CS"/>
        </w:rPr>
        <w:t>(а)</w:t>
      </w:r>
      <w:r w:rsidRPr="00895819">
        <w:rPr>
          <w:lang w:val="sr-Cyrl-CS"/>
        </w:rPr>
        <w:tab/>
      </w:r>
      <w:r w:rsidR="00BB2802" w:rsidRPr="00895819">
        <w:rPr>
          <w:lang w:val="sr-Cyrl-CS"/>
        </w:rPr>
        <w:t>ступи у контакт како би интервјуисао свакога ко може имати информације о наводној забрањеној пракси</w:t>
      </w:r>
      <w:r w:rsidR="00B16F8D" w:rsidRPr="00895819">
        <w:rPr>
          <w:lang w:val="sr-Cyrl-CS"/>
        </w:rPr>
        <w:t xml:space="preserve">; </w:t>
      </w:r>
    </w:p>
    <w:p w14:paraId="449093A7" w14:textId="12D5537D" w:rsidR="00B16F8D" w:rsidRPr="00895819" w:rsidRDefault="00B02E95" w:rsidP="00B02E95">
      <w:pPr>
        <w:pStyle w:val="AATitre4"/>
        <w:numPr>
          <w:ilvl w:val="0"/>
          <w:numId w:val="0"/>
        </w:numPr>
        <w:ind w:left="1440" w:hanging="720"/>
        <w:rPr>
          <w:lang w:val="sr-Cyrl-CS"/>
        </w:rPr>
      </w:pPr>
      <w:r w:rsidRPr="00895819">
        <w:rPr>
          <w:lang w:val="sr-Cyrl-CS"/>
        </w:rPr>
        <w:t>(б)</w:t>
      </w:r>
      <w:r w:rsidRPr="00895819">
        <w:rPr>
          <w:lang w:val="sr-Cyrl-CS"/>
        </w:rPr>
        <w:tab/>
      </w:r>
      <w:r w:rsidR="00BB2802" w:rsidRPr="00895819">
        <w:rPr>
          <w:lang w:val="sr-Cyrl-CS"/>
        </w:rPr>
        <w:t>спроводи такве ревизије и контроле, како документације тако и на лицу места, које Зајмодавац сматра одговарајућим, укључујући приступ рачуноводственим књигама и евиденцијама или било којој другој документацији која се односи на Операцију коју држи Зајмопримац или било које лице или ентитет повезан са Операцијом</w:t>
      </w:r>
      <w:r w:rsidR="00B16F8D" w:rsidRPr="00895819">
        <w:rPr>
          <w:lang w:val="sr-Cyrl-CS"/>
        </w:rPr>
        <w:t>;</w:t>
      </w:r>
    </w:p>
    <w:p w14:paraId="797D361F" w14:textId="51E83B78" w:rsidR="00B16F8D" w:rsidRPr="00895819" w:rsidRDefault="00B02E95" w:rsidP="00B02E95">
      <w:pPr>
        <w:pStyle w:val="AATitre4"/>
        <w:numPr>
          <w:ilvl w:val="0"/>
          <w:numId w:val="0"/>
        </w:numPr>
        <w:ind w:left="1440" w:hanging="720"/>
        <w:rPr>
          <w:lang w:val="sr-Cyrl-CS"/>
        </w:rPr>
      </w:pPr>
      <w:r w:rsidRPr="00895819">
        <w:rPr>
          <w:lang w:val="sr-Cyrl-CS"/>
        </w:rPr>
        <w:t>(ц)</w:t>
      </w:r>
      <w:r w:rsidRPr="00895819">
        <w:rPr>
          <w:lang w:val="sr-Cyrl-CS"/>
        </w:rPr>
        <w:tab/>
      </w:r>
      <w:r w:rsidR="00BB2802" w:rsidRPr="00895819">
        <w:rPr>
          <w:lang w:val="sr-Cyrl-CS"/>
        </w:rPr>
        <w:t>врши посете локацијама, објектима и радовима укљученим у Операцију; и</w:t>
      </w:r>
    </w:p>
    <w:p w14:paraId="539235E7" w14:textId="2FDA39FF" w:rsidR="00B16F8D" w:rsidRPr="00895819" w:rsidRDefault="00B02E95" w:rsidP="00B02E95">
      <w:pPr>
        <w:pStyle w:val="AATitre4"/>
        <w:numPr>
          <w:ilvl w:val="0"/>
          <w:numId w:val="0"/>
        </w:numPr>
        <w:ind w:left="1440" w:hanging="720"/>
        <w:rPr>
          <w:lang w:val="sr-Cyrl-CS"/>
        </w:rPr>
      </w:pPr>
      <w:r w:rsidRPr="00895819">
        <w:rPr>
          <w:lang w:val="sr-Cyrl-CS"/>
        </w:rPr>
        <w:t>(д)</w:t>
      </w:r>
      <w:r w:rsidRPr="00895819">
        <w:rPr>
          <w:lang w:val="sr-Cyrl-CS"/>
        </w:rPr>
        <w:tab/>
      </w:r>
      <w:r w:rsidR="00FA2B48" w:rsidRPr="00895819">
        <w:rPr>
          <w:lang w:val="sr-Cyrl-CS"/>
        </w:rPr>
        <w:t>реализује</w:t>
      </w:r>
      <w:r w:rsidR="00BB2802" w:rsidRPr="00895819">
        <w:rPr>
          <w:lang w:val="sr-Cyrl-CS"/>
        </w:rPr>
        <w:t xml:space="preserve"> све кораке и радње неопходне за ове истраге</w:t>
      </w:r>
      <w:r w:rsidR="00B16F8D" w:rsidRPr="00895819">
        <w:rPr>
          <w:lang w:val="sr-Cyrl-CS"/>
        </w:rPr>
        <w:t xml:space="preserve">. </w:t>
      </w:r>
    </w:p>
    <w:p w14:paraId="2B2AB576" w14:textId="77777777" w:rsidR="00B16F8D" w:rsidRPr="00895819" w:rsidRDefault="00972E59" w:rsidP="00B16F8D">
      <w:pPr>
        <w:pStyle w:val="BodyText1"/>
        <w:rPr>
          <w:lang w:val="sr-Cyrl-CS"/>
        </w:rPr>
      </w:pPr>
      <w:r w:rsidRPr="00895819">
        <w:rPr>
          <w:lang w:val="sr-Cyrl-CS"/>
        </w:rPr>
        <w:t xml:space="preserve">Зајмопримац ће обезбедити да тендерска документација, уговори и подуговори који се финансирају из Кредита омогућавају спровођење овог члана </w:t>
      </w:r>
      <w:r w:rsidR="00615BC2" w:rsidRPr="00895819">
        <w:rPr>
          <w:lang w:val="sr-Cyrl-CS"/>
        </w:rPr>
        <w:t>11.12</w:t>
      </w:r>
      <w:r w:rsidR="00B16F8D" w:rsidRPr="00895819">
        <w:rPr>
          <w:lang w:val="sr-Cyrl-CS"/>
        </w:rPr>
        <w:t xml:space="preserve">. </w:t>
      </w:r>
    </w:p>
    <w:p w14:paraId="208041D7" w14:textId="77777777" w:rsidR="00B16F8D" w:rsidRPr="00895819" w:rsidRDefault="00972E59" w:rsidP="00B16F8D">
      <w:pPr>
        <w:pStyle w:val="BodyText1"/>
        <w:rPr>
          <w:lang w:val="sr-Cyrl-CS"/>
        </w:rPr>
      </w:pPr>
      <w:r w:rsidRPr="00895819">
        <w:rPr>
          <w:lang w:val="sr-Cyrl-CS"/>
        </w:rPr>
        <w:t xml:space="preserve">Непоштовање овог члана </w:t>
      </w:r>
      <w:r w:rsidR="00615BC2" w:rsidRPr="00895819">
        <w:rPr>
          <w:lang w:val="sr-Cyrl-CS"/>
        </w:rPr>
        <w:t>11.12</w:t>
      </w:r>
      <w:r w:rsidR="00B16F8D" w:rsidRPr="00895819">
        <w:rPr>
          <w:lang w:val="sr-Cyrl-CS"/>
        </w:rPr>
        <w:t xml:space="preserve"> </w:t>
      </w:r>
      <w:r w:rsidRPr="00895819">
        <w:rPr>
          <w:lang w:val="sr-Cyrl-CS"/>
        </w:rPr>
        <w:t>од стране Зајмопримца може, према нахођењу Зајмодавца, представљати</w:t>
      </w:r>
      <w:r w:rsidR="00B16F8D" w:rsidRPr="00895819">
        <w:rPr>
          <w:lang w:val="sr-Cyrl-CS"/>
        </w:rPr>
        <w:t xml:space="preserve"> </w:t>
      </w:r>
      <w:r w:rsidRPr="00895819">
        <w:rPr>
          <w:lang w:val="sr-Cyrl-CS"/>
        </w:rPr>
        <w:t>Радњу ометања сарадње</w:t>
      </w:r>
      <w:r w:rsidR="00B16F8D" w:rsidRPr="00895819">
        <w:rPr>
          <w:lang w:val="sr-Cyrl-CS"/>
        </w:rPr>
        <w:t>.</w:t>
      </w:r>
    </w:p>
    <w:p w14:paraId="736AA401" w14:textId="77777777" w:rsidR="00B16F8D" w:rsidRPr="00895819" w:rsidRDefault="00487220" w:rsidP="000F181A">
      <w:pPr>
        <w:pStyle w:val="AATitre2"/>
        <w:rPr>
          <w:lang w:val="sr-Cyrl-CS"/>
        </w:rPr>
      </w:pPr>
      <w:bookmarkStart w:id="112" w:name="_Toc135947191"/>
      <w:r w:rsidRPr="00895819">
        <w:rPr>
          <w:lang w:val="sr-Cyrl-CS"/>
        </w:rPr>
        <w:t>Видљивост и комуникација</w:t>
      </w:r>
      <w:bookmarkEnd w:id="112"/>
    </w:p>
    <w:p w14:paraId="5D229E77" w14:textId="77777777" w:rsidR="00B16F8D" w:rsidRPr="00895819" w:rsidRDefault="00487220" w:rsidP="00B16F8D">
      <w:pPr>
        <w:pStyle w:val="BodyText1"/>
        <w:rPr>
          <w:lang w:val="sr-Cyrl-CS"/>
        </w:rPr>
      </w:pPr>
      <w:r w:rsidRPr="00895819">
        <w:rPr>
          <w:lang w:val="sr-Cyrl-CS"/>
        </w:rPr>
        <w:t xml:space="preserve">Зајмопримац ће спровести мере видљивости и комуникације које се односе на реализацију </w:t>
      </w:r>
      <w:r w:rsidR="00F07595" w:rsidRPr="00895819">
        <w:rPr>
          <w:lang w:val="sr-Cyrl-CS"/>
        </w:rPr>
        <w:t>Операције</w:t>
      </w:r>
      <w:r w:rsidRPr="00895819">
        <w:rPr>
          <w:lang w:val="sr-Cyrl-CS"/>
        </w:rPr>
        <w:t xml:space="preserve"> у складу са одредбама Водича о видљивости и комуникацијама и изјављује да је у потпуности прочитао наведени Водич и упознао се са његовом садржином</w:t>
      </w:r>
      <w:r w:rsidR="00B16F8D" w:rsidRPr="00895819">
        <w:rPr>
          <w:lang w:val="sr-Cyrl-CS"/>
        </w:rPr>
        <w:t xml:space="preserve">. </w:t>
      </w:r>
    </w:p>
    <w:p w14:paraId="14262ED9" w14:textId="77777777" w:rsidR="00B16F8D" w:rsidRPr="00895819" w:rsidRDefault="00487220" w:rsidP="00B16F8D">
      <w:pPr>
        <w:pStyle w:val="BodyText1"/>
        <w:rPr>
          <w:lang w:val="sr-Cyrl-CS"/>
        </w:rPr>
      </w:pPr>
      <w:r w:rsidRPr="00895819">
        <w:rPr>
          <w:lang w:val="sr-Cyrl-CS"/>
        </w:rPr>
        <w:t>У складу са Водичем о видљивости и комуникацијама, на Операцију се примењују обавезе комуникација и видљивости нивоа 1</w:t>
      </w:r>
      <w:r w:rsidR="00B16F8D" w:rsidRPr="00895819">
        <w:rPr>
          <w:lang w:val="sr-Cyrl-CS"/>
        </w:rPr>
        <w:t>.</w:t>
      </w:r>
    </w:p>
    <w:p w14:paraId="17DFF8BA" w14:textId="77777777" w:rsidR="00B16F8D" w:rsidRPr="00895819" w:rsidRDefault="00487220" w:rsidP="000F181A">
      <w:pPr>
        <w:pStyle w:val="AATitre2"/>
        <w:rPr>
          <w:lang w:val="sr-Cyrl-CS"/>
        </w:rPr>
      </w:pPr>
      <w:bookmarkStart w:id="113" w:name="_Toc135947192"/>
      <w:r w:rsidRPr="00895819">
        <w:rPr>
          <w:lang w:val="sr-Cyrl-CS"/>
        </w:rPr>
        <w:lastRenderedPageBreak/>
        <w:t>Наменски рачун</w:t>
      </w:r>
      <w:bookmarkEnd w:id="113"/>
    </w:p>
    <w:p w14:paraId="0655AC66" w14:textId="31BC12CB" w:rsidR="00B16F8D" w:rsidRPr="00895819" w:rsidRDefault="004A62B5" w:rsidP="00B16F8D">
      <w:pPr>
        <w:spacing w:after="100" w:afterAutospacing="1"/>
        <w:ind w:left="709"/>
        <w:rPr>
          <w:lang w:val="sr-Cyrl-CS"/>
        </w:rPr>
      </w:pPr>
      <w:r w:rsidRPr="00895819">
        <w:rPr>
          <w:lang w:val="sr-Cyrl-CS"/>
        </w:rPr>
        <w:t>Зајмопримац ће отворити, одржавати и финансирати Наменски ра</w:t>
      </w:r>
      <w:r w:rsidR="009609FE" w:rsidRPr="00895819">
        <w:rPr>
          <w:lang w:val="sr-Cyrl-CS"/>
        </w:rPr>
        <w:t>чун у складу са одредбама овог у</w:t>
      </w:r>
      <w:r w:rsidRPr="00895819">
        <w:rPr>
          <w:lang w:val="sr-Cyrl-CS"/>
        </w:rPr>
        <w:t>говора</w:t>
      </w:r>
      <w:r w:rsidR="00B16F8D" w:rsidRPr="00895819">
        <w:rPr>
          <w:lang w:val="sr-Cyrl-CS"/>
        </w:rPr>
        <w:t>.</w:t>
      </w:r>
    </w:p>
    <w:p w14:paraId="1FC37AB5" w14:textId="77777777" w:rsidR="00B16F8D" w:rsidRPr="00895819" w:rsidRDefault="00100F69" w:rsidP="000F181A">
      <w:pPr>
        <w:pStyle w:val="AATitre2"/>
        <w:rPr>
          <w:lang w:val="sr-Cyrl-CS"/>
        </w:rPr>
      </w:pPr>
      <w:bookmarkStart w:id="114" w:name="_Toc135947193"/>
      <w:r w:rsidRPr="00895819">
        <w:rPr>
          <w:lang w:val="sr-Cyrl-CS"/>
        </w:rPr>
        <w:t>Набавке</w:t>
      </w:r>
      <w:bookmarkEnd w:id="114"/>
    </w:p>
    <w:p w14:paraId="29472754" w14:textId="77777777" w:rsidR="00225DCB" w:rsidRPr="00895819" w:rsidRDefault="00B17CBE" w:rsidP="00225DCB">
      <w:pPr>
        <w:pStyle w:val="AlltAATitre6"/>
        <w:ind w:left="709"/>
        <w:rPr>
          <w:color w:val="000000"/>
          <w:szCs w:val="22"/>
          <w:lang w:val="sr-Cyrl-CS"/>
        </w:rPr>
      </w:pPr>
      <w:r w:rsidRPr="00895819">
        <w:rPr>
          <w:color w:val="000000"/>
          <w:szCs w:val="22"/>
          <w:lang w:val="sr-Cyrl-CS"/>
        </w:rPr>
        <w:t xml:space="preserve">У </w:t>
      </w:r>
      <w:r w:rsidR="005009E0" w:rsidRPr="00895819">
        <w:rPr>
          <w:color w:val="000000"/>
          <w:szCs w:val="22"/>
          <w:lang w:val="sr-Cyrl-CS"/>
        </w:rPr>
        <w:t>погледу</w:t>
      </w:r>
      <w:r w:rsidRPr="00895819">
        <w:rPr>
          <w:color w:val="000000"/>
          <w:szCs w:val="22"/>
          <w:lang w:val="sr-Cyrl-CS"/>
        </w:rPr>
        <w:t xml:space="preserve"> набавк</w:t>
      </w:r>
      <w:r w:rsidR="005009E0" w:rsidRPr="00895819">
        <w:rPr>
          <w:color w:val="000000"/>
          <w:szCs w:val="22"/>
          <w:lang w:val="sr-Cyrl-CS"/>
        </w:rPr>
        <w:t>и</w:t>
      </w:r>
      <w:r w:rsidRPr="00895819">
        <w:rPr>
          <w:color w:val="000000"/>
          <w:szCs w:val="22"/>
          <w:lang w:val="sr-Cyrl-CS"/>
        </w:rPr>
        <w:t>, додел</w:t>
      </w:r>
      <w:r w:rsidR="005009E0" w:rsidRPr="00895819">
        <w:rPr>
          <w:color w:val="000000"/>
          <w:szCs w:val="22"/>
          <w:lang w:val="sr-Cyrl-CS"/>
        </w:rPr>
        <w:t>е</w:t>
      </w:r>
      <w:r w:rsidRPr="00895819">
        <w:rPr>
          <w:color w:val="000000"/>
          <w:szCs w:val="22"/>
          <w:lang w:val="sr-Cyrl-CS"/>
        </w:rPr>
        <w:t xml:space="preserve"> и </w:t>
      </w:r>
      <w:r w:rsidR="005009E0" w:rsidRPr="00895819">
        <w:rPr>
          <w:color w:val="000000"/>
          <w:szCs w:val="22"/>
          <w:lang w:val="sr-Cyrl-CS"/>
        </w:rPr>
        <w:t xml:space="preserve">реализације </w:t>
      </w:r>
      <w:r w:rsidRPr="00895819">
        <w:rPr>
          <w:color w:val="000000"/>
          <w:szCs w:val="22"/>
          <w:lang w:val="sr-Cyrl-CS"/>
        </w:rPr>
        <w:t>уговора склопљених у сврху спровођења Транше техничке помоћи или било ког њеног дела, Зајмопримац ће поштовати и спроводити одредбе Важећих прописа о набавкама</w:t>
      </w:r>
      <w:r w:rsidR="00225DCB" w:rsidRPr="00895819">
        <w:rPr>
          <w:color w:val="000000"/>
          <w:szCs w:val="22"/>
          <w:lang w:val="sr-Cyrl-CS"/>
        </w:rPr>
        <w:t xml:space="preserve">. </w:t>
      </w:r>
    </w:p>
    <w:p w14:paraId="29BC967C" w14:textId="77777777" w:rsidR="00381987" w:rsidRPr="00895819" w:rsidRDefault="00B17CBE" w:rsidP="00381987">
      <w:pPr>
        <w:pStyle w:val="AlltAATitre6"/>
        <w:ind w:left="709"/>
        <w:rPr>
          <w:color w:val="000000"/>
          <w:szCs w:val="22"/>
          <w:lang w:val="sr-Cyrl-CS"/>
        </w:rPr>
      </w:pPr>
      <w:r w:rsidRPr="00895819">
        <w:rPr>
          <w:color w:val="000000"/>
          <w:szCs w:val="22"/>
          <w:lang w:val="sr-Cyrl-CS"/>
        </w:rPr>
        <w:t>Зајмопримац ће предузети све радње и кораке неопходне за ефективну примену Важећих прописа о набавкама</w:t>
      </w:r>
      <w:r w:rsidR="00381987" w:rsidRPr="00895819">
        <w:rPr>
          <w:color w:val="000000"/>
          <w:szCs w:val="22"/>
          <w:lang w:val="sr-Cyrl-CS"/>
        </w:rPr>
        <w:t>.</w:t>
      </w:r>
    </w:p>
    <w:p w14:paraId="42E5EC23" w14:textId="77777777" w:rsidR="00225DCB" w:rsidRPr="00895819" w:rsidRDefault="00B17CBE" w:rsidP="00225DCB">
      <w:pPr>
        <w:pStyle w:val="AlltAATitre6"/>
        <w:ind w:left="709"/>
        <w:rPr>
          <w:color w:val="000000"/>
          <w:szCs w:val="22"/>
          <w:lang w:val="sr-Cyrl-CS"/>
        </w:rPr>
      </w:pPr>
      <w:r w:rsidRPr="00895819">
        <w:rPr>
          <w:color w:val="000000"/>
          <w:szCs w:val="22"/>
          <w:lang w:val="sr-Cyrl-CS"/>
        </w:rPr>
        <w:t>У име Зајмопримца, Суфинансијер издаје писма одобрења у складу са Важећим пописима о набавкама</w:t>
      </w:r>
      <w:r w:rsidR="00225DCB" w:rsidRPr="00895819">
        <w:rPr>
          <w:color w:val="000000"/>
          <w:szCs w:val="22"/>
          <w:lang w:val="sr-Cyrl-CS"/>
        </w:rPr>
        <w:t>.</w:t>
      </w:r>
    </w:p>
    <w:p w14:paraId="09A0D36F" w14:textId="77777777" w:rsidR="00225DCB" w:rsidRPr="00895819" w:rsidRDefault="00672CC9" w:rsidP="00225DCB">
      <w:pPr>
        <w:pStyle w:val="AlltAATitre6"/>
        <w:ind w:left="709"/>
        <w:rPr>
          <w:color w:val="000000"/>
          <w:szCs w:val="22"/>
          <w:lang w:val="sr-Cyrl-CS"/>
        </w:rPr>
      </w:pPr>
      <w:r w:rsidRPr="00895819">
        <w:rPr>
          <w:color w:val="000000"/>
          <w:szCs w:val="22"/>
          <w:lang w:val="sr-Cyrl-CS"/>
        </w:rPr>
        <w:t xml:space="preserve">У случају уговора који подлежу међународној конкуренцији, Зајмопримац ће објавити захтев за изражавање интересовања, позив за претквалификацију или позив за подношење понуда, према потреби, на интернет страници: </w:t>
      </w:r>
      <w:r w:rsidR="00225DCB" w:rsidRPr="00895819">
        <w:rPr>
          <w:color w:val="000000"/>
          <w:szCs w:val="22"/>
          <w:lang w:val="sr-Cyrl-CS"/>
        </w:rPr>
        <w:t>http://afd.dgmarket.com.</w:t>
      </w:r>
    </w:p>
    <w:p w14:paraId="79DBFF32" w14:textId="77777777" w:rsidR="00225DCB" w:rsidRPr="00895819" w:rsidRDefault="00672CC9" w:rsidP="00225DCB">
      <w:pPr>
        <w:pStyle w:val="AlltAATitre6"/>
        <w:ind w:left="709"/>
        <w:rPr>
          <w:color w:val="000000"/>
          <w:szCs w:val="22"/>
          <w:lang w:val="sr-Cyrl-CS"/>
        </w:rPr>
      </w:pPr>
      <w:r w:rsidRPr="00895819">
        <w:rPr>
          <w:color w:val="000000"/>
          <w:szCs w:val="22"/>
          <w:lang w:val="sr-Cyrl-CS"/>
        </w:rPr>
        <w:t xml:space="preserve">Тендерска документација и захтеви за </w:t>
      </w:r>
      <w:r w:rsidR="005009E0" w:rsidRPr="00895819">
        <w:rPr>
          <w:color w:val="000000"/>
          <w:szCs w:val="22"/>
          <w:lang w:val="sr-Cyrl-CS"/>
        </w:rPr>
        <w:t xml:space="preserve">подношење </w:t>
      </w:r>
      <w:r w:rsidRPr="00895819">
        <w:rPr>
          <w:color w:val="000000"/>
          <w:szCs w:val="22"/>
          <w:lang w:val="sr-Cyrl-CS"/>
        </w:rPr>
        <w:t>предлог</w:t>
      </w:r>
      <w:r w:rsidR="005009E0" w:rsidRPr="00895819">
        <w:rPr>
          <w:color w:val="000000"/>
          <w:szCs w:val="22"/>
          <w:lang w:val="sr-Cyrl-CS"/>
        </w:rPr>
        <w:t>а</w:t>
      </w:r>
      <w:r w:rsidRPr="00895819">
        <w:rPr>
          <w:color w:val="000000"/>
          <w:szCs w:val="22"/>
          <w:lang w:val="sr-Cyrl-CS"/>
        </w:rPr>
        <w:t xml:space="preserve"> које припреми Зајмопримац за </w:t>
      </w:r>
      <w:r w:rsidR="00FC797A" w:rsidRPr="00895819">
        <w:rPr>
          <w:color w:val="000000"/>
          <w:szCs w:val="22"/>
          <w:lang w:val="sr-Cyrl-CS"/>
        </w:rPr>
        <w:t xml:space="preserve">потребе </w:t>
      </w:r>
      <w:r w:rsidRPr="00895819">
        <w:rPr>
          <w:color w:val="000000"/>
          <w:szCs w:val="22"/>
          <w:lang w:val="sr-Cyrl-CS"/>
        </w:rPr>
        <w:t>одређен</w:t>
      </w:r>
      <w:r w:rsidR="00FC797A" w:rsidRPr="00895819">
        <w:rPr>
          <w:color w:val="000000"/>
          <w:szCs w:val="22"/>
          <w:lang w:val="sr-Cyrl-CS"/>
        </w:rPr>
        <w:t>е</w:t>
      </w:r>
      <w:r w:rsidRPr="00895819">
        <w:rPr>
          <w:color w:val="000000"/>
          <w:szCs w:val="22"/>
          <w:lang w:val="sr-Cyrl-CS"/>
        </w:rPr>
        <w:t xml:space="preserve"> набавк</w:t>
      </w:r>
      <w:r w:rsidR="00FC797A" w:rsidRPr="00895819">
        <w:rPr>
          <w:color w:val="000000"/>
          <w:szCs w:val="22"/>
          <w:lang w:val="sr-Cyrl-CS"/>
        </w:rPr>
        <w:t>е</w:t>
      </w:r>
      <w:r w:rsidRPr="00895819">
        <w:rPr>
          <w:color w:val="000000"/>
          <w:szCs w:val="22"/>
          <w:lang w:val="sr-Cyrl-CS"/>
        </w:rPr>
        <w:t xml:space="preserve"> садржа</w:t>
      </w:r>
      <w:r w:rsidR="00FC797A" w:rsidRPr="00895819">
        <w:rPr>
          <w:color w:val="000000"/>
          <w:szCs w:val="22"/>
          <w:lang w:val="sr-Cyrl-CS"/>
        </w:rPr>
        <w:t>ће</w:t>
      </w:r>
      <w:r w:rsidRPr="00895819">
        <w:rPr>
          <w:color w:val="000000"/>
          <w:szCs w:val="22"/>
          <w:lang w:val="sr-Cyrl-CS"/>
        </w:rPr>
        <w:t xml:space="preserve"> упућивање на Зајмодавца у обавештењима о набавци </w:t>
      </w:r>
      <w:r w:rsidR="003F64AA" w:rsidRPr="00895819">
        <w:rPr>
          <w:color w:val="000000"/>
          <w:szCs w:val="22"/>
          <w:lang w:val="sr-Cyrl-CS"/>
        </w:rPr>
        <w:t>(</w:t>
      </w:r>
      <w:r w:rsidRPr="00895819">
        <w:rPr>
          <w:color w:val="000000"/>
          <w:szCs w:val="22"/>
          <w:lang w:val="sr-Cyrl-CS"/>
        </w:rPr>
        <w:t>опште обавештење о набавци, посебна обавештења о набавци и захтевима за исказивање интереса)</w:t>
      </w:r>
      <w:r w:rsidR="00CD1E2D" w:rsidRPr="00895819">
        <w:rPr>
          <w:color w:val="000000"/>
          <w:szCs w:val="22"/>
          <w:lang w:val="sr-Cyrl-CS"/>
        </w:rPr>
        <w:t>, као</w:t>
      </w:r>
      <w:r w:rsidRPr="00895819">
        <w:rPr>
          <w:color w:val="000000"/>
          <w:szCs w:val="22"/>
          <w:lang w:val="sr-Cyrl-CS"/>
        </w:rPr>
        <w:t xml:space="preserve"> и св</w:t>
      </w:r>
      <w:r w:rsidR="003F64AA" w:rsidRPr="00895819">
        <w:rPr>
          <w:color w:val="000000"/>
          <w:szCs w:val="22"/>
          <w:lang w:val="sr-Cyrl-CS"/>
        </w:rPr>
        <w:t>ој</w:t>
      </w:r>
      <w:r w:rsidRPr="00895819">
        <w:rPr>
          <w:color w:val="000000"/>
          <w:szCs w:val="22"/>
          <w:lang w:val="sr-Cyrl-CS"/>
        </w:rPr>
        <w:t xml:space="preserve"> </w:t>
      </w:r>
      <w:r w:rsidR="003F64AA" w:rsidRPr="00895819">
        <w:rPr>
          <w:color w:val="000000"/>
          <w:szCs w:val="22"/>
          <w:lang w:val="sr-Cyrl-CS"/>
        </w:rPr>
        <w:t>другој</w:t>
      </w:r>
      <w:r w:rsidRPr="00895819">
        <w:rPr>
          <w:color w:val="000000"/>
          <w:szCs w:val="22"/>
          <w:lang w:val="sr-Cyrl-CS"/>
        </w:rPr>
        <w:t xml:space="preserve"> документациј</w:t>
      </w:r>
      <w:r w:rsidR="003F64AA" w:rsidRPr="00895819">
        <w:rPr>
          <w:color w:val="000000"/>
          <w:szCs w:val="22"/>
          <w:lang w:val="sr-Cyrl-CS"/>
        </w:rPr>
        <w:t>и</w:t>
      </w:r>
      <w:r w:rsidRPr="00895819">
        <w:rPr>
          <w:color w:val="000000"/>
          <w:szCs w:val="22"/>
          <w:lang w:val="sr-Cyrl-CS"/>
        </w:rPr>
        <w:t xml:space="preserve"> која се односи на уговоре које суфинансира Зајмодавац</w:t>
      </w:r>
      <w:r w:rsidR="00225DCB" w:rsidRPr="00895819">
        <w:rPr>
          <w:color w:val="000000"/>
          <w:szCs w:val="22"/>
          <w:lang w:val="sr-Cyrl-CS"/>
        </w:rPr>
        <w:t>.</w:t>
      </w:r>
    </w:p>
    <w:p w14:paraId="07DA1203" w14:textId="77777777" w:rsidR="00225DCB" w:rsidRPr="00895819" w:rsidRDefault="00672CC9" w:rsidP="00225DCB">
      <w:pPr>
        <w:pStyle w:val="AlltAATitre6"/>
        <w:ind w:left="709"/>
        <w:rPr>
          <w:color w:val="000000"/>
          <w:szCs w:val="22"/>
          <w:lang w:val="sr-Cyrl-CS"/>
        </w:rPr>
      </w:pPr>
      <w:r w:rsidRPr="00895819">
        <w:rPr>
          <w:color w:val="000000"/>
          <w:szCs w:val="22"/>
          <w:lang w:val="sr-Cyrl-CS"/>
        </w:rPr>
        <w:t>Због специфичних законских и регулаторних обавеза, Зајмодавац неће финансирати свој одговарајући део уговора Добављачу који се налази на било којој од Листе финансијских санкција</w:t>
      </w:r>
      <w:r w:rsidR="00225DCB" w:rsidRPr="00895819">
        <w:rPr>
          <w:color w:val="000000"/>
          <w:szCs w:val="22"/>
          <w:lang w:val="sr-Cyrl-CS"/>
        </w:rPr>
        <w:t>.</w:t>
      </w:r>
    </w:p>
    <w:p w14:paraId="53F19F7B" w14:textId="77777777" w:rsidR="00225DCB" w:rsidRPr="00895819" w:rsidRDefault="008948B7" w:rsidP="00225DCB">
      <w:pPr>
        <w:pStyle w:val="AlltAATitre6"/>
        <w:ind w:left="709"/>
        <w:rPr>
          <w:color w:val="000000"/>
          <w:szCs w:val="22"/>
          <w:lang w:val="sr-Cyrl-CS"/>
        </w:rPr>
      </w:pPr>
      <w:r w:rsidRPr="00895819">
        <w:rPr>
          <w:color w:val="000000"/>
          <w:szCs w:val="22"/>
          <w:lang w:val="sr-Cyrl-CS"/>
        </w:rPr>
        <w:t xml:space="preserve">Од сваког подносиоца, понуђача, предлагача или консултанта ће се захтевати прописно потписан АФД-ов Уговор о интегритету наведен у Прилогу 8 и сматраће се да </w:t>
      </w:r>
      <w:r w:rsidR="00CD1E2D" w:rsidRPr="00895819">
        <w:rPr>
          <w:color w:val="000000"/>
          <w:szCs w:val="22"/>
          <w:lang w:val="sr-Cyrl-CS"/>
        </w:rPr>
        <w:t xml:space="preserve">је он саставни </w:t>
      </w:r>
      <w:r w:rsidRPr="00895819">
        <w:rPr>
          <w:color w:val="000000"/>
          <w:szCs w:val="22"/>
          <w:lang w:val="sr-Cyrl-CS"/>
        </w:rPr>
        <w:t>део уговора. У случајевима неконкурентних процеса набавке, потписани АФД-ов Уговор о интегритету биће приложен потписаном уговору</w:t>
      </w:r>
      <w:r w:rsidR="00225DCB" w:rsidRPr="00895819">
        <w:rPr>
          <w:color w:val="000000"/>
          <w:szCs w:val="22"/>
          <w:lang w:val="sr-Cyrl-CS"/>
        </w:rPr>
        <w:t>.</w:t>
      </w:r>
    </w:p>
    <w:p w14:paraId="778019D5" w14:textId="77777777" w:rsidR="00225DCB" w:rsidRPr="00895819" w:rsidRDefault="00236E7F" w:rsidP="00225DCB">
      <w:pPr>
        <w:pStyle w:val="AlltAATitre6"/>
        <w:ind w:left="709"/>
        <w:rPr>
          <w:color w:val="000000"/>
          <w:szCs w:val="22"/>
          <w:lang w:val="sr-Cyrl-CS"/>
        </w:rPr>
      </w:pPr>
      <w:r w:rsidRPr="00895819">
        <w:rPr>
          <w:color w:val="000000"/>
          <w:szCs w:val="22"/>
          <w:lang w:val="sr-Cyrl-CS"/>
        </w:rPr>
        <w:t xml:space="preserve">У случају уговора који подлежу претходној ревизији, Зајмопримац ће обезбедити Зајмодавцу примерак извештаја о евалуацији </w:t>
      </w:r>
      <w:r w:rsidR="00225DCB" w:rsidRPr="00895819">
        <w:rPr>
          <w:color w:val="000000"/>
          <w:szCs w:val="22"/>
          <w:lang w:val="sr-Cyrl-CS"/>
        </w:rPr>
        <w:t>(</w:t>
      </w:r>
      <w:r w:rsidRPr="00895819">
        <w:rPr>
          <w:color w:val="000000"/>
          <w:szCs w:val="22"/>
          <w:lang w:val="sr-Cyrl-CS"/>
        </w:rPr>
        <w:t xml:space="preserve">укључујући извештај о претквалификацији и извештај </w:t>
      </w:r>
      <w:r w:rsidR="00AB59CC" w:rsidRPr="00895819">
        <w:rPr>
          <w:color w:val="000000"/>
          <w:szCs w:val="22"/>
          <w:lang w:val="sr-Cyrl-CS"/>
        </w:rPr>
        <w:t>о</w:t>
      </w:r>
      <w:r w:rsidRPr="00895819">
        <w:rPr>
          <w:color w:val="000000"/>
          <w:szCs w:val="22"/>
          <w:lang w:val="sr-Cyrl-CS"/>
        </w:rPr>
        <w:t xml:space="preserve"> уж</w:t>
      </w:r>
      <w:r w:rsidR="00AB59CC" w:rsidRPr="00895819">
        <w:rPr>
          <w:color w:val="000000"/>
          <w:szCs w:val="22"/>
          <w:lang w:val="sr-Cyrl-CS"/>
        </w:rPr>
        <w:t>е</w:t>
      </w:r>
      <w:r w:rsidRPr="00895819">
        <w:rPr>
          <w:color w:val="000000"/>
          <w:szCs w:val="22"/>
          <w:lang w:val="sr-Cyrl-CS"/>
        </w:rPr>
        <w:t>м избор</w:t>
      </w:r>
      <w:r w:rsidR="00AB59CC" w:rsidRPr="00895819">
        <w:rPr>
          <w:color w:val="000000"/>
          <w:szCs w:val="22"/>
          <w:lang w:val="sr-Cyrl-CS"/>
        </w:rPr>
        <w:t>у</w:t>
      </w:r>
      <w:r w:rsidRPr="00895819">
        <w:rPr>
          <w:color w:val="000000"/>
          <w:szCs w:val="22"/>
          <w:lang w:val="sr-Cyrl-CS"/>
        </w:rPr>
        <w:t xml:space="preserve"> кандидата, уколико је примењиво</w:t>
      </w:r>
      <w:r w:rsidR="00225DCB" w:rsidRPr="00895819">
        <w:rPr>
          <w:color w:val="000000"/>
          <w:szCs w:val="22"/>
          <w:lang w:val="sr-Cyrl-CS"/>
        </w:rPr>
        <w:t xml:space="preserve">) </w:t>
      </w:r>
      <w:r w:rsidRPr="00895819">
        <w:rPr>
          <w:color w:val="000000"/>
          <w:szCs w:val="22"/>
          <w:lang w:val="sr-Cyrl-CS"/>
        </w:rPr>
        <w:t xml:space="preserve">истовремено када </w:t>
      </w:r>
      <w:r w:rsidR="00E9614D" w:rsidRPr="00895819">
        <w:rPr>
          <w:color w:val="000000"/>
          <w:szCs w:val="22"/>
          <w:lang w:val="sr-Cyrl-CS"/>
        </w:rPr>
        <w:t xml:space="preserve">га </w:t>
      </w:r>
      <w:r w:rsidRPr="00895819">
        <w:rPr>
          <w:color w:val="000000"/>
          <w:szCs w:val="22"/>
          <w:lang w:val="sr-Cyrl-CS"/>
        </w:rPr>
        <w:t xml:space="preserve">подноси и Суфинансијеру. Уколико кандидат, понуђач или консултант не испуњавају захтеве Зајмодавца по питању финансијске квалификованости, Зајмодавац ће </w:t>
      </w:r>
      <w:r w:rsidR="00E9614D" w:rsidRPr="00895819">
        <w:rPr>
          <w:color w:val="000000"/>
          <w:szCs w:val="22"/>
          <w:lang w:val="sr-Cyrl-CS"/>
        </w:rPr>
        <w:t xml:space="preserve">о томе </w:t>
      </w:r>
      <w:r w:rsidR="00774ED3" w:rsidRPr="00895819">
        <w:rPr>
          <w:color w:val="000000"/>
          <w:szCs w:val="22"/>
          <w:lang w:val="sr-Cyrl-CS"/>
        </w:rPr>
        <w:t>благовремено обавестити Суфинансијера и Зајмопримца. Суфинансијер ће се потом консултовати са Зајмопримцем како би се утврдио адекватан след радњи</w:t>
      </w:r>
      <w:r w:rsidR="00225DCB" w:rsidRPr="00895819">
        <w:rPr>
          <w:color w:val="000000"/>
          <w:szCs w:val="22"/>
          <w:lang w:val="sr-Cyrl-CS"/>
        </w:rPr>
        <w:t>.</w:t>
      </w:r>
    </w:p>
    <w:p w14:paraId="086BECA7" w14:textId="4CC2D1B4" w:rsidR="00B16F8D" w:rsidRPr="00895819" w:rsidRDefault="00F476F9" w:rsidP="00225DCB">
      <w:pPr>
        <w:pStyle w:val="AlltAATitre6"/>
        <w:ind w:left="709"/>
        <w:rPr>
          <w:lang w:val="sr-Cyrl-CS"/>
        </w:rPr>
      </w:pPr>
      <w:r w:rsidRPr="00895819">
        <w:rPr>
          <w:color w:val="000000"/>
          <w:szCs w:val="22"/>
          <w:lang w:val="sr-Cyrl-CS"/>
        </w:rPr>
        <w:t xml:space="preserve">У случају уговора који подлежу накнадној ревизији, Зајмопримац се обавезује да </w:t>
      </w:r>
      <w:r w:rsidR="00F13FA6" w:rsidRPr="00895819">
        <w:rPr>
          <w:color w:val="000000"/>
          <w:szCs w:val="22"/>
          <w:lang w:val="sr-Cyrl-CS"/>
        </w:rPr>
        <w:t xml:space="preserve">ће </w:t>
      </w:r>
      <w:r w:rsidRPr="00895819">
        <w:rPr>
          <w:color w:val="000000"/>
          <w:szCs w:val="22"/>
          <w:lang w:val="sr-Cyrl-CS"/>
        </w:rPr>
        <w:t>Зајмодавцу на одобрење достави</w:t>
      </w:r>
      <w:r w:rsidR="00F13FA6" w:rsidRPr="00895819">
        <w:rPr>
          <w:color w:val="000000"/>
          <w:szCs w:val="22"/>
          <w:lang w:val="sr-Cyrl-CS"/>
        </w:rPr>
        <w:t>ти</w:t>
      </w:r>
      <w:r w:rsidRPr="00895819">
        <w:rPr>
          <w:color w:val="000000"/>
          <w:szCs w:val="22"/>
          <w:lang w:val="sr-Cyrl-CS"/>
        </w:rPr>
        <w:t xml:space="preserve"> пројектни задатак за ревизију у складу са чланом </w:t>
      </w:r>
      <w:r w:rsidR="00F13FA6" w:rsidRPr="00895819">
        <w:rPr>
          <w:color w:val="000000"/>
          <w:szCs w:val="22"/>
          <w:lang w:val="sr-Cyrl-CS"/>
        </w:rPr>
        <w:t>„Контрола-ревизија</w:t>
      </w:r>
      <w:r w:rsidR="003963A8" w:rsidRPr="00895819">
        <w:rPr>
          <w:lang w:val="sr-Cyrl-CS"/>
        </w:rPr>
        <w:t>”</w:t>
      </w:r>
      <w:r w:rsidR="00225DCB" w:rsidRPr="00895819">
        <w:rPr>
          <w:color w:val="000000"/>
          <w:szCs w:val="22"/>
          <w:lang w:val="sr-Cyrl-CS"/>
        </w:rPr>
        <w:t xml:space="preserve"> </w:t>
      </w:r>
      <w:r w:rsidR="009609FE" w:rsidRPr="00895819">
        <w:rPr>
          <w:color w:val="000000"/>
          <w:szCs w:val="22"/>
          <w:lang w:val="sr-Cyrl-CS"/>
        </w:rPr>
        <w:t>овог у</w:t>
      </w:r>
      <w:r w:rsidRPr="00895819">
        <w:rPr>
          <w:color w:val="000000"/>
          <w:szCs w:val="22"/>
          <w:lang w:val="sr-Cyrl-CS"/>
        </w:rPr>
        <w:t>говора</w:t>
      </w:r>
      <w:r w:rsidR="00225DCB" w:rsidRPr="00895819">
        <w:rPr>
          <w:color w:val="000000"/>
          <w:szCs w:val="22"/>
          <w:lang w:val="sr-Cyrl-CS"/>
        </w:rPr>
        <w:t xml:space="preserve">. </w:t>
      </w:r>
      <w:r w:rsidRPr="00895819">
        <w:rPr>
          <w:color w:val="000000"/>
          <w:szCs w:val="22"/>
          <w:lang w:val="sr-Cyrl-CS"/>
        </w:rPr>
        <w:t xml:space="preserve">Ови пројектни задаци треба да садрже преглед контрола и оперативних процедура Зајмопримца у циљу поштовања </w:t>
      </w:r>
      <w:r w:rsidR="00013495" w:rsidRPr="00895819">
        <w:rPr>
          <w:color w:val="000000"/>
          <w:szCs w:val="22"/>
          <w:lang w:val="sr-Cyrl-CS"/>
        </w:rPr>
        <w:t>Важећих прописа о набавкама и квалификационих захтева Зајмодавца</w:t>
      </w:r>
      <w:r w:rsidR="00225DCB" w:rsidRPr="00895819">
        <w:rPr>
          <w:color w:val="000000"/>
          <w:szCs w:val="22"/>
          <w:lang w:val="sr-Cyrl-CS"/>
        </w:rPr>
        <w:t>.</w:t>
      </w:r>
    </w:p>
    <w:p w14:paraId="2F628847" w14:textId="77777777" w:rsidR="00B16F8D" w:rsidRPr="00895819" w:rsidRDefault="00F476F9" w:rsidP="000F181A">
      <w:pPr>
        <w:pStyle w:val="AATitre2"/>
        <w:rPr>
          <w:lang w:val="sr-Cyrl-CS"/>
        </w:rPr>
      </w:pPr>
      <w:bookmarkStart w:id="115" w:name="_Ref126005791"/>
      <w:bookmarkStart w:id="116" w:name="_Ref126006593"/>
      <w:bookmarkStart w:id="117" w:name="_Toc135947194"/>
      <w:r w:rsidRPr="00895819">
        <w:rPr>
          <w:lang w:val="sr-Cyrl-CS"/>
        </w:rPr>
        <w:t>Аранжмани везани за имплементацију</w:t>
      </w:r>
      <w:bookmarkEnd w:id="115"/>
      <w:bookmarkEnd w:id="116"/>
      <w:bookmarkEnd w:id="117"/>
    </w:p>
    <w:p w14:paraId="7212DBD0" w14:textId="77777777" w:rsidR="00B16F8D" w:rsidRPr="00895819" w:rsidRDefault="00013495" w:rsidP="00B16F8D">
      <w:pPr>
        <w:pStyle w:val="BodyText1"/>
        <w:rPr>
          <w:snapToGrid w:val="0"/>
          <w:lang w:val="sr-Cyrl-CS"/>
        </w:rPr>
      </w:pPr>
      <w:r w:rsidRPr="00895819">
        <w:rPr>
          <w:snapToGrid w:val="0"/>
          <w:lang w:val="sr-Cyrl-CS"/>
        </w:rPr>
        <w:t>Зајмопримац се обавезује да ће</w:t>
      </w:r>
      <w:r w:rsidR="00B16F8D" w:rsidRPr="00895819">
        <w:rPr>
          <w:snapToGrid w:val="0"/>
          <w:lang w:val="sr-Cyrl-CS"/>
        </w:rPr>
        <w:t>:</w:t>
      </w:r>
    </w:p>
    <w:p w14:paraId="5887BA77" w14:textId="38EF1E11" w:rsidR="00381987" w:rsidRPr="00895819" w:rsidRDefault="00E73AB1" w:rsidP="00E73AB1">
      <w:pPr>
        <w:pStyle w:val="AATitre4"/>
        <w:numPr>
          <w:ilvl w:val="0"/>
          <w:numId w:val="0"/>
        </w:numPr>
        <w:ind w:left="1440" w:hanging="720"/>
        <w:rPr>
          <w:lang w:val="sr-Cyrl-CS"/>
        </w:rPr>
      </w:pPr>
      <w:r w:rsidRPr="00895819">
        <w:rPr>
          <w:lang w:val="sr-Cyrl-CS"/>
        </w:rPr>
        <w:lastRenderedPageBreak/>
        <w:t>(а)</w:t>
      </w:r>
      <w:r w:rsidRPr="00895819">
        <w:rPr>
          <w:lang w:val="sr-Cyrl-CS"/>
        </w:rPr>
        <w:tab/>
      </w:r>
      <w:r w:rsidR="00751956" w:rsidRPr="00895819">
        <w:rPr>
          <w:lang w:val="sr-Cyrl-CS"/>
        </w:rPr>
        <w:t xml:space="preserve">током имплементације Операције, одржавати Управљачки одбор којим председава </w:t>
      </w:r>
      <w:r w:rsidR="00F76D97" w:rsidRPr="00895819">
        <w:rPr>
          <w:lang w:val="sr-Cyrl-CS"/>
        </w:rPr>
        <w:t>Министарство финансија</w:t>
      </w:r>
      <w:r w:rsidR="0007643E" w:rsidRPr="00895819">
        <w:rPr>
          <w:lang w:val="sr-Cyrl-CS"/>
        </w:rPr>
        <w:t xml:space="preserve"> </w:t>
      </w:r>
      <w:r w:rsidR="00751956" w:rsidRPr="00895819">
        <w:rPr>
          <w:lang w:val="sr-Cyrl-CS"/>
        </w:rPr>
        <w:t xml:space="preserve">и који чине све релевантне интересне стране ове Операције у циљу </w:t>
      </w:r>
      <w:r w:rsidR="0007643E" w:rsidRPr="00895819">
        <w:rPr>
          <w:lang w:val="sr-Cyrl-CS"/>
        </w:rPr>
        <w:t xml:space="preserve">(i) </w:t>
      </w:r>
      <w:r w:rsidR="00751956" w:rsidRPr="00895819">
        <w:rPr>
          <w:lang w:val="sr-Cyrl-CS"/>
        </w:rPr>
        <w:t>обезбеђивања стратешке оријентације и праћења имплементације Операције;</w:t>
      </w:r>
      <w:r w:rsidR="0007643E" w:rsidRPr="00895819">
        <w:rPr>
          <w:lang w:val="sr-Cyrl-CS"/>
        </w:rPr>
        <w:t xml:space="preserve"> (ii) </w:t>
      </w:r>
      <w:r w:rsidR="00751956" w:rsidRPr="00895819">
        <w:rPr>
          <w:lang w:val="sr-Cyrl-CS"/>
        </w:rPr>
        <w:t xml:space="preserve">координације имплементације Операције у складу са осталим програмима; и </w:t>
      </w:r>
      <w:r w:rsidR="0007643E" w:rsidRPr="00895819">
        <w:rPr>
          <w:lang w:val="sr-Cyrl-CS"/>
        </w:rPr>
        <w:t xml:space="preserve">(iii) </w:t>
      </w:r>
      <w:r w:rsidR="00751956" w:rsidRPr="00895819">
        <w:rPr>
          <w:lang w:val="sr-Cyrl-CS"/>
        </w:rPr>
        <w:t>координације свих релевантних интересних страна</w:t>
      </w:r>
      <w:r w:rsidR="00381987" w:rsidRPr="00895819">
        <w:rPr>
          <w:lang w:val="sr-Cyrl-CS"/>
        </w:rPr>
        <w:t>;</w:t>
      </w:r>
    </w:p>
    <w:p w14:paraId="00D4D417" w14:textId="2F6FE463" w:rsidR="00F3744B" w:rsidRPr="00895819" w:rsidRDefault="00E73AB1" w:rsidP="00E73AB1">
      <w:pPr>
        <w:pStyle w:val="AATitre4"/>
        <w:numPr>
          <w:ilvl w:val="0"/>
          <w:numId w:val="0"/>
        </w:numPr>
        <w:ind w:left="1440" w:hanging="720"/>
        <w:rPr>
          <w:lang w:val="sr-Cyrl-CS"/>
        </w:rPr>
      </w:pPr>
      <w:r w:rsidRPr="00895819">
        <w:rPr>
          <w:lang w:val="sr-Cyrl-CS"/>
        </w:rPr>
        <w:t>(б)</w:t>
      </w:r>
      <w:r w:rsidRPr="00895819">
        <w:rPr>
          <w:lang w:val="sr-Cyrl-CS"/>
        </w:rPr>
        <w:tab/>
      </w:r>
      <w:r w:rsidR="00F3744B" w:rsidRPr="00895819">
        <w:rPr>
          <w:lang w:val="sr-Cyrl-CS"/>
        </w:rPr>
        <w:t>да одржава – преко МФ, радне групе, током спровођења Операције, да (i) њима председава министар финансија Зајмопримца (или његов или њен делегат, као што је државни секретар МФ); и (ii) укључити представнике, на нивоу помоћника министра или еквивалентно, из МЗЖ</w:t>
      </w:r>
      <w:r w:rsidR="00832C76" w:rsidRPr="00895819">
        <w:rPr>
          <w:lang w:val="sr-Cyrl-CS"/>
        </w:rPr>
        <w:t>С, МГСИ, МРЕ, MПШВ, МЈУ, РСЈП, К</w:t>
      </w:r>
      <w:r w:rsidR="00F3744B" w:rsidRPr="00895819">
        <w:rPr>
          <w:lang w:val="sr-Cyrl-CS"/>
        </w:rPr>
        <w:t xml:space="preserve">ЈН, РДИ који ће бити одговорни, између осталог, за надгледање активности Операције и одобравање </w:t>
      </w:r>
      <w:r w:rsidR="007C2CB2" w:rsidRPr="00895819">
        <w:rPr>
          <w:lang w:val="sr-Cyrl-CS"/>
        </w:rPr>
        <w:t>ГПРБ</w:t>
      </w:r>
      <w:r w:rsidR="00F3744B" w:rsidRPr="00895819">
        <w:rPr>
          <w:lang w:val="sr-Cyrl-CS"/>
        </w:rPr>
        <w:t xml:space="preserve">. </w:t>
      </w:r>
    </w:p>
    <w:p w14:paraId="6A094377" w14:textId="369710C3" w:rsidR="00CF57E2" w:rsidRPr="00895819" w:rsidRDefault="00E73AB1" w:rsidP="00E73AB1">
      <w:pPr>
        <w:pStyle w:val="AATitre4"/>
        <w:numPr>
          <w:ilvl w:val="0"/>
          <w:numId w:val="0"/>
        </w:numPr>
        <w:ind w:left="1440" w:hanging="720"/>
        <w:rPr>
          <w:lang w:val="sr-Cyrl-CS"/>
        </w:rPr>
      </w:pPr>
      <w:r w:rsidRPr="00895819">
        <w:rPr>
          <w:lang w:val="sr-Cyrl-CS"/>
        </w:rPr>
        <w:t>(ц)</w:t>
      </w:r>
      <w:r w:rsidRPr="00895819">
        <w:rPr>
          <w:lang w:val="sr-Cyrl-CS"/>
        </w:rPr>
        <w:tab/>
      </w:r>
      <w:r w:rsidR="00751956" w:rsidRPr="00895819">
        <w:rPr>
          <w:lang w:val="sr-Cyrl-CS"/>
        </w:rPr>
        <w:t>одржа</w:t>
      </w:r>
      <w:r w:rsidR="0095397D" w:rsidRPr="00895819">
        <w:rPr>
          <w:lang w:val="sr-Cyrl-CS"/>
        </w:rPr>
        <w:t>ва</w:t>
      </w:r>
      <w:r w:rsidR="00751956" w:rsidRPr="00895819">
        <w:rPr>
          <w:lang w:val="sr-Cyrl-CS"/>
        </w:rPr>
        <w:t xml:space="preserve">ти </w:t>
      </w:r>
      <w:r w:rsidR="00CF57E2" w:rsidRPr="00895819">
        <w:rPr>
          <w:lang w:val="sr-Cyrl-CS"/>
        </w:rPr>
        <w:t xml:space="preserve">– </w:t>
      </w:r>
      <w:r w:rsidR="00FB450D" w:rsidRPr="00895819">
        <w:rPr>
          <w:lang w:val="sr-Cyrl-CS"/>
        </w:rPr>
        <w:t>у</w:t>
      </w:r>
      <w:r w:rsidR="00751956" w:rsidRPr="00895819">
        <w:rPr>
          <w:lang w:val="sr-Cyrl-CS"/>
        </w:rPr>
        <w:t xml:space="preserve"> </w:t>
      </w:r>
      <w:r w:rsidR="00F76D97" w:rsidRPr="00895819">
        <w:rPr>
          <w:lang w:val="sr-Cyrl-CS"/>
        </w:rPr>
        <w:t>Министарств</w:t>
      </w:r>
      <w:r w:rsidR="00FB450D" w:rsidRPr="00895819">
        <w:rPr>
          <w:lang w:val="sr-Cyrl-CS"/>
        </w:rPr>
        <w:t>у</w:t>
      </w:r>
      <w:r w:rsidR="00F76D97" w:rsidRPr="00895819">
        <w:rPr>
          <w:lang w:val="sr-Cyrl-CS"/>
        </w:rPr>
        <w:t xml:space="preserve"> финансија</w:t>
      </w:r>
      <w:r w:rsidR="00CF57E2" w:rsidRPr="00895819">
        <w:rPr>
          <w:lang w:val="sr-Cyrl-CS"/>
        </w:rPr>
        <w:t xml:space="preserve"> – </w:t>
      </w:r>
      <w:r w:rsidR="00751956" w:rsidRPr="00895819">
        <w:rPr>
          <w:lang w:val="sr-Cyrl-CS"/>
        </w:rPr>
        <w:t>Јединиц</w:t>
      </w:r>
      <w:r w:rsidR="000104CF" w:rsidRPr="00895819">
        <w:rPr>
          <w:lang w:val="sr-Cyrl-CS"/>
        </w:rPr>
        <w:t>у</w:t>
      </w:r>
      <w:r w:rsidR="00751956" w:rsidRPr="00895819">
        <w:rPr>
          <w:lang w:val="sr-Cyrl-CS"/>
        </w:rPr>
        <w:t xml:space="preserve"> за координацију операције</w:t>
      </w:r>
      <w:r w:rsidR="00CF57E2" w:rsidRPr="00895819">
        <w:rPr>
          <w:lang w:val="sr-Cyrl-CS"/>
        </w:rPr>
        <w:t xml:space="preserve"> (</w:t>
      </w:r>
      <w:r w:rsidR="00751956" w:rsidRPr="00895819">
        <w:rPr>
          <w:lang w:val="sr-Cyrl-CS"/>
        </w:rPr>
        <w:t>„ЈКО</w:t>
      </w:r>
      <w:r w:rsidR="003963A8" w:rsidRPr="00895819">
        <w:rPr>
          <w:lang w:val="sr-Cyrl-CS"/>
        </w:rPr>
        <w:t>”</w:t>
      </w:r>
      <w:r w:rsidR="00CF57E2" w:rsidRPr="00895819">
        <w:rPr>
          <w:lang w:val="sr-Cyrl-CS"/>
        </w:rPr>
        <w:t xml:space="preserve">) </w:t>
      </w:r>
      <w:r w:rsidR="00751956" w:rsidRPr="00895819">
        <w:rPr>
          <w:lang w:val="sr-Cyrl-CS"/>
        </w:rPr>
        <w:t xml:space="preserve">у оквиру </w:t>
      </w:r>
      <w:r w:rsidR="00751956" w:rsidRPr="00895819">
        <w:rPr>
          <w:bCs/>
          <w:szCs w:val="22"/>
          <w:lang w:val="sr-Cyrl-CS"/>
        </w:rPr>
        <w:t>Сектора за међународну сарадњу и европске интеграције („СМСЕИ</w:t>
      </w:r>
      <w:r w:rsidR="003963A8" w:rsidRPr="00895819">
        <w:rPr>
          <w:lang w:val="sr-Cyrl-CS"/>
        </w:rPr>
        <w:t>”</w:t>
      </w:r>
      <w:r w:rsidR="00751956" w:rsidRPr="00895819">
        <w:rPr>
          <w:bCs/>
          <w:szCs w:val="22"/>
          <w:lang w:val="sr-Cyrl-CS"/>
        </w:rPr>
        <w:t>)</w:t>
      </w:r>
      <w:r w:rsidR="00751956" w:rsidRPr="00895819">
        <w:rPr>
          <w:szCs w:val="22"/>
          <w:lang w:val="sr-Cyrl-CS"/>
        </w:rPr>
        <w:t xml:space="preserve"> и ангажовати консултанте за Операцију,</w:t>
      </w:r>
      <w:r w:rsidR="006D074C" w:rsidRPr="00895819">
        <w:rPr>
          <w:szCs w:val="22"/>
          <w:lang w:val="sr-Cyrl-CS"/>
        </w:rPr>
        <w:t xml:space="preserve"> по потреби, у складу са условима прихватљивим за Зајмодавца</w:t>
      </w:r>
      <w:r w:rsidR="00175A9E" w:rsidRPr="00895819">
        <w:rPr>
          <w:lang w:val="sr-Cyrl-CS"/>
        </w:rPr>
        <w:t xml:space="preserve">. </w:t>
      </w:r>
      <w:r w:rsidR="006D074C" w:rsidRPr="00895819">
        <w:rPr>
          <w:lang w:val="sr-Cyrl-CS"/>
        </w:rPr>
        <w:t xml:space="preserve">Зајмопримац ће, преко </w:t>
      </w:r>
      <w:r w:rsidR="00F76D97" w:rsidRPr="00895819">
        <w:rPr>
          <w:lang w:val="sr-Cyrl-CS"/>
        </w:rPr>
        <w:t>Министарств</w:t>
      </w:r>
      <w:r w:rsidR="006D074C" w:rsidRPr="00895819">
        <w:rPr>
          <w:lang w:val="sr-Cyrl-CS"/>
        </w:rPr>
        <w:t>а</w:t>
      </w:r>
      <w:r w:rsidR="00F76D97" w:rsidRPr="00895819">
        <w:rPr>
          <w:lang w:val="sr-Cyrl-CS"/>
        </w:rPr>
        <w:t xml:space="preserve"> финансија</w:t>
      </w:r>
      <w:r w:rsidR="00175A9E" w:rsidRPr="00895819">
        <w:rPr>
          <w:lang w:val="sr-Cyrl-CS"/>
        </w:rPr>
        <w:t xml:space="preserve">, </w:t>
      </w:r>
      <w:r w:rsidR="006D074C" w:rsidRPr="00895819">
        <w:rPr>
          <w:lang w:val="sr-Cyrl-CS"/>
        </w:rPr>
        <w:t>бити надлежан</w:t>
      </w:r>
      <w:r w:rsidR="00C52F47" w:rsidRPr="00895819">
        <w:rPr>
          <w:lang w:val="sr-Cyrl-CS"/>
        </w:rPr>
        <w:t>, између осталог, за следеће:</w:t>
      </w:r>
      <w:r w:rsidR="00CF57E2" w:rsidRPr="00895819">
        <w:rPr>
          <w:lang w:val="sr-Cyrl-CS"/>
        </w:rPr>
        <w:t xml:space="preserve"> (i) </w:t>
      </w:r>
      <w:r w:rsidR="00C52F47" w:rsidRPr="00895819">
        <w:rPr>
          <w:bCs/>
          <w:szCs w:val="22"/>
          <w:lang w:val="sr-Cyrl-CS"/>
        </w:rPr>
        <w:t xml:space="preserve">свеукупно управљање </w:t>
      </w:r>
      <w:r w:rsidR="000104CF" w:rsidRPr="00895819">
        <w:rPr>
          <w:bCs/>
          <w:szCs w:val="22"/>
          <w:lang w:val="sr-Cyrl-CS"/>
        </w:rPr>
        <w:t xml:space="preserve">и </w:t>
      </w:r>
      <w:r w:rsidR="00C52F47" w:rsidRPr="00895819">
        <w:rPr>
          <w:bCs/>
          <w:szCs w:val="22"/>
          <w:lang w:val="sr-Cyrl-CS"/>
        </w:rPr>
        <w:t>координацију</w:t>
      </w:r>
      <w:r w:rsidR="00C52F47" w:rsidRPr="00895819">
        <w:rPr>
          <w:szCs w:val="22"/>
          <w:lang w:val="sr-Cyrl-CS"/>
        </w:rPr>
        <w:t xml:space="preserve"> имплементације Операције, делујући као технички секретаријат за потребе Управљачког одбора и све евентуалне под-одборе и радне групе на техничком нивоу</w:t>
      </w:r>
      <w:r w:rsidR="00CF57E2" w:rsidRPr="00895819">
        <w:rPr>
          <w:szCs w:val="22"/>
          <w:lang w:val="sr-Cyrl-CS"/>
        </w:rPr>
        <w:t xml:space="preserve">; (ii) </w:t>
      </w:r>
      <w:r w:rsidR="00C52F47" w:rsidRPr="00895819">
        <w:rPr>
          <w:szCs w:val="22"/>
          <w:lang w:val="sr-Cyrl-CS"/>
        </w:rPr>
        <w:t>праћење активности Операције</w:t>
      </w:r>
      <w:r w:rsidR="00CF57E2" w:rsidRPr="00895819">
        <w:rPr>
          <w:szCs w:val="22"/>
          <w:lang w:val="sr-Cyrl-CS"/>
        </w:rPr>
        <w:t xml:space="preserve">; (iii) </w:t>
      </w:r>
      <w:r w:rsidR="00C52F47" w:rsidRPr="00895819">
        <w:rPr>
          <w:szCs w:val="22"/>
          <w:lang w:val="sr-Cyrl-CS"/>
        </w:rPr>
        <w:t>праћење усаглашености са безбедносним мерама у области животне средине и социјалних питања</w:t>
      </w:r>
      <w:r w:rsidR="00CF57E2" w:rsidRPr="00895819">
        <w:rPr>
          <w:szCs w:val="22"/>
          <w:lang w:val="sr-Cyrl-CS"/>
        </w:rPr>
        <w:t xml:space="preserve">; (iv) </w:t>
      </w:r>
      <w:r w:rsidR="00C52F47" w:rsidRPr="00895819">
        <w:rPr>
          <w:szCs w:val="22"/>
          <w:lang w:val="sr-Cyrl-CS"/>
        </w:rPr>
        <w:t xml:space="preserve">редовно прикупљање података о постигнутим ДЛР и показатељима садржаним </w:t>
      </w:r>
      <w:r w:rsidR="00467981" w:rsidRPr="00895819">
        <w:rPr>
          <w:szCs w:val="22"/>
          <w:lang w:val="sr-Cyrl-CS"/>
        </w:rPr>
        <w:t xml:space="preserve">у </w:t>
      </w:r>
      <w:r w:rsidR="00C52F47" w:rsidRPr="00895819">
        <w:rPr>
          <w:szCs w:val="22"/>
          <w:lang w:val="sr-Cyrl-CS"/>
        </w:rPr>
        <w:t>Оперативном приручнику за имплементацију</w:t>
      </w:r>
      <w:r w:rsidR="000104CF" w:rsidRPr="00895819">
        <w:rPr>
          <w:szCs w:val="22"/>
          <w:lang w:val="sr-Cyrl-CS"/>
        </w:rPr>
        <w:t xml:space="preserve"> и извештавање</w:t>
      </w:r>
      <w:r w:rsidR="00CF57E2" w:rsidRPr="00895819">
        <w:rPr>
          <w:szCs w:val="22"/>
          <w:lang w:val="sr-Cyrl-CS"/>
        </w:rPr>
        <w:t xml:space="preserve">; (v) </w:t>
      </w:r>
      <w:r w:rsidR="00C52F47" w:rsidRPr="00895819">
        <w:rPr>
          <w:szCs w:val="22"/>
          <w:lang w:val="sr-Cyrl-CS"/>
        </w:rPr>
        <w:t>припрем</w:t>
      </w:r>
      <w:r w:rsidR="008436B9" w:rsidRPr="00895819">
        <w:rPr>
          <w:szCs w:val="22"/>
          <w:lang w:val="sr-Cyrl-CS"/>
        </w:rPr>
        <w:t>у</w:t>
      </w:r>
      <w:r w:rsidR="00C52F47" w:rsidRPr="00895819">
        <w:rPr>
          <w:szCs w:val="22"/>
          <w:lang w:val="sr-Cyrl-CS"/>
        </w:rPr>
        <w:t xml:space="preserve"> извештаја о напретку Операције</w:t>
      </w:r>
      <w:r w:rsidR="00CF57E2" w:rsidRPr="00895819">
        <w:rPr>
          <w:szCs w:val="22"/>
          <w:lang w:val="sr-Cyrl-CS"/>
        </w:rPr>
        <w:t xml:space="preserve">; (vi) </w:t>
      </w:r>
      <w:r w:rsidR="00C52F47" w:rsidRPr="00895819">
        <w:rPr>
          <w:szCs w:val="22"/>
          <w:lang w:val="sr-Cyrl-CS"/>
        </w:rPr>
        <w:t>координациј</w:t>
      </w:r>
      <w:r w:rsidR="008436B9" w:rsidRPr="00895819">
        <w:rPr>
          <w:szCs w:val="22"/>
          <w:lang w:val="sr-Cyrl-CS"/>
        </w:rPr>
        <w:t>у</w:t>
      </w:r>
      <w:r w:rsidR="00C52F47" w:rsidRPr="00895819">
        <w:rPr>
          <w:szCs w:val="22"/>
          <w:lang w:val="sr-Cyrl-CS"/>
        </w:rPr>
        <w:t xml:space="preserve"> опсега и имплементације планова рада за потребе Пројекта; и </w:t>
      </w:r>
      <w:r w:rsidR="00CF57E2" w:rsidRPr="00895819">
        <w:rPr>
          <w:szCs w:val="22"/>
          <w:lang w:val="sr-Cyrl-CS"/>
        </w:rPr>
        <w:t xml:space="preserve">(vii) </w:t>
      </w:r>
      <w:r w:rsidR="00C52F47" w:rsidRPr="00895819">
        <w:rPr>
          <w:szCs w:val="22"/>
          <w:lang w:val="sr-Cyrl-CS"/>
        </w:rPr>
        <w:t xml:space="preserve">ангажовање Агента за верификацију за ДЛИ </w:t>
      </w:r>
      <w:r w:rsidR="00CF57E2" w:rsidRPr="00895819">
        <w:rPr>
          <w:szCs w:val="22"/>
          <w:lang w:val="sr-Cyrl-CS"/>
        </w:rPr>
        <w:t>1;</w:t>
      </w:r>
    </w:p>
    <w:p w14:paraId="006E1D14" w14:textId="449DF4CE" w:rsidR="00CF57E2" w:rsidRPr="00895819" w:rsidRDefault="00E73AB1" w:rsidP="00E73AB1">
      <w:pPr>
        <w:pStyle w:val="AATitre4"/>
        <w:numPr>
          <w:ilvl w:val="0"/>
          <w:numId w:val="0"/>
        </w:numPr>
        <w:ind w:left="1440" w:hanging="720"/>
        <w:rPr>
          <w:lang w:val="sr-Cyrl-CS"/>
        </w:rPr>
      </w:pPr>
      <w:r w:rsidRPr="00895819">
        <w:rPr>
          <w:lang w:val="sr-Cyrl-CS"/>
        </w:rPr>
        <w:t>(д)</w:t>
      </w:r>
      <w:r w:rsidRPr="00895819">
        <w:rPr>
          <w:lang w:val="sr-Cyrl-CS"/>
        </w:rPr>
        <w:tab/>
      </w:r>
      <w:r w:rsidR="00936E51" w:rsidRPr="00895819">
        <w:rPr>
          <w:lang w:val="sr-Cyrl-CS"/>
        </w:rPr>
        <w:t>одржа</w:t>
      </w:r>
      <w:r w:rsidR="0095397D" w:rsidRPr="00895819">
        <w:rPr>
          <w:lang w:val="sr-Cyrl-CS"/>
        </w:rPr>
        <w:t>ва</w:t>
      </w:r>
      <w:r w:rsidR="00936E51" w:rsidRPr="00895819">
        <w:rPr>
          <w:lang w:val="sr-Cyrl-CS"/>
        </w:rPr>
        <w:t>ти</w:t>
      </w:r>
      <w:r w:rsidR="00CF57E2" w:rsidRPr="00895819">
        <w:rPr>
          <w:lang w:val="sr-Cyrl-CS"/>
        </w:rPr>
        <w:t xml:space="preserve"> – </w:t>
      </w:r>
      <w:r w:rsidR="00936E51" w:rsidRPr="00895819">
        <w:rPr>
          <w:lang w:val="sr-Cyrl-CS"/>
        </w:rPr>
        <w:t xml:space="preserve">преко </w:t>
      </w:r>
      <w:r w:rsidR="00F76D97" w:rsidRPr="00895819">
        <w:rPr>
          <w:lang w:val="sr-Cyrl-CS"/>
        </w:rPr>
        <w:t>Министарств</w:t>
      </w:r>
      <w:r w:rsidR="00936E51" w:rsidRPr="00895819">
        <w:rPr>
          <w:lang w:val="sr-Cyrl-CS"/>
        </w:rPr>
        <w:t>а</w:t>
      </w:r>
      <w:r w:rsidR="00F76D97" w:rsidRPr="00895819">
        <w:rPr>
          <w:lang w:val="sr-Cyrl-CS"/>
        </w:rPr>
        <w:t xml:space="preserve"> финансија</w:t>
      </w:r>
      <w:r w:rsidR="00CF57E2" w:rsidRPr="00895819">
        <w:rPr>
          <w:lang w:val="sr-Cyrl-CS"/>
        </w:rPr>
        <w:t xml:space="preserve"> – </w:t>
      </w:r>
      <w:r w:rsidR="00936E51" w:rsidRPr="00895819">
        <w:rPr>
          <w:lang w:val="sr-Cyrl-CS"/>
        </w:rPr>
        <w:t>Централну фидуцијарну јединицу</w:t>
      </w:r>
      <w:r w:rsidR="00CF57E2" w:rsidRPr="00895819">
        <w:rPr>
          <w:lang w:val="sr-Cyrl-CS"/>
        </w:rPr>
        <w:t xml:space="preserve"> (</w:t>
      </w:r>
      <w:r w:rsidR="00936E51" w:rsidRPr="00895819">
        <w:rPr>
          <w:lang w:val="sr-Cyrl-CS"/>
        </w:rPr>
        <w:t>„ЦФЈ</w:t>
      </w:r>
      <w:r w:rsidR="003963A8" w:rsidRPr="00895819">
        <w:rPr>
          <w:lang w:val="sr-Cyrl-CS"/>
        </w:rPr>
        <w:t>”</w:t>
      </w:r>
      <w:r w:rsidR="00CF57E2" w:rsidRPr="00895819">
        <w:rPr>
          <w:lang w:val="sr-Cyrl-CS"/>
        </w:rPr>
        <w:t xml:space="preserve">) </w:t>
      </w:r>
      <w:r w:rsidR="00936E51" w:rsidRPr="00895819">
        <w:rPr>
          <w:lang w:val="sr-Cyrl-CS"/>
        </w:rPr>
        <w:t>са пројектним задатком и ресурсима прихватљивим за Зајмопримца која ће, између осталог</w:t>
      </w:r>
      <w:r w:rsidR="0095397D" w:rsidRPr="00895819">
        <w:rPr>
          <w:lang w:val="sr-Cyrl-CS"/>
        </w:rPr>
        <w:t>,</w:t>
      </w:r>
      <w:r w:rsidR="00936E51" w:rsidRPr="00895819">
        <w:rPr>
          <w:lang w:val="sr-Cyrl-CS"/>
        </w:rPr>
        <w:t xml:space="preserve"> бити одговорна за: </w:t>
      </w:r>
      <w:r w:rsidR="00CF57E2" w:rsidRPr="00895819">
        <w:rPr>
          <w:szCs w:val="22"/>
          <w:lang w:val="sr-Cyrl-CS"/>
        </w:rPr>
        <w:t xml:space="preserve">(i) </w:t>
      </w:r>
      <w:r w:rsidR="00936E51" w:rsidRPr="00895819">
        <w:rPr>
          <w:szCs w:val="22"/>
          <w:lang w:val="sr-Cyrl-CS"/>
        </w:rPr>
        <w:t>финансијско управљање Траншом техничке помоћи</w:t>
      </w:r>
      <w:r w:rsidR="00CF57E2" w:rsidRPr="00895819">
        <w:rPr>
          <w:szCs w:val="22"/>
          <w:lang w:val="sr-Cyrl-CS"/>
        </w:rPr>
        <w:t xml:space="preserve">; (ii) </w:t>
      </w:r>
      <w:r w:rsidR="00936E51" w:rsidRPr="00895819">
        <w:rPr>
          <w:szCs w:val="22"/>
          <w:lang w:val="sr-Cyrl-CS"/>
        </w:rPr>
        <w:t>набавке које се финансирају из Транше техничке помоћи</w:t>
      </w:r>
      <w:r w:rsidR="00CF57E2" w:rsidRPr="00895819">
        <w:rPr>
          <w:szCs w:val="22"/>
          <w:lang w:val="sr-Cyrl-CS"/>
        </w:rPr>
        <w:t xml:space="preserve">; (iii) </w:t>
      </w:r>
      <w:r w:rsidR="00936E51" w:rsidRPr="00895819">
        <w:rPr>
          <w:szCs w:val="22"/>
          <w:lang w:val="sr-Cyrl-CS"/>
        </w:rPr>
        <w:t>финансијско извештавање о Транши техничке помоћи</w:t>
      </w:r>
      <w:r w:rsidR="00CF57E2" w:rsidRPr="00895819">
        <w:rPr>
          <w:szCs w:val="22"/>
          <w:lang w:val="sr-Cyrl-CS"/>
        </w:rPr>
        <w:t xml:space="preserve">; (iv) </w:t>
      </w:r>
      <w:r w:rsidR="00936E51" w:rsidRPr="00895819">
        <w:rPr>
          <w:szCs w:val="22"/>
          <w:lang w:val="sr-Cyrl-CS"/>
        </w:rPr>
        <w:t xml:space="preserve">праћење ставки програмског буџета </w:t>
      </w:r>
      <w:r w:rsidR="005C4C7F" w:rsidRPr="00895819">
        <w:rPr>
          <w:szCs w:val="22"/>
          <w:lang w:val="sr-Cyrl-CS"/>
        </w:rPr>
        <w:t>обухваћених Оквиром расхода</w:t>
      </w:r>
      <w:r w:rsidR="00CF57E2" w:rsidRPr="00895819">
        <w:rPr>
          <w:szCs w:val="22"/>
          <w:lang w:val="sr-Cyrl-CS"/>
        </w:rPr>
        <w:t xml:space="preserve">; </w:t>
      </w:r>
      <w:r w:rsidR="005C4C7F" w:rsidRPr="00895819">
        <w:rPr>
          <w:szCs w:val="22"/>
          <w:lang w:val="sr-Cyrl-CS"/>
        </w:rPr>
        <w:t>и</w:t>
      </w:r>
      <w:r w:rsidR="00CF57E2" w:rsidRPr="00895819">
        <w:rPr>
          <w:szCs w:val="22"/>
          <w:lang w:val="sr-Cyrl-CS"/>
        </w:rPr>
        <w:t xml:space="preserve"> (v) </w:t>
      </w:r>
      <w:r w:rsidR="005C4C7F" w:rsidRPr="00895819">
        <w:rPr>
          <w:szCs w:val="22"/>
          <w:lang w:val="sr-Cyrl-CS"/>
        </w:rPr>
        <w:t>прикупљање података и анализ</w:t>
      </w:r>
      <w:r w:rsidR="0095397D" w:rsidRPr="00895819">
        <w:rPr>
          <w:szCs w:val="22"/>
          <w:lang w:val="sr-Cyrl-CS"/>
        </w:rPr>
        <w:t xml:space="preserve">у </w:t>
      </w:r>
      <w:r w:rsidR="005C4C7F" w:rsidRPr="00895819">
        <w:rPr>
          <w:szCs w:val="22"/>
          <w:lang w:val="sr-Cyrl-CS"/>
        </w:rPr>
        <w:t>Квалификованих расхода техничке помоћи</w:t>
      </w:r>
      <w:r w:rsidR="00CF57E2" w:rsidRPr="00895819">
        <w:rPr>
          <w:szCs w:val="22"/>
          <w:lang w:val="sr-Cyrl-CS"/>
        </w:rPr>
        <w:t>;</w:t>
      </w:r>
    </w:p>
    <w:p w14:paraId="1B5E2A83" w14:textId="4F792348" w:rsidR="00626DFC" w:rsidRPr="00895819" w:rsidRDefault="00E73AB1" w:rsidP="00E73AB1">
      <w:pPr>
        <w:pStyle w:val="AATitre4"/>
        <w:numPr>
          <w:ilvl w:val="0"/>
          <w:numId w:val="0"/>
        </w:numPr>
        <w:ind w:left="1440" w:hanging="720"/>
        <w:rPr>
          <w:lang w:val="sr-Cyrl-CS"/>
        </w:rPr>
      </w:pPr>
      <w:r w:rsidRPr="00895819">
        <w:rPr>
          <w:lang w:val="sr-Cyrl-CS"/>
        </w:rPr>
        <w:t>(е)</w:t>
      </w:r>
      <w:r w:rsidRPr="00895819">
        <w:rPr>
          <w:lang w:val="sr-Cyrl-CS"/>
        </w:rPr>
        <w:tab/>
      </w:r>
      <w:r w:rsidR="00F46B4D" w:rsidRPr="00895819">
        <w:rPr>
          <w:lang w:val="sr-Cyrl-CS"/>
        </w:rPr>
        <w:t>усвоји</w:t>
      </w:r>
      <w:r w:rsidR="0095397D" w:rsidRPr="00895819">
        <w:rPr>
          <w:lang w:val="sr-Cyrl-CS"/>
        </w:rPr>
        <w:t>ти</w:t>
      </w:r>
      <w:r w:rsidR="00F46B4D" w:rsidRPr="00895819">
        <w:rPr>
          <w:lang w:val="sr-Cyrl-CS"/>
        </w:rPr>
        <w:t xml:space="preserve"> најкасније до Датума ступања на снагу и након тога спроводи</w:t>
      </w:r>
      <w:r w:rsidR="008436B9" w:rsidRPr="00895819">
        <w:rPr>
          <w:lang w:val="sr-Cyrl-CS"/>
        </w:rPr>
        <w:t>ти</w:t>
      </w:r>
      <w:r w:rsidR="00F46B4D" w:rsidRPr="00895819">
        <w:rPr>
          <w:lang w:val="sr-Cyrl-CS"/>
        </w:rPr>
        <w:t xml:space="preserve"> Приручник за имплементацију операције („ОИМ</w:t>
      </w:r>
      <w:r w:rsidR="003963A8" w:rsidRPr="00895819">
        <w:rPr>
          <w:lang w:val="sr-Cyrl-CS"/>
        </w:rPr>
        <w:t>”</w:t>
      </w:r>
      <w:r w:rsidR="00F46B4D" w:rsidRPr="00895819">
        <w:rPr>
          <w:lang w:val="sr-Cyrl-CS"/>
        </w:rPr>
        <w:t>) који садржи детаљне податке о аранжманима и процедурама везаним за имплементацију Операције укључујући између осталог</w:t>
      </w:r>
      <w:r w:rsidR="00626DFC" w:rsidRPr="00895819">
        <w:rPr>
          <w:lang w:val="sr-Cyrl-CS"/>
        </w:rPr>
        <w:t xml:space="preserve">: (i) </w:t>
      </w:r>
      <w:r w:rsidR="00F46B4D" w:rsidRPr="00895819">
        <w:rPr>
          <w:lang w:val="sr-Cyrl-CS"/>
        </w:rPr>
        <w:t>аранжмане везане за исплату и токове средстава</w:t>
      </w:r>
      <w:r w:rsidR="00626DFC" w:rsidRPr="00895819">
        <w:rPr>
          <w:lang w:val="sr-Cyrl-CS"/>
        </w:rPr>
        <w:t xml:space="preserve">; (ii) </w:t>
      </w:r>
      <w:r w:rsidR="00F46B4D" w:rsidRPr="00895819">
        <w:rPr>
          <w:lang w:val="sr-Cyrl-CS"/>
        </w:rPr>
        <w:t>институционалне аранжмане</w:t>
      </w:r>
      <w:r w:rsidR="00626DFC" w:rsidRPr="00895819">
        <w:rPr>
          <w:lang w:val="sr-Cyrl-CS"/>
        </w:rPr>
        <w:t xml:space="preserve">; (iii) </w:t>
      </w:r>
      <w:r w:rsidR="00F46B4D" w:rsidRPr="00895819">
        <w:rPr>
          <w:lang w:val="sr-Cyrl-CS"/>
        </w:rPr>
        <w:t>финансијско управљање, системе управљања и системе набавки</w:t>
      </w:r>
      <w:r w:rsidR="00626DFC" w:rsidRPr="00895819">
        <w:rPr>
          <w:lang w:val="sr-Cyrl-CS"/>
        </w:rPr>
        <w:t xml:space="preserve">; (iv) </w:t>
      </w:r>
      <w:r w:rsidR="00F46B4D" w:rsidRPr="00895819">
        <w:rPr>
          <w:lang w:val="sr-Cyrl-CS"/>
        </w:rPr>
        <w:t>аранжман</w:t>
      </w:r>
      <w:r w:rsidR="0095397D" w:rsidRPr="00895819">
        <w:rPr>
          <w:lang w:val="sr-Cyrl-CS"/>
        </w:rPr>
        <w:t>е</w:t>
      </w:r>
      <w:r w:rsidR="00F46B4D" w:rsidRPr="00895819">
        <w:rPr>
          <w:lang w:val="sr-Cyrl-CS"/>
        </w:rPr>
        <w:t xml:space="preserve"> и одговорност</w:t>
      </w:r>
      <w:r w:rsidR="008436B9" w:rsidRPr="00895819">
        <w:rPr>
          <w:lang w:val="sr-Cyrl-CS"/>
        </w:rPr>
        <w:t>и</w:t>
      </w:r>
      <w:r w:rsidR="00F46B4D" w:rsidRPr="00895819">
        <w:rPr>
          <w:lang w:val="sr-Cyrl-CS"/>
        </w:rPr>
        <w:t xml:space="preserve"> Управљачког одбора</w:t>
      </w:r>
      <w:r w:rsidR="00626DFC" w:rsidRPr="00895819">
        <w:rPr>
          <w:lang w:val="sr-Cyrl-CS"/>
        </w:rPr>
        <w:t xml:space="preserve">; (v) </w:t>
      </w:r>
      <w:r w:rsidR="00F46B4D" w:rsidRPr="00895819">
        <w:rPr>
          <w:lang w:val="sr-Cyrl-CS"/>
        </w:rPr>
        <w:t>системе управљања животном средином и социјалним питањима и оперативни жалбени механизам</w:t>
      </w:r>
      <w:r w:rsidR="00626DFC" w:rsidRPr="00895819">
        <w:rPr>
          <w:lang w:val="sr-Cyrl-CS"/>
        </w:rPr>
        <w:t xml:space="preserve">; (vi) </w:t>
      </w:r>
      <w:r w:rsidR="00F46B4D" w:rsidRPr="00895819">
        <w:rPr>
          <w:lang w:val="sr-Cyrl-CS"/>
        </w:rPr>
        <w:t>борбу против корупције, укључујући и Смернице за борбу против корупције</w:t>
      </w:r>
      <w:r w:rsidR="00626DFC" w:rsidRPr="00895819">
        <w:rPr>
          <w:lang w:val="sr-Cyrl-CS"/>
        </w:rPr>
        <w:t xml:space="preserve">; (vii) </w:t>
      </w:r>
      <w:r w:rsidR="00F46B4D" w:rsidRPr="00895819">
        <w:rPr>
          <w:lang w:val="sr-Cyrl-CS"/>
        </w:rPr>
        <w:t>праћење и евалуацију, извештавање и комуникацију, укључујући и показатеље Програма</w:t>
      </w:r>
      <w:r w:rsidR="00626DFC" w:rsidRPr="00895819">
        <w:rPr>
          <w:lang w:val="sr-Cyrl-CS"/>
        </w:rPr>
        <w:t xml:space="preserve">; (viii) </w:t>
      </w:r>
      <w:r w:rsidR="00F46B4D" w:rsidRPr="00895819">
        <w:rPr>
          <w:lang w:val="sr-Cyrl-CS"/>
        </w:rPr>
        <w:t xml:space="preserve">детаљне аранжмане за верификацију постигнућа ДЛР </w:t>
      </w:r>
      <w:r w:rsidR="00626DFC" w:rsidRPr="00895819">
        <w:rPr>
          <w:lang w:val="sr-Cyrl-CS"/>
        </w:rPr>
        <w:t>(</w:t>
      </w:r>
      <w:r w:rsidR="00F46B4D" w:rsidRPr="00895819">
        <w:rPr>
          <w:lang w:val="sr-Cyrl-CS"/>
        </w:rPr>
        <w:t>укључујући и протоколе за верификацију</w:t>
      </w:r>
      <w:r w:rsidR="00626DFC" w:rsidRPr="00895819">
        <w:rPr>
          <w:lang w:val="sr-Cyrl-CS"/>
        </w:rPr>
        <w:t xml:space="preserve">); </w:t>
      </w:r>
      <w:r w:rsidR="00F46B4D" w:rsidRPr="00895819">
        <w:rPr>
          <w:lang w:val="sr-Cyrl-CS"/>
        </w:rPr>
        <w:t>и</w:t>
      </w:r>
      <w:r w:rsidR="00626DFC" w:rsidRPr="00895819">
        <w:rPr>
          <w:lang w:val="sr-Cyrl-CS"/>
        </w:rPr>
        <w:t xml:space="preserve"> (ix) </w:t>
      </w:r>
      <w:r w:rsidR="00F46B4D" w:rsidRPr="00895819">
        <w:rPr>
          <w:lang w:val="sr-Cyrl-CS"/>
        </w:rPr>
        <w:t>друге административне, финансијске, техничке и организационе аранжмане и процедуре за потребе Операције</w:t>
      </w:r>
      <w:r w:rsidR="0007643E" w:rsidRPr="00895819">
        <w:rPr>
          <w:lang w:val="sr-Cyrl-CS"/>
        </w:rPr>
        <w:t>;</w:t>
      </w:r>
    </w:p>
    <w:p w14:paraId="06919772" w14:textId="05F678B7" w:rsidR="00CF57E2" w:rsidRPr="00895819" w:rsidRDefault="00E73AB1" w:rsidP="00E73AB1">
      <w:pPr>
        <w:pStyle w:val="AATitre4"/>
        <w:numPr>
          <w:ilvl w:val="0"/>
          <w:numId w:val="0"/>
        </w:numPr>
        <w:ind w:left="1440" w:hanging="720"/>
        <w:rPr>
          <w:lang w:val="sr-Cyrl-CS"/>
        </w:rPr>
      </w:pPr>
      <w:r w:rsidRPr="00895819">
        <w:rPr>
          <w:lang w:val="sr-Cyrl-CS"/>
        </w:rPr>
        <w:t>(ф)</w:t>
      </w:r>
      <w:r w:rsidRPr="00895819">
        <w:rPr>
          <w:lang w:val="sr-Cyrl-CS"/>
        </w:rPr>
        <w:tab/>
      </w:r>
      <w:r w:rsidR="0095397D" w:rsidRPr="00895819">
        <w:rPr>
          <w:lang w:val="sr-Cyrl-CS"/>
        </w:rPr>
        <w:t xml:space="preserve">се </w:t>
      </w:r>
      <w:r w:rsidR="0097246A" w:rsidRPr="00895819">
        <w:rPr>
          <w:lang w:val="sr-Cyrl-CS"/>
        </w:rPr>
        <w:t>уздржа</w:t>
      </w:r>
      <w:r w:rsidR="0095397D" w:rsidRPr="00895819">
        <w:rPr>
          <w:lang w:val="sr-Cyrl-CS"/>
        </w:rPr>
        <w:t>ти</w:t>
      </w:r>
      <w:r w:rsidR="0097246A" w:rsidRPr="00895819">
        <w:rPr>
          <w:lang w:val="sr-Cyrl-CS"/>
        </w:rPr>
        <w:t xml:space="preserve"> од уношења било каквих материјалних измена и допуна ОИМ-а без претходне сагласности Суфинансијера</w:t>
      </w:r>
      <w:r w:rsidR="00CF57E2" w:rsidRPr="00895819">
        <w:rPr>
          <w:lang w:val="sr-Cyrl-CS"/>
        </w:rPr>
        <w:t>.</w:t>
      </w:r>
    </w:p>
    <w:p w14:paraId="1A6BA3B5" w14:textId="33D4F036" w:rsidR="00CF57E2" w:rsidRPr="00895819" w:rsidRDefault="00E73AB1" w:rsidP="00E73AB1">
      <w:pPr>
        <w:pStyle w:val="AATitre4"/>
        <w:numPr>
          <w:ilvl w:val="0"/>
          <w:numId w:val="0"/>
        </w:numPr>
        <w:ind w:left="1440" w:hanging="720"/>
        <w:rPr>
          <w:lang w:val="sr-Cyrl-CS"/>
        </w:rPr>
      </w:pPr>
      <w:r w:rsidRPr="00895819">
        <w:rPr>
          <w:lang w:val="sr-Cyrl-CS"/>
        </w:rPr>
        <w:lastRenderedPageBreak/>
        <w:t>(г)</w:t>
      </w:r>
      <w:r w:rsidRPr="00895819">
        <w:rPr>
          <w:lang w:val="sr-Cyrl-CS"/>
        </w:rPr>
        <w:tab/>
      </w:r>
      <w:r w:rsidR="0095397D" w:rsidRPr="00895819">
        <w:rPr>
          <w:lang w:val="sr-Cyrl-CS"/>
        </w:rPr>
        <w:t>у</w:t>
      </w:r>
      <w:r w:rsidR="0097246A" w:rsidRPr="00895819">
        <w:rPr>
          <w:lang w:val="sr-Cyrl-CS"/>
        </w:rPr>
        <w:t>говори</w:t>
      </w:r>
      <w:r w:rsidR="0095397D" w:rsidRPr="00895819">
        <w:rPr>
          <w:lang w:val="sr-Cyrl-CS"/>
        </w:rPr>
        <w:t>ти</w:t>
      </w:r>
      <w:r w:rsidR="0097246A" w:rsidRPr="00895819">
        <w:rPr>
          <w:lang w:val="sr-Cyrl-CS"/>
        </w:rPr>
        <w:t xml:space="preserve"> у року од четири </w:t>
      </w:r>
      <w:r w:rsidR="00CF57E2" w:rsidRPr="00895819">
        <w:rPr>
          <w:lang w:val="sr-Cyrl-CS"/>
        </w:rPr>
        <w:t>(</w:t>
      </w:r>
      <w:r w:rsidR="004460D9" w:rsidRPr="00895819">
        <w:rPr>
          <w:lang w:val="sr-Cyrl-CS"/>
        </w:rPr>
        <w:t>4</w:t>
      </w:r>
      <w:r w:rsidR="00CF57E2" w:rsidRPr="00895819">
        <w:rPr>
          <w:lang w:val="sr-Cyrl-CS"/>
        </w:rPr>
        <w:t xml:space="preserve">) </w:t>
      </w:r>
      <w:r w:rsidR="0097246A" w:rsidRPr="00895819">
        <w:rPr>
          <w:lang w:val="sr-Cyrl-CS"/>
        </w:rPr>
        <w:t>месеца од Датума ступања на снагу и одржава</w:t>
      </w:r>
      <w:r w:rsidR="007351A4" w:rsidRPr="00895819">
        <w:rPr>
          <w:lang w:val="sr-Cyrl-CS"/>
        </w:rPr>
        <w:t>ти</w:t>
      </w:r>
      <w:r w:rsidR="0097246A" w:rsidRPr="00895819">
        <w:rPr>
          <w:lang w:val="sr-Cyrl-CS"/>
        </w:rPr>
        <w:t xml:space="preserve"> </w:t>
      </w:r>
      <w:r w:rsidR="00013CF5" w:rsidRPr="00895819">
        <w:rPr>
          <w:lang w:val="sr-Cyrl-CS"/>
        </w:rPr>
        <w:t xml:space="preserve">све време током имплементације Операције извођача који ће бити независни Агент за верификацију у складу са пројектним задатком прихватљивим за Зајмодавца, који ће верификовати податке и друге доказе којима се доказује постизање ДЛИ 1 као што је наведено у Оквиру резултата у Прилогу </w:t>
      </w:r>
      <w:r w:rsidR="00CF57E2" w:rsidRPr="00895819">
        <w:rPr>
          <w:lang w:val="sr-Cyrl-CS"/>
        </w:rPr>
        <w:t>3</w:t>
      </w:r>
      <w:r w:rsidR="00013CF5" w:rsidRPr="00895819">
        <w:rPr>
          <w:lang w:val="sr-Cyrl-CS"/>
        </w:rPr>
        <w:t xml:space="preserve">Ц </w:t>
      </w:r>
      <w:r w:rsidR="00CF57E2" w:rsidRPr="00895819">
        <w:rPr>
          <w:lang w:val="sr-Cyrl-CS"/>
        </w:rPr>
        <w:t>(</w:t>
      </w:r>
      <w:r w:rsidR="00013CF5" w:rsidRPr="00895819">
        <w:rPr>
          <w:i/>
          <w:lang w:val="sr-Cyrl-CS"/>
        </w:rPr>
        <w:t>Оквир резултата</w:t>
      </w:r>
      <w:r w:rsidR="00CF57E2" w:rsidRPr="00895819">
        <w:rPr>
          <w:lang w:val="sr-Cyrl-CS"/>
        </w:rPr>
        <w:t>);</w:t>
      </w:r>
    </w:p>
    <w:p w14:paraId="2E7403D3" w14:textId="79FA8E2D" w:rsidR="00CF57E2" w:rsidRPr="00895819" w:rsidRDefault="00E73AB1" w:rsidP="00E73AB1">
      <w:pPr>
        <w:pStyle w:val="AATitre4"/>
        <w:numPr>
          <w:ilvl w:val="0"/>
          <w:numId w:val="0"/>
        </w:numPr>
        <w:ind w:left="1440" w:hanging="720"/>
        <w:rPr>
          <w:lang w:val="sr-Cyrl-CS"/>
        </w:rPr>
      </w:pPr>
      <w:r w:rsidRPr="00895819">
        <w:rPr>
          <w:lang w:val="sr-Cyrl-CS"/>
        </w:rPr>
        <w:t>(х)</w:t>
      </w:r>
      <w:r w:rsidRPr="00895819">
        <w:rPr>
          <w:lang w:val="sr-Cyrl-CS"/>
        </w:rPr>
        <w:tab/>
      </w:r>
      <w:r w:rsidR="00013CF5" w:rsidRPr="00895819">
        <w:rPr>
          <w:lang w:val="sr-Cyrl-CS"/>
        </w:rPr>
        <w:t>обезбеди</w:t>
      </w:r>
      <w:r w:rsidR="00FF3702" w:rsidRPr="00895819">
        <w:rPr>
          <w:lang w:val="sr-Cyrl-CS"/>
        </w:rPr>
        <w:t>ти</w:t>
      </w:r>
      <w:r w:rsidR="00013CF5" w:rsidRPr="00895819">
        <w:rPr>
          <w:lang w:val="sr-Cyrl-CS"/>
        </w:rPr>
        <w:t xml:space="preserve"> да </w:t>
      </w:r>
      <w:r w:rsidR="00937BB3" w:rsidRPr="00895819">
        <w:rPr>
          <w:lang w:val="sr-Cyrl-CS"/>
        </w:rPr>
        <w:t>Републички секретаријат за јавне политике</w:t>
      </w:r>
      <w:r w:rsidR="00745020" w:rsidRPr="00895819">
        <w:rPr>
          <w:lang w:val="sr-Cyrl-CS"/>
        </w:rPr>
        <w:t xml:space="preserve"> (</w:t>
      </w:r>
      <w:r w:rsidR="00013CF5" w:rsidRPr="00895819">
        <w:rPr>
          <w:lang w:val="sr-Cyrl-CS"/>
        </w:rPr>
        <w:t>„РСЈП</w:t>
      </w:r>
      <w:r w:rsidR="003963A8" w:rsidRPr="00895819">
        <w:rPr>
          <w:lang w:val="sr-Cyrl-CS"/>
        </w:rPr>
        <w:t>”</w:t>
      </w:r>
      <w:r w:rsidR="00013CF5" w:rsidRPr="00895819">
        <w:rPr>
          <w:lang w:val="sr-Cyrl-CS"/>
        </w:rPr>
        <w:t xml:space="preserve">) </w:t>
      </w:r>
      <w:r w:rsidR="00F7563E" w:rsidRPr="00895819">
        <w:rPr>
          <w:lang w:val="sr-Cyrl-CS"/>
        </w:rPr>
        <w:t xml:space="preserve">делује као Агент за верификацију у складу са Протоколом за верификацију, током трајања имплементације Операције </w:t>
      </w:r>
      <w:r w:rsidR="00FF3702" w:rsidRPr="00895819">
        <w:rPr>
          <w:lang w:val="sr-Cyrl-CS"/>
        </w:rPr>
        <w:t>у</w:t>
      </w:r>
      <w:r w:rsidR="00F7563E" w:rsidRPr="00895819">
        <w:rPr>
          <w:lang w:val="sr-Cyrl-CS"/>
        </w:rPr>
        <w:t xml:space="preserve"> циљу </w:t>
      </w:r>
      <w:r w:rsidR="001B71F4" w:rsidRPr="00895819">
        <w:rPr>
          <w:lang w:val="sr-Cyrl-CS"/>
        </w:rPr>
        <w:t xml:space="preserve">(i) </w:t>
      </w:r>
      <w:r w:rsidR="00F7563E" w:rsidRPr="00895819">
        <w:rPr>
          <w:lang w:val="sr-Cyrl-CS"/>
        </w:rPr>
        <w:t xml:space="preserve">верификовања података и других доказа којима се доказује постизање ДЛИ </w:t>
      </w:r>
      <w:r w:rsidR="00CF57E2" w:rsidRPr="00895819">
        <w:rPr>
          <w:lang w:val="sr-Cyrl-CS"/>
        </w:rPr>
        <w:t xml:space="preserve">2 </w:t>
      </w:r>
      <w:r w:rsidR="00F7563E" w:rsidRPr="00895819">
        <w:rPr>
          <w:lang w:val="sr-Cyrl-CS"/>
        </w:rPr>
        <w:t>-</w:t>
      </w:r>
      <w:r w:rsidR="00CF57E2" w:rsidRPr="00895819">
        <w:rPr>
          <w:lang w:val="sr-Cyrl-CS"/>
        </w:rPr>
        <w:t xml:space="preserve"> 8</w:t>
      </w:r>
      <w:r w:rsidR="001B71F4" w:rsidRPr="00895819">
        <w:rPr>
          <w:lang w:val="sr-Cyrl-CS"/>
        </w:rPr>
        <w:t xml:space="preserve">, </w:t>
      </w:r>
      <w:r w:rsidR="00F7563E" w:rsidRPr="00895819">
        <w:rPr>
          <w:lang w:val="sr-Cyrl-CS"/>
        </w:rPr>
        <w:t xml:space="preserve">као што је наведено у Оквиру резултата у Прилогу </w:t>
      </w:r>
      <w:r w:rsidR="00CF57E2" w:rsidRPr="00895819">
        <w:rPr>
          <w:lang w:val="sr-Cyrl-CS"/>
        </w:rPr>
        <w:t>3</w:t>
      </w:r>
      <w:r w:rsidR="00F7563E" w:rsidRPr="00895819">
        <w:rPr>
          <w:lang w:val="sr-Cyrl-CS"/>
        </w:rPr>
        <w:t>Ц</w:t>
      </w:r>
      <w:r w:rsidR="00CF57E2" w:rsidRPr="00895819">
        <w:rPr>
          <w:lang w:val="sr-Cyrl-CS"/>
        </w:rPr>
        <w:t xml:space="preserve"> (</w:t>
      </w:r>
      <w:r w:rsidR="00F7563E" w:rsidRPr="00895819">
        <w:rPr>
          <w:i/>
          <w:lang w:val="sr-Cyrl-CS"/>
        </w:rPr>
        <w:t>Оквир резултата</w:t>
      </w:r>
      <w:r w:rsidR="00CF57E2" w:rsidRPr="00895819">
        <w:rPr>
          <w:lang w:val="sr-Cyrl-CS"/>
        </w:rPr>
        <w:t>)</w:t>
      </w:r>
      <w:r w:rsidR="001B71F4" w:rsidRPr="00895819">
        <w:rPr>
          <w:lang w:val="sr-Cyrl-CS"/>
        </w:rPr>
        <w:t xml:space="preserve"> </w:t>
      </w:r>
      <w:r w:rsidR="00F7563E" w:rsidRPr="00895819">
        <w:rPr>
          <w:lang w:val="sr-Cyrl-CS"/>
        </w:rPr>
        <w:t>и</w:t>
      </w:r>
      <w:r w:rsidR="001B71F4" w:rsidRPr="00895819">
        <w:rPr>
          <w:lang w:val="sr-Cyrl-CS"/>
        </w:rPr>
        <w:t xml:space="preserve"> (ii) </w:t>
      </w:r>
      <w:r w:rsidR="00F7563E" w:rsidRPr="00895819">
        <w:rPr>
          <w:lang w:val="sr-Cyrl-CS"/>
        </w:rPr>
        <w:t>подн</w:t>
      </w:r>
      <w:r w:rsidR="00FF3702" w:rsidRPr="00895819">
        <w:rPr>
          <w:lang w:val="sr-Cyrl-CS"/>
        </w:rPr>
        <w:t>ошења</w:t>
      </w:r>
      <w:r w:rsidR="00F7563E" w:rsidRPr="00895819">
        <w:rPr>
          <w:lang w:val="sr-Cyrl-CS"/>
        </w:rPr>
        <w:t xml:space="preserve"> </w:t>
      </w:r>
      <w:r w:rsidR="00FF3702" w:rsidRPr="00895819">
        <w:rPr>
          <w:lang w:val="sr-Cyrl-CS"/>
        </w:rPr>
        <w:t xml:space="preserve">Зајмодавцу </w:t>
      </w:r>
      <w:r w:rsidR="00F7563E" w:rsidRPr="00895819">
        <w:rPr>
          <w:szCs w:val="22"/>
          <w:lang w:val="sr-Cyrl-CS"/>
        </w:rPr>
        <w:t>одговарајућ</w:t>
      </w:r>
      <w:r w:rsidR="00FF3702" w:rsidRPr="00895819">
        <w:rPr>
          <w:szCs w:val="22"/>
          <w:lang w:val="sr-Cyrl-CS"/>
        </w:rPr>
        <w:t>их</w:t>
      </w:r>
      <w:r w:rsidR="00F7563E" w:rsidRPr="00895819">
        <w:rPr>
          <w:szCs w:val="22"/>
          <w:lang w:val="sr-Cyrl-CS"/>
        </w:rPr>
        <w:t xml:space="preserve"> извештај</w:t>
      </w:r>
      <w:r w:rsidR="00FF3702" w:rsidRPr="00895819">
        <w:rPr>
          <w:szCs w:val="22"/>
          <w:lang w:val="sr-Cyrl-CS"/>
        </w:rPr>
        <w:t>а</w:t>
      </w:r>
      <w:r w:rsidR="00F7563E" w:rsidRPr="00895819">
        <w:rPr>
          <w:szCs w:val="22"/>
          <w:lang w:val="sr-Cyrl-CS"/>
        </w:rPr>
        <w:t xml:space="preserve"> о верификацији благовремено и у форми и садржају задовољавајућим за Зајмодавца</w:t>
      </w:r>
      <w:r w:rsidR="00745020" w:rsidRPr="00895819">
        <w:rPr>
          <w:lang w:val="sr-Cyrl-CS"/>
        </w:rPr>
        <w:t>.</w:t>
      </w:r>
    </w:p>
    <w:p w14:paraId="33C3862A" w14:textId="77777777" w:rsidR="00B16F8D" w:rsidRPr="00895819" w:rsidRDefault="00FF3702" w:rsidP="00A32298">
      <w:pPr>
        <w:pStyle w:val="AATitre1"/>
        <w:rPr>
          <w:lang w:val="sr-Cyrl-CS"/>
        </w:rPr>
      </w:pPr>
      <w:bookmarkStart w:id="118" w:name="_Toc135947195"/>
      <w:r w:rsidRPr="00895819">
        <w:rPr>
          <w:lang w:val="sr-Cyrl-CS"/>
        </w:rPr>
        <w:t>ОБАВЕЗЕ У ПОГЛЕДУ ИНФОРМИСАЊА</w:t>
      </w:r>
      <w:bookmarkEnd w:id="118"/>
    </w:p>
    <w:p w14:paraId="6EFEC68B" w14:textId="628C3F5D" w:rsidR="00B16F8D" w:rsidRPr="00895819" w:rsidRDefault="00FF3702" w:rsidP="00B16F8D">
      <w:pPr>
        <w:pStyle w:val="BodyText1"/>
        <w:rPr>
          <w:lang w:val="sr-Cyrl-CS"/>
        </w:rPr>
      </w:pPr>
      <w:r w:rsidRPr="00895819">
        <w:rPr>
          <w:lang w:val="sr-Cyrl-CS"/>
        </w:rPr>
        <w:t xml:space="preserve">Обавезе из овог члана </w:t>
      </w:r>
      <w:r w:rsidR="00615BC2" w:rsidRPr="00895819">
        <w:rPr>
          <w:lang w:val="sr-Cyrl-CS"/>
        </w:rPr>
        <w:t>12 (</w:t>
      </w:r>
      <w:r w:rsidRPr="00895819">
        <w:rPr>
          <w:i/>
          <w:lang w:val="sr-Cyrl-CS"/>
        </w:rPr>
        <w:t>Обавезе у погледу информисања</w:t>
      </w:r>
      <w:r w:rsidR="00615BC2" w:rsidRPr="00895819">
        <w:rPr>
          <w:lang w:val="sr-Cyrl-CS"/>
        </w:rPr>
        <w:t>)</w:t>
      </w:r>
      <w:r w:rsidR="00B16F8D" w:rsidRPr="00895819">
        <w:rPr>
          <w:lang w:val="sr-Cyrl-CS"/>
        </w:rPr>
        <w:t xml:space="preserve"> </w:t>
      </w:r>
      <w:r w:rsidRPr="00895819">
        <w:rPr>
          <w:lang w:val="sr-Cyrl-CS"/>
        </w:rPr>
        <w:t>ступају на снагу на Датум потписивања и остају на снази и примењују се у потпуности све док постоји било који неизмирени износ у скла</w:t>
      </w:r>
      <w:r w:rsidR="009609FE" w:rsidRPr="00895819">
        <w:rPr>
          <w:lang w:val="sr-Cyrl-CS"/>
        </w:rPr>
        <w:t>ду са овим у</w:t>
      </w:r>
      <w:r w:rsidRPr="00895819">
        <w:rPr>
          <w:lang w:val="sr-Cyrl-CS"/>
        </w:rPr>
        <w:t>говором</w:t>
      </w:r>
      <w:r w:rsidR="00B16F8D" w:rsidRPr="00895819">
        <w:rPr>
          <w:lang w:val="sr-Cyrl-CS"/>
        </w:rPr>
        <w:t>.</w:t>
      </w:r>
    </w:p>
    <w:p w14:paraId="3F13BD6B" w14:textId="77777777" w:rsidR="00B16F8D" w:rsidRPr="00895819" w:rsidRDefault="00FF3702" w:rsidP="000F181A">
      <w:pPr>
        <w:pStyle w:val="AATitre2"/>
        <w:rPr>
          <w:u w:val="none"/>
          <w:lang w:val="sr-Cyrl-CS"/>
        </w:rPr>
      </w:pPr>
      <w:bookmarkStart w:id="119" w:name="_Toc135947196"/>
      <w:r w:rsidRPr="00895819">
        <w:rPr>
          <w:lang w:val="sr-Cyrl-CS"/>
        </w:rPr>
        <w:t>Финансијске информације</w:t>
      </w:r>
      <w:bookmarkEnd w:id="119"/>
    </w:p>
    <w:p w14:paraId="735677ED" w14:textId="77777777" w:rsidR="00B16F8D" w:rsidRPr="00895819" w:rsidRDefault="00FF3702" w:rsidP="00B16F8D">
      <w:pPr>
        <w:pStyle w:val="BodyText1"/>
        <w:rPr>
          <w:lang w:val="sr-Cyrl-CS"/>
        </w:rPr>
      </w:pPr>
      <w:r w:rsidRPr="00895819">
        <w:rPr>
          <w:lang w:val="sr-Cyrl-CS"/>
        </w:rPr>
        <w:t>Зајмопримац ће Зајмодавцу доставити све информације које Зајмодавац може разумно да захтева у погледу спољног и јавног дуга и статуса било ког гарантованог зајма</w:t>
      </w:r>
      <w:r w:rsidR="00B16F8D" w:rsidRPr="00895819">
        <w:rPr>
          <w:lang w:val="sr-Cyrl-CS"/>
        </w:rPr>
        <w:t>.</w:t>
      </w:r>
    </w:p>
    <w:p w14:paraId="5743B8EE" w14:textId="77777777" w:rsidR="00B16F8D" w:rsidRPr="00895819" w:rsidRDefault="004D22A5" w:rsidP="000F181A">
      <w:pPr>
        <w:pStyle w:val="AATitre2"/>
        <w:rPr>
          <w:lang w:val="sr-Cyrl-CS"/>
        </w:rPr>
      </w:pPr>
      <w:bookmarkStart w:id="120" w:name="_Toc135947197"/>
      <w:r w:rsidRPr="00895819">
        <w:rPr>
          <w:lang w:val="sr-Cyrl-CS"/>
        </w:rPr>
        <w:t>Имплементација Операције</w:t>
      </w:r>
      <w:bookmarkEnd w:id="120"/>
    </w:p>
    <w:p w14:paraId="5C1A69C9" w14:textId="77777777" w:rsidR="00B16F8D" w:rsidRPr="00895819" w:rsidRDefault="004D22A5" w:rsidP="00B16F8D">
      <w:pPr>
        <w:pStyle w:val="BodyText1"/>
        <w:rPr>
          <w:lang w:val="sr-Cyrl-CS"/>
        </w:rPr>
      </w:pPr>
      <w:r w:rsidRPr="00895819">
        <w:rPr>
          <w:lang w:val="sr-Cyrl-CS"/>
        </w:rPr>
        <w:t>Без одлагања и на захтев Зајмодавца, Зајмопримац ће доставити Зајмодавцу све информације или пратећ</w:t>
      </w:r>
      <w:r w:rsidR="006A3EE8" w:rsidRPr="00895819">
        <w:rPr>
          <w:lang w:val="sr-Cyrl-CS"/>
        </w:rPr>
        <w:t>а</w:t>
      </w:r>
      <w:r w:rsidRPr="00895819">
        <w:rPr>
          <w:lang w:val="sr-Cyrl-CS"/>
        </w:rPr>
        <w:t xml:space="preserve"> документ</w:t>
      </w:r>
      <w:r w:rsidR="006A3EE8" w:rsidRPr="00895819">
        <w:rPr>
          <w:lang w:val="sr-Cyrl-CS"/>
        </w:rPr>
        <w:t>а</w:t>
      </w:r>
      <w:r w:rsidRPr="00895819">
        <w:rPr>
          <w:lang w:val="sr-Cyrl-CS"/>
        </w:rPr>
        <w:t xml:space="preserve"> у вези са Операцијом и имплементацијом Оквира резултата</w:t>
      </w:r>
      <w:r w:rsidR="00B16F8D" w:rsidRPr="00895819">
        <w:rPr>
          <w:lang w:val="sr-Cyrl-CS"/>
        </w:rPr>
        <w:t xml:space="preserve">. </w:t>
      </w:r>
    </w:p>
    <w:p w14:paraId="7C59305D" w14:textId="77777777" w:rsidR="00B16F8D" w:rsidRPr="00895819" w:rsidRDefault="004D22A5" w:rsidP="000F181A">
      <w:pPr>
        <w:pStyle w:val="AATitre2"/>
        <w:rPr>
          <w:u w:val="none"/>
          <w:lang w:val="sr-Cyrl-CS"/>
        </w:rPr>
      </w:pPr>
      <w:bookmarkStart w:id="121" w:name="_Toc135947198"/>
      <w:r w:rsidRPr="00895819">
        <w:rPr>
          <w:lang w:val="sr-Cyrl-CS"/>
        </w:rPr>
        <w:t>Извештај о напретку</w:t>
      </w:r>
      <w:bookmarkEnd w:id="121"/>
    </w:p>
    <w:p w14:paraId="04A152A7" w14:textId="77777777" w:rsidR="00B16F8D" w:rsidRPr="00895819" w:rsidRDefault="004D22A5" w:rsidP="00B16F8D">
      <w:pPr>
        <w:pStyle w:val="AltAATitre4"/>
        <w:tabs>
          <w:tab w:val="left" w:pos="1276"/>
        </w:tabs>
        <w:ind w:left="720"/>
        <w:rPr>
          <w:lang w:val="sr-Cyrl-CS"/>
        </w:rPr>
      </w:pPr>
      <w:r w:rsidRPr="00895819">
        <w:rPr>
          <w:lang w:val="sr-Cyrl-CS"/>
        </w:rPr>
        <w:t>Зајмопримац ће доставити Зајмодавцу до Датума завршетка Операције, најкасније четрдесет пет (45) дана након завршетка сваког календарског семестра, извештај о напретку који приказује техничку и финансијску имплементацију Операције у формату дефинисаном са Суфинансијером у ОИМ</w:t>
      </w:r>
      <w:r w:rsidR="00B16F8D" w:rsidRPr="00895819">
        <w:rPr>
          <w:lang w:val="sr-Cyrl-CS"/>
        </w:rPr>
        <w:t xml:space="preserve">. </w:t>
      </w:r>
    </w:p>
    <w:p w14:paraId="3BEC95AD" w14:textId="77777777" w:rsidR="00B16F8D" w:rsidRPr="00895819" w:rsidRDefault="004D22A5" w:rsidP="000F181A">
      <w:pPr>
        <w:pStyle w:val="AATitre2"/>
        <w:rPr>
          <w:u w:val="none"/>
          <w:lang w:val="sr-Cyrl-CS"/>
        </w:rPr>
      </w:pPr>
      <w:bookmarkStart w:id="122" w:name="_Toc135947199"/>
      <w:r w:rsidRPr="00895819">
        <w:rPr>
          <w:lang w:val="sr-Cyrl-CS"/>
        </w:rPr>
        <w:t>Суфинансирање</w:t>
      </w:r>
      <w:bookmarkEnd w:id="122"/>
    </w:p>
    <w:p w14:paraId="7E36F2D9" w14:textId="77777777" w:rsidR="00B16F8D" w:rsidRPr="00895819" w:rsidRDefault="004D22A5" w:rsidP="00B16F8D">
      <w:pPr>
        <w:pStyle w:val="BodyText1"/>
        <w:rPr>
          <w:lang w:val="sr-Cyrl-CS"/>
        </w:rPr>
      </w:pPr>
      <w:r w:rsidRPr="00895819">
        <w:rPr>
          <w:lang w:val="sr-Cyrl-CS"/>
        </w:rPr>
        <w:t>Зајмопримац ће без одлагања обавестити Зајмодавца о било каквом отказивању (у целини или делимично) или било каквој превременој отплати по основу суфинансирања</w:t>
      </w:r>
      <w:r w:rsidR="00B16F8D" w:rsidRPr="00895819">
        <w:rPr>
          <w:lang w:val="sr-Cyrl-CS"/>
        </w:rPr>
        <w:t>.</w:t>
      </w:r>
    </w:p>
    <w:p w14:paraId="1D0F6958" w14:textId="77777777" w:rsidR="00B16F8D" w:rsidRPr="00895819" w:rsidRDefault="004D22A5" w:rsidP="000F181A">
      <w:pPr>
        <w:pStyle w:val="AATitre2"/>
        <w:rPr>
          <w:u w:val="none"/>
          <w:lang w:val="sr-Cyrl-CS"/>
        </w:rPr>
      </w:pPr>
      <w:bookmarkStart w:id="123" w:name="_Toc135947200"/>
      <w:r w:rsidRPr="00895819">
        <w:rPr>
          <w:lang w:val="sr-Cyrl-CS"/>
        </w:rPr>
        <w:t>Додатне информације</w:t>
      </w:r>
      <w:bookmarkEnd w:id="123"/>
      <w:r w:rsidR="00B16F8D" w:rsidRPr="00895819">
        <w:rPr>
          <w:lang w:val="sr-Cyrl-CS"/>
        </w:rPr>
        <w:t xml:space="preserve"> </w:t>
      </w:r>
    </w:p>
    <w:p w14:paraId="734907D8" w14:textId="77777777" w:rsidR="00B16F8D" w:rsidRPr="00895819" w:rsidRDefault="004D22A5" w:rsidP="00B16F8D">
      <w:pPr>
        <w:pStyle w:val="BodyText1"/>
        <w:rPr>
          <w:lang w:val="sr-Cyrl-CS"/>
        </w:rPr>
      </w:pPr>
      <w:r w:rsidRPr="00895819">
        <w:rPr>
          <w:lang w:val="sr-Cyrl-CS"/>
        </w:rPr>
        <w:t>Зајмопримац ће Зајмодавцу доставити</w:t>
      </w:r>
      <w:r w:rsidR="00B16F8D" w:rsidRPr="00895819">
        <w:rPr>
          <w:lang w:val="sr-Cyrl-CS"/>
        </w:rPr>
        <w:t>:</w:t>
      </w:r>
    </w:p>
    <w:p w14:paraId="53BED01F" w14:textId="07080FDA" w:rsidR="00B16F8D" w:rsidRPr="00895819" w:rsidRDefault="00ED2B92" w:rsidP="00ED2B92">
      <w:pPr>
        <w:pStyle w:val="AATitre4"/>
        <w:numPr>
          <w:ilvl w:val="0"/>
          <w:numId w:val="0"/>
        </w:numPr>
        <w:ind w:left="1440" w:hanging="720"/>
        <w:rPr>
          <w:lang w:val="sr-Cyrl-CS"/>
        </w:rPr>
      </w:pPr>
      <w:r w:rsidRPr="00895819">
        <w:rPr>
          <w:lang w:val="sr-Cyrl-CS"/>
        </w:rPr>
        <w:t>(а)</w:t>
      </w:r>
      <w:r w:rsidRPr="00895819">
        <w:rPr>
          <w:lang w:val="sr-Cyrl-CS"/>
        </w:rPr>
        <w:tab/>
      </w:r>
      <w:r w:rsidR="004D22A5" w:rsidRPr="00895819">
        <w:rPr>
          <w:lang w:val="sr-Cyrl-CS"/>
        </w:rPr>
        <w:t>без одлагања након што сазна за њих, информације о сваком случају или околности која јесте или може бити Случај обуставе плаћања или кој</w:t>
      </w:r>
      <w:r w:rsidR="0067456A" w:rsidRPr="00895819">
        <w:rPr>
          <w:lang w:val="sr-Cyrl-CS"/>
        </w:rPr>
        <w:t>а</w:t>
      </w:r>
      <w:r w:rsidR="004D22A5" w:rsidRPr="00895819">
        <w:rPr>
          <w:lang w:val="sr-Cyrl-CS"/>
        </w:rPr>
        <w:t xml:space="preserve"> има или може имати Значајне негативне последице, природи таквог случаја и свим радњама које јесу или могу бити предузете ради отклањања таквог случаја (ако постоје</w:t>
      </w:r>
      <w:r w:rsidR="00B16F8D" w:rsidRPr="00895819">
        <w:rPr>
          <w:lang w:val="sr-Cyrl-CS"/>
        </w:rPr>
        <w:t xml:space="preserve">); </w:t>
      </w:r>
    </w:p>
    <w:p w14:paraId="5A430968" w14:textId="622F52F0" w:rsidR="00B16F8D" w:rsidRPr="00895819" w:rsidRDefault="00ED2B92" w:rsidP="00ED2B92">
      <w:pPr>
        <w:pStyle w:val="AATitre4"/>
        <w:numPr>
          <w:ilvl w:val="0"/>
          <w:numId w:val="0"/>
        </w:numPr>
        <w:ind w:left="1440" w:hanging="720"/>
        <w:rPr>
          <w:snapToGrid w:val="0"/>
          <w:lang w:val="sr-Cyrl-CS"/>
        </w:rPr>
      </w:pPr>
      <w:r w:rsidRPr="00895819">
        <w:rPr>
          <w:lang w:val="sr-Cyrl-CS"/>
        </w:rPr>
        <w:t>(б)</w:t>
      </w:r>
      <w:r w:rsidRPr="00895819">
        <w:rPr>
          <w:lang w:val="sr-Cyrl-CS"/>
        </w:rPr>
        <w:tab/>
      </w:r>
      <w:r w:rsidR="004D22A5" w:rsidRPr="00895819">
        <w:rPr>
          <w:lang w:val="sr-Cyrl-CS"/>
        </w:rPr>
        <w:t xml:space="preserve">без одлагања </w:t>
      </w:r>
      <w:r w:rsidR="001E258A" w:rsidRPr="00895819">
        <w:rPr>
          <w:lang w:val="sr-Cyrl-CS"/>
        </w:rPr>
        <w:t>информације о свакој одлуци или случају који може утицати на организацију, реализацију или функционисање Операције.</w:t>
      </w:r>
    </w:p>
    <w:p w14:paraId="58CCB3F2" w14:textId="77777777" w:rsidR="00B16F8D" w:rsidRPr="00895819" w:rsidRDefault="006B70C3" w:rsidP="00A32298">
      <w:pPr>
        <w:pStyle w:val="AATitre1"/>
        <w:rPr>
          <w:lang w:val="sr-Cyrl-CS"/>
        </w:rPr>
      </w:pPr>
      <w:bookmarkStart w:id="124" w:name="_Toc135947201"/>
      <w:r w:rsidRPr="00895819">
        <w:rPr>
          <w:lang w:val="sr-Cyrl-CS"/>
        </w:rPr>
        <w:lastRenderedPageBreak/>
        <w:t>СЛУЧАЈ НЕИЗВРШЕЊА ОБАВЕЗА</w:t>
      </w:r>
      <w:bookmarkEnd w:id="124"/>
    </w:p>
    <w:p w14:paraId="40202A99" w14:textId="77777777" w:rsidR="00B16F8D" w:rsidRPr="00895819" w:rsidRDefault="006B70C3" w:rsidP="000F181A">
      <w:pPr>
        <w:pStyle w:val="AATitre2"/>
        <w:rPr>
          <w:u w:val="none"/>
          <w:lang w:val="sr-Cyrl-CS"/>
        </w:rPr>
      </w:pPr>
      <w:bookmarkStart w:id="125" w:name="_Toc135947202"/>
      <w:r w:rsidRPr="00895819">
        <w:rPr>
          <w:lang w:val="sr-Cyrl-CS"/>
        </w:rPr>
        <w:t>Случај неизвршења обавеза</w:t>
      </w:r>
      <w:bookmarkEnd w:id="125"/>
    </w:p>
    <w:p w14:paraId="2D0F07B3" w14:textId="77777777" w:rsidR="00B16F8D" w:rsidRPr="00895819" w:rsidRDefault="006B70C3" w:rsidP="00B16F8D">
      <w:pPr>
        <w:pStyle w:val="BodyText1"/>
        <w:rPr>
          <w:lang w:val="sr-Cyrl-CS"/>
        </w:rPr>
      </w:pPr>
      <w:r w:rsidRPr="00895819">
        <w:rPr>
          <w:lang w:val="sr-Cyrl-CS"/>
        </w:rPr>
        <w:t>Сваки од догађаја или околности који су дати у овом члану</w:t>
      </w:r>
      <w:r w:rsidR="00615BC2" w:rsidRPr="00895819">
        <w:rPr>
          <w:lang w:val="sr-Cyrl-CS"/>
        </w:rPr>
        <w:t xml:space="preserve"> 13.1 (</w:t>
      </w:r>
      <w:r w:rsidRPr="00895819">
        <w:rPr>
          <w:i/>
          <w:lang w:val="sr-Cyrl-CS"/>
        </w:rPr>
        <w:t>Случај неизвршења обавеза</w:t>
      </w:r>
      <w:r w:rsidR="00615BC2" w:rsidRPr="00895819">
        <w:rPr>
          <w:lang w:val="sr-Cyrl-CS"/>
        </w:rPr>
        <w:t>)</w:t>
      </w:r>
      <w:r w:rsidR="00B16F8D" w:rsidRPr="00895819">
        <w:rPr>
          <w:lang w:val="sr-Cyrl-CS"/>
        </w:rPr>
        <w:t xml:space="preserve"> </w:t>
      </w:r>
      <w:r w:rsidRPr="00895819">
        <w:rPr>
          <w:lang w:val="sr-Cyrl-CS"/>
        </w:rPr>
        <w:t>представља Случај неизвршења обавеза</w:t>
      </w:r>
      <w:r w:rsidR="00B16F8D" w:rsidRPr="00895819">
        <w:rPr>
          <w:lang w:val="sr-Cyrl-CS"/>
        </w:rPr>
        <w:t>.</w:t>
      </w:r>
    </w:p>
    <w:p w14:paraId="34A728E2" w14:textId="0915E089" w:rsidR="00B16F8D" w:rsidRPr="00895819" w:rsidRDefault="00ED2B92" w:rsidP="00ED2B92">
      <w:pPr>
        <w:pStyle w:val="AATitre4"/>
        <w:numPr>
          <w:ilvl w:val="0"/>
          <w:numId w:val="0"/>
        </w:numPr>
        <w:ind w:left="1440" w:hanging="720"/>
        <w:rPr>
          <w:lang w:val="sr-Cyrl-CS"/>
        </w:rPr>
      </w:pPr>
      <w:r w:rsidRPr="00895819">
        <w:rPr>
          <w:lang w:val="sr-Cyrl-CS"/>
        </w:rPr>
        <w:t>(а)</w:t>
      </w:r>
      <w:r w:rsidRPr="00895819">
        <w:rPr>
          <w:lang w:val="sr-Cyrl-CS"/>
        </w:rPr>
        <w:tab/>
      </w:r>
      <w:r w:rsidR="006B70C3" w:rsidRPr="00895819">
        <w:rPr>
          <w:lang w:val="sr-Cyrl-CS"/>
        </w:rPr>
        <w:t>Неплаћање</w:t>
      </w:r>
    </w:p>
    <w:p w14:paraId="0BD82B30" w14:textId="3AC3A5B5" w:rsidR="00B16F8D" w:rsidRPr="00895819" w:rsidRDefault="006B70C3" w:rsidP="00B16F8D">
      <w:pPr>
        <w:pStyle w:val="BodyText2"/>
        <w:ind w:left="1276"/>
        <w:rPr>
          <w:lang w:val="sr-Cyrl-CS"/>
        </w:rPr>
      </w:pPr>
      <w:r w:rsidRPr="00895819">
        <w:rPr>
          <w:lang w:val="sr-Cyrl-CS"/>
        </w:rPr>
        <w:t>Зајмопримац не извршава плаћање износа на датум доспећа к</w:t>
      </w:r>
      <w:r w:rsidR="009609FE" w:rsidRPr="00895819">
        <w:rPr>
          <w:lang w:val="sr-Cyrl-CS"/>
        </w:rPr>
        <w:t>оји је платив у складу са овим у</w:t>
      </w:r>
      <w:r w:rsidRPr="00895819">
        <w:rPr>
          <w:lang w:val="sr-Cyrl-CS"/>
        </w:rPr>
        <w:t>г</w:t>
      </w:r>
      <w:r w:rsidR="009609FE" w:rsidRPr="00895819">
        <w:rPr>
          <w:lang w:val="sr-Cyrl-CS"/>
        </w:rPr>
        <w:t>овором на начин дефинисан овим у</w:t>
      </w:r>
      <w:r w:rsidRPr="00895819">
        <w:rPr>
          <w:lang w:val="sr-Cyrl-CS"/>
        </w:rPr>
        <w:t xml:space="preserve">говором. Ипак, не доводећи у питање члан 4.3 </w:t>
      </w:r>
      <w:r w:rsidR="00615BC2" w:rsidRPr="00895819">
        <w:rPr>
          <w:lang w:val="sr-Cyrl-CS"/>
        </w:rPr>
        <w:t>(</w:t>
      </w:r>
      <w:r w:rsidR="00C14DD7" w:rsidRPr="00895819">
        <w:rPr>
          <w:i/>
          <w:lang w:val="sr-Cyrl-CS"/>
        </w:rPr>
        <w:t>Камата на доцњу и затезна камата</w:t>
      </w:r>
      <w:r w:rsidR="00615BC2" w:rsidRPr="00895819">
        <w:rPr>
          <w:lang w:val="sr-Cyrl-CS"/>
        </w:rPr>
        <w:t>)</w:t>
      </w:r>
      <w:r w:rsidR="00B16F8D" w:rsidRPr="00895819">
        <w:rPr>
          <w:lang w:val="sr-Cyrl-CS"/>
        </w:rPr>
        <w:t xml:space="preserve">, </w:t>
      </w:r>
      <w:r w:rsidRPr="00895819">
        <w:rPr>
          <w:lang w:val="sr-Cyrl-CS"/>
        </w:rPr>
        <w:t>неће се сматрати да је дошло до Неплаћања у складу са овим ставом (а) уколико Зајмопримац изврши дато плаћање у року од пет (5) Радних дана од датума доспећа</w:t>
      </w:r>
      <w:r w:rsidR="00B16F8D" w:rsidRPr="00895819">
        <w:rPr>
          <w:lang w:val="sr-Cyrl-CS"/>
        </w:rPr>
        <w:t>.</w:t>
      </w:r>
    </w:p>
    <w:p w14:paraId="7EFD960B" w14:textId="5C0D8ED2" w:rsidR="00B16F8D" w:rsidRPr="00895819" w:rsidRDefault="00ED2B92" w:rsidP="00ED2B92">
      <w:pPr>
        <w:pStyle w:val="AATitre4"/>
        <w:numPr>
          <w:ilvl w:val="0"/>
          <w:numId w:val="0"/>
        </w:numPr>
        <w:ind w:left="1440" w:hanging="720"/>
        <w:rPr>
          <w:lang w:val="sr-Cyrl-CS"/>
        </w:rPr>
      </w:pPr>
      <w:r w:rsidRPr="00895819">
        <w:rPr>
          <w:lang w:val="sr-Cyrl-CS"/>
        </w:rPr>
        <w:t>(б)</w:t>
      </w:r>
      <w:r w:rsidRPr="00895819">
        <w:rPr>
          <w:lang w:val="sr-Cyrl-CS"/>
        </w:rPr>
        <w:tab/>
      </w:r>
      <w:r w:rsidR="006B70C3" w:rsidRPr="00895819">
        <w:rPr>
          <w:lang w:val="sr-Cyrl-CS"/>
        </w:rPr>
        <w:t>Обавезе</w:t>
      </w:r>
    </w:p>
    <w:p w14:paraId="61721A62" w14:textId="1542038E" w:rsidR="00B16F8D" w:rsidRPr="00895819" w:rsidRDefault="006B70C3" w:rsidP="00B16F8D">
      <w:pPr>
        <w:pStyle w:val="BodyText2"/>
        <w:ind w:left="1276"/>
        <w:rPr>
          <w:lang w:val="sr-Cyrl-CS"/>
        </w:rPr>
      </w:pPr>
      <w:r w:rsidRPr="00895819">
        <w:rPr>
          <w:lang w:val="sr-Cyrl-CS"/>
        </w:rPr>
        <w:t xml:space="preserve">Зајмопримац </w:t>
      </w:r>
      <w:r w:rsidR="009609FE" w:rsidRPr="00895819">
        <w:rPr>
          <w:lang w:val="sr-Cyrl-CS"/>
        </w:rPr>
        <w:t>се не придржава услова из овог у</w:t>
      </w:r>
      <w:r w:rsidRPr="00895819">
        <w:rPr>
          <w:lang w:val="sr-Cyrl-CS"/>
        </w:rPr>
        <w:t>говора, укључујући али не ограничавајући се на обавезе које је преузео у складу са чланом 11 (</w:t>
      </w:r>
      <w:r w:rsidRPr="00895819">
        <w:rPr>
          <w:i/>
          <w:lang w:val="sr-Cyrl-CS"/>
        </w:rPr>
        <w:t>Обавезе</w:t>
      </w:r>
      <w:r w:rsidRPr="00895819">
        <w:rPr>
          <w:lang w:val="sr-Cyrl-CS"/>
        </w:rPr>
        <w:t>) и чланом 12 (</w:t>
      </w:r>
      <w:r w:rsidRPr="00895819">
        <w:rPr>
          <w:i/>
          <w:lang w:val="sr-Cyrl-CS"/>
        </w:rPr>
        <w:t xml:space="preserve">Обавезе </w:t>
      </w:r>
      <w:r w:rsidR="00647130" w:rsidRPr="00895819">
        <w:rPr>
          <w:i/>
          <w:lang w:val="sr-Cyrl-CS"/>
        </w:rPr>
        <w:t>и</w:t>
      </w:r>
      <w:r w:rsidRPr="00895819">
        <w:rPr>
          <w:i/>
          <w:lang w:val="sr-Cyrl-CS"/>
        </w:rPr>
        <w:t>нформисања</w:t>
      </w:r>
      <w:r w:rsidR="00615BC2" w:rsidRPr="00895819">
        <w:rPr>
          <w:lang w:val="sr-Cyrl-CS"/>
        </w:rPr>
        <w:t>)</w:t>
      </w:r>
      <w:r w:rsidR="00B16F8D" w:rsidRPr="00895819">
        <w:rPr>
          <w:lang w:val="sr-Cyrl-CS"/>
        </w:rPr>
        <w:t xml:space="preserve">. </w:t>
      </w:r>
    </w:p>
    <w:p w14:paraId="716AFB23" w14:textId="1349A4BF" w:rsidR="00B16F8D" w:rsidRPr="00895819" w:rsidRDefault="006B70C3" w:rsidP="00B16F8D">
      <w:pPr>
        <w:pStyle w:val="BodyText2"/>
        <w:ind w:left="1276"/>
        <w:rPr>
          <w:lang w:val="sr-Cyrl-CS"/>
        </w:rPr>
      </w:pPr>
      <w:r w:rsidRPr="00895819">
        <w:rPr>
          <w:lang w:val="sr-Cyrl-CS"/>
        </w:rPr>
        <w:t xml:space="preserve">Осим обавеза преузетих у складу са чланом </w:t>
      </w:r>
      <w:r w:rsidR="00615BC2" w:rsidRPr="00895819">
        <w:rPr>
          <w:lang w:val="sr-Cyrl-CS"/>
        </w:rPr>
        <w:t>11.15 (</w:t>
      </w:r>
      <w:r w:rsidRPr="00895819">
        <w:rPr>
          <w:i/>
          <w:lang w:val="sr-Cyrl-CS"/>
        </w:rPr>
        <w:t>Обавезе које се односе на животну средину и социјална питања), чланом</w:t>
      </w:r>
      <w:r w:rsidR="00615BC2" w:rsidRPr="00895819">
        <w:rPr>
          <w:lang w:val="sr-Cyrl-CS"/>
        </w:rPr>
        <w:t xml:space="preserve"> 11.10 (</w:t>
      </w:r>
      <w:r w:rsidRPr="00895819">
        <w:rPr>
          <w:i/>
          <w:lang w:val="sr-Cyrl-CS"/>
        </w:rPr>
        <w:t>Списак финансијских санкција и ембарга</w:t>
      </w:r>
      <w:r w:rsidR="00615BC2" w:rsidRPr="00895819">
        <w:rPr>
          <w:lang w:val="sr-Cyrl-CS"/>
        </w:rPr>
        <w:t>)</w:t>
      </w:r>
      <w:r w:rsidR="00B16F8D" w:rsidRPr="00895819">
        <w:rPr>
          <w:lang w:val="sr-Cyrl-CS"/>
        </w:rPr>
        <w:t xml:space="preserve"> </w:t>
      </w:r>
      <w:r w:rsidRPr="00895819">
        <w:rPr>
          <w:lang w:val="sr-Cyrl-CS"/>
        </w:rPr>
        <w:t>и</w:t>
      </w:r>
      <w:r w:rsidR="00615BC2" w:rsidRPr="00895819">
        <w:rPr>
          <w:lang w:val="sr-Cyrl-CS"/>
        </w:rPr>
        <w:t xml:space="preserve"> 11.11 (</w:t>
      </w:r>
      <w:r w:rsidR="000D4D9B" w:rsidRPr="00895819">
        <w:rPr>
          <w:i/>
          <w:lang w:val="sr-Cyrl-CS"/>
        </w:rPr>
        <w:t>Законито порекло, уздржавање од Забрањених радњи</w:t>
      </w:r>
      <w:r w:rsidR="00615BC2" w:rsidRPr="00895819">
        <w:rPr>
          <w:lang w:val="sr-Cyrl-CS"/>
        </w:rPr>
        <w:t>)</w:t>
      </w:r>
      <w:r w:rsidR="00B16F8D" w:rsidRPr="00895819">
        <w:rPr>
          <w:lang w:val="sr-Cyrl-CS"/>
        </w:rPr>
        <w:t xml:space="preserve"> </w:t>
      </w:r>
      <w:r w:rsidRPr="00895819">
        <w:rPr>
          <w:lang w:val="sr-Cyrl-CS"/>
        </w:rPr>
        <w:t xml:space="preserve">за које није дозвољен грејс период, </w:t>
      </w:r>
      <w:r w:rsidR="000D4D9B" w:rsidRPr="00895819">
        <w:rPr>
          <w:lang w:val="sr-Cyrl-CS"/>
        </w:rPr>
        <w:t>ниједан Случај обуставе плаћања неће наступити у складу са овим ставом</w:t>
      </w:r>
      <w:r w:rsidRPr="00895819">
        <w:rPr>
          <w:lang w:val="sr-Cyrl-CS"/>
        </w:rPr>
        <w:t xml:space="preserve"> уколико </w:t>
      </w:r>
      <w:r w:rsidR="000D4D9B" w:rsidRPr="00895819">
        <w:rPr>
          <w:lang w:val="sr-Cyrl-CS"/>
        </w:rPr>
        <w:t xml:space="preserve">је могуће отклонити </w:t>
      </w:r>
      <w:r w:rsidRPr="00895819">
        <w:rPr>
          <w:lang w:val="sr-Cyrl-CS"/>
        </w:rPr>
        <w:t xml:space="preserve">неизвршење, и </w:t>
      </w:r>
      <w:r w:rsidR="000D4D9B" w:rsidRPr="00895819">
        <w:rPr>
          <w:lang w:val="sr-Cyrl-CS"/>
        </w:rPr>
        <w:t xml:space="preserve">уколико се оно </w:t>
      </w:r>
      <w:r w:rsidRPr="00895819">
        <w:rPr>
          <w:lang w:val="sr-Cyrl-CS"/>
        </w:rPr>
        <w:t>реш</w:t>
      </w:r>
      <w:r w:rsidR="000D4D9B" w:rsidRPr="00895819">
        <w:rPr>
          <w:lang w:val="sr-Cyrl-CS"/>
        </w:rPr>
        <w:t>и</w:t>
      </w:r>
      <w:r w:rsidRPr="00895819">
        <w:rPr>
          <w:lang w:val="sr-Cyrl-CS"/>
        </w:rPr>
        <w:t xml:space="preserve"> у року од пет (5) Радних дана од ранијег од следећих догађаја (A) датума обавештења о неизвршењу обавеза од стране Зајмодавца прослеђен</w:t>
      </w:r>
      <w:r w:rsidR="004204F2" w:rsidRPr="00895819">
        <w:rPr>
          <w:lang w:val="sr-Cyrl-CS"/>
        </w:rPr>
        <w:t>о</w:t>
      </w:r>
      <w:r w:rsidRPr="00895819">
        <w:rPr>
          <w:lang w:val="sr-Cyrl-CS"/>
        </w:rPr>
        <w:t xml:space="preserve"> Зајмопримцу; и (Б) Зајмопримац је постао свестан прекршаја, или у року који је Зајмодавац дефинисао у случају наведеном у тачки </w:t>
      </w:r>
      <w:r w:rsidR="00ED2B92" w:rsidRPr="00895819">
        <w:rPr>
          <w:lang w:val="sr-Cyrl-CS"/>
        </w:rPr>
        <w:t>(ф</w:t>
      </w:r>
      <w:r w:rsidR="00874E04" w:rsidRPr="00895819">
        <w:rPr>
          <w:lang w:val="sr-Cyrl-CS"/>
        </w:rPr>
        <w:t xml:space="preserve"> </w:t>
      </w:r>
      <w:r w:rsidR="00B16F8D" w:rsidRPr="00895819">
        <w:rPr>
          <w:lang w:val="sr-Cyrl-CS"/>
        </w:rPr>
        <w:t xml:space="preserve">) </w:t>
      </w:r>
      <w:r w:rsidRPr="00895819">
        <w:rPr>
          <w:lang w:val="sr-Cyrl-CS"/>
        </w:rPr>
        <w:t>члана</w:t>
      </w:r>
      <w:r w:rsidR="00615BC2" w:rsidRPr="00895819">
        <w:rPr>
          <w:lang w:val="sr-Cyrl-CS"/>
        </w:rPr>
        <w:t xml:space="preserve"> 11.11 (</w:t>
      </w:r>
      <w:r w:rsidR="000D4D9B" w:rsidRPr="00895819">
        <w:rPr>
          <w:i/>
          <w:lang w:val="sr-Cyrl-CS"/>
        </w:rPr>
        <w:fldChar w:fldCharType="begin"/>
      </w:r>
      <w:r w:rsidR="000D4D9B" w:rsidRPr="00895819">
        <w:rPr>
          <w:i/>
          <w:lang w:val="sr-Cyrl-CS"/>
        </w:rPr>
        <w:instrText xml:space="preserve"> REF _Ref379251412 \h  \* MERGEFORMAT </w:instrText>
      </w:r>
      <w:r w:rsidR="000D4D9B" w:rsidRPr="00895819">
        <w:rPr>
          <w:i/>
          <w:lang w:val="sr-Cyrl-CS"/>
        </w:rPr>
      </w:r>
      <w:r w:rsidR="000D4D9B" w:rsidRPr="00895819">
        <w:rPr>
          <w:i/>
          <w:lang w:val="sr-Cyrl-CS"/>
        </w:rPr>
        <w:fldChar w:fldCharType="separate"/>
      </w:r>
      <w:r w:rsidR="00AC1642" w:rsidRPr="00AC1642">
        <w:rPr>
          <w:i/>
          <w:lang w:val="sr-Cyrl-CS"/>
        </w:rPr>
        <w:t>Законито порекло, уздржавање од Забрањених радњи</w:t>
      </w:r>
      <w:r w:rsidR="000D4D9B" w:rsidRPr="00895819">
        <w:rPr>
          <w:i/>
          <w:lang w:val="sr-Cyrl-CS"/>
        </w:rPr>
        <w:fldChar w:fldCharType="end"/>
      </w:r>
      <w:r w:rsidR="00615BC2" w:rsidRPr="00895819">
        <w:rPr>
          <w:lang w:val="sr-Cyrl-CS"/>
        </w:rPr>
        <w:t>)</w:t>
      </w:r>
      <w:r w:rsidR="00B16F8D" w:rsidRPr="00895819">
        <w:rPr>
          <w:i/>
          <w:lang w:val="sr-Cyrl-CS"/>
        </w:rPr>
        <w:t>.</w:t>
      </w:r>
    </w:p>
    <w:p w14:paraId="3031703E" w14:textId="0FD00DF0" w:rsidR="00B16F8D" w:rsidRPr="00895819" w:rsidRDefault="00ED2B92" w:rsidP="00ED2B92">
      <w:pPr>
        <w:pStyle w:val="AATitre4"/>
        <w:numPr>
          <w:ilvl w:val="0"/>
          <w:numId w:val="0"/>
        </w:numPr>
        <w:ind w:left="1440" w:hanging="720"/>
        <w:rPr>
          <w:lang w:val="sr-Cyrl-CS"/>
        </w:rPr>
      </w:pPr>
      <w:r w:rsidRPr="00895819">
        <w:rPr>
          <w:lang w:val="sr-Cyrl-CS"/>
        </w:rPr>
        <w:t>(ц)</w:t>
      </w:r>
      <w:r w:rsidRPr="00895819">
        <w:rPr>
          <w:lang w:val="sr-Cyrl-CS"/>
        </w:rPr>
        <w:tab/>
      </w:r>
      <w:r w:rsidR="009128BB" w:rsidRPr="00895819">
        <w:rPr>
          <w:lang w:val="sr-Cyrl-CS"/>
        </w:rPr>
        <w:t>Давање нетачних изјава</w:t>
      </w:r>
    </w:p>
    <w:p w14:paraId="73ABBE2E" w14:textId="77777777" w:rsidR="00B16F8D" w:rsidRPr="00895819" w:rsidRDefault="009128BB" w:rsidP="00B16F8D">
      <w:pPr>
        <w:pStyle w:val="BodyText2"/>
        <w:ind w:left="1276"/>
        <w:rPr>
          <w:lang w:val="sr-Cyrl-CS"/>
        </w:rPr>
      </w:pPr>
      <w:r w:rsidRPr="00895819">
        <w:rPr>
          <w:lang w:val="sr-Cyrl-CS"/>
        </w:rPr>
        <w:t xml:space="preserve">Овај случај наступа ако је било која изјава или гаранција коју је Зајмопримац дао у Уговору, укључујући и члан </w:t>
      </w:r>
      <w:r w:rsidR="00956919" w:rsidRPr="00895819">
        <w:rPr>
          <w:lang w:val="sr-Cyrl-CS"/>
        </w:rPr>
        <w:t>10 (</w:t>
      </w:r>
      <w:r w:rsidRPr="00895819">
        <w:rPr>
          <w:i/>
          <w:lang w:val="sr-Cyrl-CS"/>
        </w:rPr>
        <w:t>Изјаве и гаранције</w:t>
      </w:r>
      <w:r w:rsidR="00956919" w:rsidRPr="00895819">
        <w:rPr>
          <w:lang w:val="sr-Cyrl-CS"/>
        </w:rPr>
        <w:t>)</w:t>
      </w:r>
      <w:r w:rsidR="00B16F8D" w:rsidRPr="00895819">
        <w:rPr>
          <w:lang w:val="sr-Cyrl-CS"/>
        </w:rPr>
        <w:t xml:space="preserve">, </w:t>
      </w:r>
      <w:r w:rsidRPr="00895819">
        <w:rPr>
          <w:lang w:val="sr-Cyrl-CS"/>
        </w:rPr>
        <w:t>или у било ком документу који је доставио Зајмопримац или који је достављен у његово име у складу са Уговором, нетачна или наводи на погрешан закључак када је дата или када се сматра да је дата</w:t>
      </w:r>
      <w:r w:rsidR="00B16F8D" w:rsidRPr="00895819">
        <w:rPr>
          <w:lang w:val="sr-Cyrl-CS"/>
        </w:rPr>
        <w:t>.</w:t>
      </w:r>
    </w:p>
    <w:p w14:paraId="1EABEBBD" w14:textId="3B5AD26B" w:rsidR="00B16F8D" w:rsidRPr="00895819" w:rsidRDefault="00874E04" w:rsidP="00874E04">
      <w:pPr>
        <w:pStyle w:val="AATitre4"/>
        <w:numPr>
          <w:ilvl w:val="0"/>
          <w:numId w:val="0"/>
        </w:numPr>
        <w:ind w:left="1440" w:hanging="720"/>
        <w:rPr>
          <w:lang w:val="sr-Cyrl-CS"/>
        </w:rPr>
      </w:pPr>
      <w:r w:rsidRPr="00895819">
        <w:rPr>
          <w:lang w:val="sr-Cyrl-CS"/>
        </w:rPr>
        <w:t>(д)</w:t>
      </w:r>
      <w:r w:rsidRPr="00895819">
        <w:rPr>
          <w:lang w:val="sr-Cyrl-CS"/>
        </w:rPr>
        <w:tab/>
      </w:r>
      <w:r w:rsidR="00F00165" w:rsidRPr="00895819">
        <w:rPr>
          <w:lang w:val="sr-Cyrl-CS"/>
        </w:rPr>
        <w:t>Међусобно повезане клаузуле о неиспуњењу обавеза</w:t>
      </w:r>
    </w:p>
    <w:p w14:paraId="447F8368" w14:textId="77777777" w:rsidR="00B16F8D" w:rsidRPr="00895819" w:rsidRDefault="009E4C43" w:rsidP="00B16F8D">
      <w:pPr>
        <w:pStyle w:val="AATitre6"/>
        <w:numPr>
          <w:ilvl w:val="0"/>
          <w:numId w:val="36"/>
        </w:numPr>
        <w:ind w:left="1843" w:hanging="567"/>
        <w:rPr>
          <w:lang w:val="sr-Cyrl-CS"/>
        </w:rPr>
      </w:pPr>
      <w:r w:rsidRPr="00895819">
        <w:rPr>
          <w:lang w:val="sr-Cyrl-CS"/>
        </w:rPr>
        <w:t>У складу са ставом (iii), сваки Финансијски дуг Зајмопримца који није плаћен по доспећу или, ако је примењиво, током грејс периода предвиђеног у складу са релевантном документацијом</w:t>
      </w:r>
      <w:r w:rsidR="00B16F8D" w:rsidRPr="00895819">
        <w:rPr>
          <w:lang w:val="sr-Cyrl-CS"/>
        </w:rPr>
        <w:t>.</w:t>
      </w:r>
    </w:p>
    <w:p w14:paraId="6AE10D23" w14:textId="0A59FF60" w:rsidR="00B16F8D" w:rsidRPr="00895819" w:rsidRDefault="00874E04" w:rsidP="00B16F8D">
      <w:pPr>
        <w:pStyle w:val="AATitre6"/>
        <w:numPr>
          <w:ilvl w:val="0"/>
          <w:numId w:val="36"/>
        </w:numPr>
        <w:ind w:left="1843" w:hanging="567"/>
        <w:rPr>
          <w:lang w:val="sr-Cyrl-CS"/>
        </w:rPr>
      </w:pPr>
      <w:r w:rsidRPr="00895819">
        <w:rPr>
          <w:lang w:val="sr-Cyrl-CS"/>
        </w:rPr>
        <w:t xml:space="preserve">У складу са ставом (iii), </w:t>
      </w:r>
      <w:r w:rsidR="009E4C43" w:rsidRPr="00895819">
        <w:rPr>
          <w:lang w:val="sr-Cyrl-CS"/>
        </w:rPr>
        <w:t>Поверилац је отказао или суспендовао своју обавезу према Зајмопримцу, у складу са било којим Финансијским задужењем или је прогласио Финансијско задужење доспелим и плативим пре одређеног рока доспећа, или је тражио превремену отплату Финансијског задужења у целости, а у сваком случају као резултат случаја неизвршења обавеза или било које одредбе која има сличан ефекат (како год описано), у складу са релевантним документима</w:t>
      </w:r>
      <w:r w:rsidR="00B16F8D" w:rsidRPr="00895819">
        <w:rPr>
          <w:lang w:val="sr-Cyrl-CS"/>
        </w:rPr>
        <w:t>.</w:t>
      </w:r>
    </w:p>
    <w:p w14:paraId="56C1E82E" w14:textId="5243D67E" w:rsidR="00B16F8D" w:rsidRPr="00895819" w:rsidRDefault="009E4C43" w:rsidP="00B16F8D">
      <w:pPr>
        <w:pStyle w:val="AATitre6"/>
        <w:numPr>
          <w:ilvl w:val="0"/>
          <w:numId w:val="36"/>
        </w:numPr>
        <w:ind w:left="1843" w:hanging="567"/>
        <w:rPr>
          <w:lang w:val="sr-Cyrl-CS"/>
        </w:rPr>
      </w:pPr>
      <w:r w:rsidRPr="00895819">
        <w:rPr>
          <w:lang w:val="sr-Cyrl-CS"/>
        </w:rPr>
        <w:t>Неизвршење обавеза неће наступити</w:t>
      </w:r>
      <w:r w:rsidR="00874E04" w:rsidRPr="00895819">
        <w:rPr>
          <w:lang w:val="sr-Cyrl-CS"/>
        </w:rPr>
        <w:t xml:space="preserve"> у складу са овим чланом 13.1 (д</w:t>
      </w:r>
      <w:r w:rsidRPr="00895819">
        <w:rPr>
          <w:lang w:val="sr-Cyrl-CS"/>
        </w:rPr>
        <w:t xml:space="preserve">) уколико релевантни износ Финансијског дуга или обавеза за финансијски дуг из горе наведених ставова (i) и (ii) не премашује износ од тридесет милиона </w:t>
      </w:r>
      <w:r w:rsidRPr="00895819">
        <w:rPr>
          <w:lang w:val="sr-Cyrl-CS"/>
        </w:rPr>
        <w:lastRenderedPageBreak/>
        <w:t>евра (30.000.000 евра) или његову противвредност у било којој валути или валутама</w:t>
      </w:r>
      <w:r w:rsidR="00B16F8D" w:rsidRPr="00895819">
        <w:rPr>
          <w:lang w:val="sr-Cyrl-CS"/>
        </w:rPr>
        <w:t>.</w:t>
      </w:r>
    </w:p>
    <w:p w14:paraId="67F51F46" w14:textId="69802205" w:rsidR="00B16F8D" w:rsidRPr="00895819" w:rsidRDefault="00874E04" w:rsidP="00874E04">
      <w:pPr>
        <w:pStyle w:val="AATitre4"/>
        <w:numPr>
          <w:ilvl w:val="0"/>
          <w:numId w:val="0"/>
        </w:numPr>
        <w:ind w:left="1440" w:hanging="720"/>
        <w:rPr>
          <w:lang w:val="sr-Cyrl-CS"/>
        </w:rPr>
      </w:pPr>
      <w:r w:rsidRPr="00895819">
        <w:rPr>
          <w:lang w:val="sr-Cyrl-CS"/>
        </w:rPr>
        <w:t>(е)</w:t>
      </w:r>
      <w:r w:rsidRPr="00895819">
        <w:rPr>
          <w:lang w:val="sr-Cyrl-CS"/>
        </w:rPr>
        <w:tab/>
      </w:r>
      <w:r w:rsidR="00352487" w:rsidRPr="00895819">
        <w:rPr>
          <w:lang w:val="sr-Cyrl-CS"/>
        </w:rPr>
        <w:t>Незаконитост</w:t>
      </w:r>
    </w:p>
    <w:p w14:paraId="41BDB638" w14:textId="0A3D4AEE" w:rsidR="00B16F8D" w:rsidRPr="00895819" w:rsidRDefault="00352487" w:rsidP="00B16F8D">
      <w:pPr>
        <w:pStyle w:val="BodyText2"/>
        <w:ind w:left="1276"/>
        <w:rPr>
          <w:lang w:val="sr-Cyrl-CS"/>
        </w:rPr>
      </w:pPr>
      <w:r w:rsidRPr="00895819">
        <w:rPr>
          <w:lang w:val="sr-Cyrl-CS"/>
        </w:rPr>
        <w:t>Ако јесте или постане незаконито да Зајмопримац извршав</w:t>
      </w:r>
      <w:r w:rsidR="009609FE" w:rsidRPr="00895819">
        <w:rPr>
          <w:lang w:val="sr-Cyrl-CS"/>
        </w:rPr>
        <w:t>а своје обавезе по основу овог у</w:t>
      </w:r>
      <w:r w:rsidRPr="00895819">
        <w:rPr>
          <w:lang w:val="sr-Cyrl-CS"/>
        </w:rPr>
        <w:t>говора</w:t>
      </w:r>
      <w:r w:rsidR="00B16F8D" w:rsidRPr="00895819">
        <w:rPr>
          <w:lang w:val="sr-Cyrl-CS"/>
        </w:rPr>
        <w:t>.</w:t>
      </w:r>
    </w:p>
    <w:p w14:paraId="26044A80" w14:textId="4C8C6580" w:rsidR="00B16F8D" w:rsidRPr="00895819" w:rsidRDefault="00874E04" w:rsidP="00874E04">
      <w:pPr>
        <w:pStyle w:val="AATitre4"/>
        <w:numPr>
          <w:ilvl w:val="0"/>
          <w:numId w:val="0"/>
        </w:numPr>
        <w:ind w:left="1440" w:hanging="720"/>
        <w:rPr>
          <w:lang w:val="sr-Cyrl-CS"/>
        </w:rPr>
      </w:pPr>
      <w:r w:rsidRPr="00895819">
        <w:rPr>
          <w:lang w:val="sr-Cyrl-CS"/>
        </w:rPr>
        <w:t>(ф)</w:t>
      </w:r>
      <w:r w:rsidRPr="00895819">
        <w:rPr>
          <w:lang w:val="sr-Cyrl-CS"/>
        </w:rPr>
        <w:tab/>
      </w:r>
      <w:r w:rsidR="00352487" w:rsidRPr="00895819">
        <w:rPr>
          <w:lang w:val="sr-Cyrl-CS"/>
        </w:rPr>
        <w:t>Значајне негативне промене</w:t>
      </w:r>
    </w:p>
    <w:p w14:paraId="0DAAE745" w14:textId="77777777" w:rsidR="00B16F8D" w:rsidRPr="00895819" w:rsidRDefault="00352487" w:rsidP="00B16F8D">
      <w:pPr>
        <w:pStyle w:val="BodyText2"/>
        <w:ind w:left="1276"/>
        <w:rPr>
          <w:lang w:val="sr-Cyrl-CS"/>
        </w:rPr>
      </w:pPr>
      <w:r w:rsidRPr="00895819">
        <w:rPr>
          <w:lang w:val="sr-Cyrl-CS"/>
        </w:rPr>
        <w:t>Дошло је или се може очекивати да ће доћи до било које околности (укључујући и промену политичке ситуације у земљи Зајмопримца) или било које мере, која би могла, према мишљењу Зајмодавца да има Значајне негативне промене</w:t>
      </w:r>
      <w:r w:rsidR="00B16F8D" w:rsidRPr="00895819">
        <w:rPr>
          <w:lang w:val="sr-Cyrl-CS"/>
        </w:rPr>
        <w:t>.</w:t>
      </w:r>
    </w:p>
    <w:p w14:paraId="70770294" w14:textId="6EF9E3A2" w:rsidR="00B16F8D" w:rsidRPr="00895819" w:rsidRDefault="00874E04" w:rsidP="00874E04">
      <w:pPr>
        <w:pStyle w:val="AATitre4"/>
        <w:numPr>
          <w:ilvl w:val="0"/>
          <w:numId w:val="0"/>
        </w:numPr>
        <w:ind w:left="1440" w:hanging="720"/>
        <w:rPr>
          <w:lang w:val="sr-Cyrl-CS"/>
        </w:rPr>
      </w:pPr>
      <w:r w:rsidRPr="00895819">
        <w:rPr>
          <w:lang w:val="sr-Cyrl-CS"/>
        </w:rPr>
        <w:t>(г)</w:t>
      </w:r>
      <w:r w:rsidRPr="00895819">
        <w:rPr>
          <w:lang w:val="sr-Cyrl-CS"/>
        </w:rPr>
        <w:tab/>
      </w:r>
      <w:r w:rsidR="00923983" w:rsidRPr="00895819">
        <w:rPr>
          <w:lang w:val="sr-Cyrl-CS"/>
        </w:rPr>
        <w:t xml:space="preserve">Повлачење или </w:t>
      </w:r>
      <w:r w:rsidR="0042547A" w:rsidRPr="00895819">
        <w:rPr>
          <w:lang w:val="sr-Cyrl-CS"/>
        </w:rPr>
        <w:t>обустава</w:t>
      </w:r>
      <w:r w:rsidR="00923983" w:rsidRPr="00895819">
        <w:rPr>
          <w:lang w:val="sr-Cyrl-CS"/>
        </w:rPr>
        <w:t xml:space="preserve"> Операције</w:t>
      </w:r>
    </w:p>
    <w:p w14:paraId="20AAD0AB" w14:textId="77777777" w:rsidR="00B16F8D" w:rsidRPr="00895819" w:rsidRDefault="0042547A" w:rsidP="00B16F8D">
      <w:pPr>
        <w:pStyle w:val="BodyText2"/>
        <w:ind w:left="1276"/>
        <w:rPr>
          <w:lang w:val="sr-Cyrl-CS"/>
        </w:rPr>
      </w:pPr>
      <w:r w:rsidRPr="00895819">
        <w:rPr>
          <w:lang w:val="sr-Cyrl-CS"/>
        </w:rPr>
        <w:t>Овај случај наступа ако дође до следећих догађаја</w:t>
      </w:r>
      <w:r w:rsidR="00B16F8D" w:rsidRPr="00895819">
        <w:rPr>
          <w:lang w:val="sr-Cyrl-CS"/>
        </w:rPr>
        <w:t>:</w:t>
      </w:r>
    </w:p>
    <w:p w14:paraId="5413EEFC" w14:textId="77777777" w:rsidR="00B16F8D" w:rsidRPr="00895819" w:rsidRDefault="0042547A" w:rsidP="00B16F8D">
      <w:pPr>
        <w:pStyle w:val="AATitre6"/>
        <w:numPr>
          <w:ilvl w:val="0"/>
          <w:numId w:val="37"/>
        </w:numPr>
        <w:ind w:left="1843" w:hanging="567"/>
        <w:rPr>
          <w:lang w:val="sr-Cyrl-CS"/>
        </w:rPr>
      </w:pPr>
      <w:r w:rsidRPr="00895819">
        <w:rPr>
          <w:lang w:val="sr-Cyrl-CS"/>
        </w:rPr>
        <w:t>Зајмопримац се повуче из Операције</w:t>
      </w:r>
      <w:r w:rsidR="00B16F8D" w:rsidRPr="00895819">
        <w:rPr>
          <w:lang w:val="sr-Cyrl-CS"/>
        </w:rPr>
        <w:t>;</w:t>
      </w:r>
    </w:p>
    <w:p w14:paraId="1BC42299" w14:textId="77777777" w:rsidR="00B16F8D" w:rsidRPr="00895819" w:rsidRDefault="0042547A" w:rsidP="00B16F8D">
      <w:pPr>
        <w:pStyle w:val="AATitre6"/>
        <w:numPr>
          <w:ilvl w:val="0"/>
          <w:numId w:val="37"/>
        </w:numPr>
        <w:ind w:left="1843" w:hanging="567"/>
        <w:rPr>
          <w:lang w:val="sr-Cyrl-CS"/>
        </w:rPr>
      </w:pPr>
      <w:r w:rsidRPr="00895819">
        <w:rPr>
          <w:lang w:val="sr-Cyrl-CS"/>
        </w:rPr>
        <w:t xml:space="preserve">Зајмопримац обуставља имплементацију Операције на период дужи од шест </w:t>
      </w:r>
      <w:r w:rsidR="00B16F8D" w:rsidRPr="00895819">
        <w:rPr>
          <w:lang w:val="sr-Cyrl-CS"/>
        </w:rPr>
        <w:t xml:space="preserve">(6) </w:t>
      </w:r>
      <w:r w:rsidRPr="00895819">
        <w:rPr>
          <w:lang w:val="sr-Cyrl-CS"/>
        </w:rPr>
        <w:t>месеци</w:t>
      </w:r>
      <w:r w:rsidR="003D6707" w:rsidRPr="00895819">
        <w:rPr>
          <w:lang w:val="sr-Cyrl-CS"/>
        </w:rPr>
        <w:t>.</w:t>
      </w:r>
      <w:r w:rsidR="00B16F8D" w:rsidRPr="00895819">
        <w:rPr>
          <w:lang w:val="sr-Cyrl-CS"/>
        </w:rPr>
        <w:t xml:space="preserve"> </w:t>
      </w:r>
    </w:p>
    <w:p w14:paraId="4E701462" w14:textId="7D00CB17" w:rsidR="00B16F8D" w:rsidRPr="00895819" w:rsidRDefault="00874E04" w:rsidP="00874E04">
      <w:pPr>
        <w:pStyle w:val="AATitre4"/>
        <w:numPr>
          <w:ilvl w:val="0"/>
          <w:numId w:val="0"/>
        </w:numPr>
        <w:ind w:left="1440" w:hanging="720"/>
        <w:rPr>
          <w:lang w:val="sr-Cyrl-CS"/>
        </w:rPr>
      </w:pPr>
      <w:r w:rsidRPr="00895819">
        <w:rPr>
          <w:lang w:val="sr-Cyrl-CS"/>
        </w:rPr>
        <w:t>(х)</w:t>
      </w:r>
      <w:r w:rsidRPr="00895819">
        <w:rPr>
          <w:lang w:val="sr-Cyrl-CS"/>
        </w:rPr>
        <w:tab/>
      </w:r>
      <w:r w:rsidR="00F13F84" w:rsidRPr="00895819">
        <w:rPr>
          <w:lang w:val="sr-Cyrl-CS"/>
        </w:rPr>
        <w:t>Овлашћења</w:t>
      </w:r>
    </w:p>
    <w:p w14:paraId="3CCAD469" w14:textId="3DE673AE" w:rsidR="00B16F8D" w:rsidRPr="00895819" w:rsidRDefault="00F13F84" w:rsidP="00B16F8D">
      <w:pPr>
        <w:pStyle w:val="BodyText2"/>
        <w:ind w:left="1276"/>
        <w:rPr>
          <w:lang w:val="sr-Cyrl-CS"/>
        </w:rPr>
      </w:pPr>
      <w:r w:rsidRPr="00895819">
        <w:rPr>
          <w:lang w:val="sr-Cyrl-CS"/>
        </w:rPr>
        <w:t xml:space="preserve">Сва </w:t>
      </w:r>
      <w:r w:rsidR="00874E04" w:rsidRPr="00895819">
        <w:rPr>
          <w:lang w:val="sr-Cyrl-CS"/>
        </w:rPr>
        <w:t>Овлашћења</w:t>
      </w:r>
      <w:r w:rsidRPr="00895819">
        <w:rPr>
          <w:lang w:val="sr-Cyrl-CS"/>
        </w:rPr>
        <w:t xml:space="preserve"> која су потребна Зајмопримцу како би извршио или ис</w:t>
      </w:r>
      <w:r w:rsidR="009609FE" w:rsidRPr="00895819">
        <w:rPr>
          <w:lang w:val="sr-Cyrl-CS"/>
        </w:rPr>
        <w:t>пунио своје обавезе према овом у</w:t>
      </w:r>
      <w:r w:rsidRPr="00895819">
        <w:rPr>
          <w:lang w:val="sr-Cyrl-CS"/>
        </w:rPr>
        <w:t>говору, или неопходна у редовном току Операције се не добију у предвиђеном року или су отказана или постају неваљанe или на други начин престају да буду правоснажна и важећа</w:t>
      </w:r>
      <w:r w:rsidR="00B16F8D" w:rsidRPr="00895819">
        <w:rPr>
          <w:lang w:val="sr-Cyrl-CS"/>
        </w:rPr>
        <w:t>.</w:t>
      </w:r>
    </w:p>
    <w:p w14:paraId="4C438DB2" w14:textId="5E11F39E" w:rsidR="00B16F8D" w:rsidRPr="00895819" w:rsidRDefault="00874E04" w:rsidP="00874E04">
      <w:pPr>
        <w:pStyle w:val="AATitre4"/>
        <w:numPr>
          <w:ilvl w:val="0"/>
          <w:numId w:val="0"/>
        </w:numPr>
        <w:ind w:left="1440" w:hanging="720"/>
        <w:rPr>
          <w:lang w:val="sr-Cyrl-CS"/>
        </w:rPr>
      </w:pPr>
      <w:r w:rsidRPr="00895819">
        <w:rPr>
          <w:lang w:val="sr-Cyrl-CS"/>
        </w:rPr>
        <w:t>(и)</w:t>
      </w:r>
      <w:r w:rsidRPr="00895819">
        <w:rPr>
          <w:lang w:val="sr-Cyrl-CS"/>
        </w:rPr>
        <w:tab/>
      </w:r>
      <w:r w:rsidR="00F13F84" w:rsidRPr="00895819">
        <w:rPr>
          <w:lang w:val="sr-Cyrl-CS"/>
        </w:rPr>
        <w:t>Пресуде, решења или одлуке са Значајним негативним последицама</w:t>
      </w:r>
    </w:p>
    <w:p w14:paraId="569FBF6D" w14:textId="77777777" w:rsidR="00B16F8D" w:rsidRPr="00895819" w:rsidRDefault="00E04D47" w:rsidP="00B16F8D">
      <w:pPr>
        <w:pStyle w:val="BodyText2"/>
        <w:ind w:left="1276"/>
        <w:rPr>
          <w:lang w:val="sr-Cyrl-CS"/>
        </w:rPr>
      </w:pPr>
      <w:bookmarkStart w:id="126" w:name="_Hlk60492283"/>
      <w:r w:rsidRPr="00895819">
        <w:rPr>
          <w:lang w:val="sr-Cyrl-CS"/>
        </w:rPr>
        <w:t xml:space="preserve">Дошло је или се може очекивати да </w:t>
      </w:r>
      <w:r w:rsidR="004355AF" w:rsidRPr="00895819">
        <w:rPr>
          <w:lang w:val="sr-Cyrl-CS"/>
        </w:rPr>
        <w:t xml:space="preserve">ће </w:t>
      </w:r>
      <w:r w:rsidRPr="00895819">
        <w:rPr>
          <w:lang w:val="sr-Cyrl-CS"/>
        </w:rPr>
        <w:t>до</w:t>
      </w:r>
      <w:r w:rsidR="004355AF" w:rsidRPr="00895819">
        <w:rPr>
          <w:lang w:val="sr-Cyrl-CS"/>
        </w:rPr>
        <w:t>ћи</w:t>
      </w:r>
      <w:r w:rsidRPr="00895819">
        <w:rPr>
          <w:lang w:val="sr-Cyrl-CS"/>
        </w:rPr>
        <w:t xml:space="preserve"> </w:t>
      </w:r>
      <w:bookmarkEnd w:id="126"/>
      <w:r w:rsidRPr="00895819">
        <w:rPr>
          <w:lang w:val="sr-Cyrl-CS"/>
        </w:rPr>
        <w:t>до било које пресуде, арбитражне одлуке или административне одлуке која утиче на Зајмопримца и које има или се основано може очекивати да има, према мишљењу Зајмодавца Значајне негативне последице</w:t>
      </w:r>
      <w:r w:rsidR="00B16F8D" w:rsidRPr="00895819">
        <w:rPr>
          <w:lang w:val="sr-Cyrl-CS"/>
        </w:rPr>
        <w:t>.</w:t>
      </w:r>
    </w:p>
    <w:p w14:paraId="497FA9AA" w14:textId="1A0EECEA" w:rsidR="00B16F8D" w:rsidRPr="00895819" w:rsidRDefault="00874E04" w:rsidP="00874E04">
      <w:pPr>
        <w:pStyle w:val="AATitre4"/>
        <w:numPr>
          <w:ilvl w:val="0"/>
          <w:numId w:val="0"/>
        </w:numPr>
        <w:ind w:left="1440" w:hanging="720"/>
        <w:rPr>
          <w:b/>
          <w:lang w:val="sr-Cyrl-CS"/>
        </w:rPr>
      </w:pPr>
      <w:r w:rsidRPr="00895819">
        <w:rPr>
          <w:lang w:val="sr-Cyrl-CS"/>
        </w:rPr>
        <w:t>(ј)</w:t>
      </w:r>
      <w:r w:rsidRPr="00895819">
        <w:rPr>
          <w:lang w:val="sr-Cyrl-CS"/>
        </w:rPr>
        <w:tab/>
      </w:r>
      <w:r w:rsidR="00E04D47" w:rsidRPr="00895819">
        <w:rPr>
          <w:lang w:val="sr-Cyrl-CS"/>
        </w:rPr>
        <w:t>Обустава слободне конвертибилности и слободног преноса средстава</w:t>
      </w:r>
    </w:p>
    <w:p w14:paraId="419CBC45" w14:textId="29163552" w:rsidR="00B16F8D" w:rsidRPr="00895819" w:rsidRDefault="00286FF6" w:rsidP="00B16F8D">
      <w:pPr>
        <w:pStyle w:val="BodyText2"/>
        <w:ind w:left="1276"/>
        <w:rPr>
          <w:lang w:val="sr-Cyrl-CS"/>
        </w:rPr>
      </w:pPr>
      <w:r w:rsidRPr="00895819">
        <w:rPr>
          <w:lang w:val="sr-Cyrl-CS"/>
        </w:rPr>
        <w:t>Оспорава се слободна конвертибилност и слободни пренос средстава било ког и</w:t>
      </w:r>
      <w:r w:rsidR="009609FE" w:rsidRPr="00895819">
        <w:rPr>
          <w:lang w:val="sr-Cyrl-CS"/>
        </w:rPr>
        <w:t>зноса који Зајмопримац по овом у</w:t>
      </w:r>
      <w:r w:rsidRPr="00895819">
        <w:rPr>
          <w:lang w:val="sr-Cyrl-CS"/>
        </w:rPr>
        <w:t>говору дугује, или било којих других средстава које је Зајмодавац обезбедио Зајмопримцу или било ком другом Зајмопримцу у јурисдикцији Зајмопримца</w:t>
      </w:r>
      <w:r w:rsidR="00B16F8D" w:rsidRPr="00895819">
        <w:rPr>
          <w:lang w:val="sr-Cyrl-CS"/>
        </w:rPr>
        <w:t>.</w:t>
      </w:r>
    </w:p>
    <w:p w14:paraId="34EF70EB" w14:textId="77777777" w:rsidR="00B16F8D" w:rsidRPr="00895819" w:rsidRDefault="00741DE3" w:rsidP="000F181A">
      <w:pPr>
        <w:pStyle w:val="AATitre2"/>
        <w:rPr>
          <w:u w:val="none"/>
          <w:lang w:val="sr-Cyrl-CS"/>
        </w:rPr>
      </w:pPr>
      <w:bookmarkStart w:id="127" w:name="_Toc135947203"/>
      <w:r w:rsidRPr="00895819">
        <w:rPr>
          <w:lang w:val="sr-Cyrl-CS"/>
        </w:rPr>
        <w:t>Превремена доспелост</w:t>
      </w:r>
      <w:bookmarkEnd w:id="127"/>
    </w:p>
    <w:p w14:paraId="60CBB6A5" w14:textId="77777777" w:rsidR="00B16F8D" w:rsidRPr="00895819" w:rsidRDefault="00482CB2" w:rsidP="00B16F8D">
      <w:pPr>
        <w:pStyle w:val="BodyText1"/>
        <w:rPr>
          <w:lang w:val="sr-Cyrl-CS"/>
        </w:rPr>
      </w:pPr>
      <w:r w:rsidRPr="00895819">
        <w:rPr>
          <w:lang w:val="sr-Cyrl-CS"/>
        </w:rPr>
        <w:t>У било ком тренутку након настанка Случаја неизвршења обавезе који траје, Зајмодавац може без достављања било каквог званичног захтева или покретања било каквог судског или вансудског поступка, достављањем обавештења Зајмопримцу</w:t>
      </w:r>
      <w:r w:rsidR="00B16F8D" w:rsidRPr="00895819">
        <w:rPr>
          <w:lang w:val="sr-Cyrl-CS"/>
        </w:rPr>
        <w:t xml:space="preserve">: </w:t>
      </w:r>
    </w:p>
    <w:p w14:paraId="022AB887" w14:textId="4629A962" w:rsidR="00B16F8D" w:rsidRPr="00895819" w:rsidRDefault="00910A97" w:rsidP="00910A97">
      <w:pPr>
        <w:pStyle w:val="AATitre4"/>
        <w:numPr>
          <w:ilvl w:val="0"/>
          <w:numId w:val="0"/>
        </w:numPr>
        <w:ind w:left="1440" w:hanging="720"/>
        <w:rPr>
          <w:lang w:val="sr-Cyrl-CS"/>
        </w:rPr>
      </w:pPr>
      <w:r w:rsidRPr="00895819">
        <w:rPr>
          <w:lang w:val="sr-Cyrl-CS"/>
        </w:rPr>
        <w:t>(а)</w:t>
      </w:r>
      <w:r w:rsidRPr="00895819">
        <w:rPr>
          <w:lang w:val="sr-Cyrl-CS"/>
        </w:rPr>
        <w:tab/>
      </w:r>
      <w:r w:rsidR="00482CB2" w:rsidRPr="00895819">
        <w:rPr>
          <w:lang w:val="sr-Cyrl-CS"/>
        </w:rPr>
        <w:t>отказати Расположиви кредит; и/или</w:t>
      </w:r>
    </w:p>
    <w:p w14:paraId="3BF5CBB0" w14:textId="667C4E78" w:rsidR="00B16F8D" w:rsidRPr="00895819" w:rsidRDefault="00910A97" w:rsidP="00910A97">
      <w:pPr>
        <w:pStyle w:val="AATitre4"/>
        <w:numPr>
          <w:ilvl w:val="0"/>
          <w:numId w:val="0"/>
        </w:numPr>
        <w:ind w:left="1440" w:hanging="720"/>
        <w:rPr>
          <w:lang w:val="sr-Cyrl-CS"/>
        </w:rPr>
      </w:pPr>
      <w:r w:rsidRPr="00895819">
        <w:rPr>
          <w:lang w:val="sr-Cyrl-CS"/>
        </w:rPr>
        <w:t>(б)</w:t>
      </w:r>
      <w:r w:rsidRPr="00895819">
        <w:rPr>
          <w:lang w:val="sr-Cyrl-CS"/>
        </w:rPr>
        <w:tab/>
      </w:r>
      <w:r w:rsidR="00482CB2" w:rsidRPr="00895819">
        <w:rPr>
          <w:lang w:val="sr-Cyrl-CS"/>
        </w:rPr>
        <w:t xml:space="preserve">прогласити да ће целокупни или део Кредита, заједно са обрачунатом каматом, и свим другим износима обрачунатим </w:t>
      </w:r>
      <w:r w:rsidR="009609FE" w:rsidRPr="00895819">
        <w:rPr>
          <w:lang w:val="sr-Cyrl-CS"/>
        </w:rPr>
        <w:t>или неизмиреним по основу овог у</w:t>
      </w:r>
      <w:r w:rsidR="00482CB2" w:rsidRPr="00895819">
        <w:rPr>
          <w:lang w:val="sr-Cyrl-CS"/>
        </w:rPr>
        <w:t>говора, бити без одлагања доспели и плативи</w:t>
      </w:r>
      <w:r w:rsidR="00B16F8D" w:rsidRPr="00895819">
        <w:rPr>
          <w:lang w:val="sr-Cyrl-CS"/>
        </w:rPr>
        <w:t>.</w:t>
      </w:r>
    </w:p>
    <w:p w14:paraId="5F940511" w14:textId="77777777" w:rsidR="00B16F8D" w:rsidRPr="00895819" w:rsidRDefault="00E37BB6" w:rsidP="00B16F8D">
      <w:pPr>
        <w:pStyle w:val="BodyText1"/>
        <w:rPr>
          <w:lang w:val="sr-Cyrl-CS"/>
        </w:rPr>
      </w:pPr>
      <w:r w:rsidRPr="00895819">
        <w:rPr>
          <w:lang w:val="sr-Cyrl-CS"/>
        </w:rPr>
        <w:lastRenderedPageBreak/>
        <w:t>Не доводећи у питање горе наведено, у случају Неизвршења обавеза дефинисаних чланом 13.1 (</w:t>
      </w:r>
      <w:r w:rsidRPr="00895819">
        <w:rPr>
          <w:i/>
          <w:lang w:val="sr-Cyrl-CS"/>
        </w:rPr>
        <w:t>Случај неизвршења обавеза</w:t>
      </w:r>
      <w:r w:rsidRPr="00895819">
        <w:rPr>
          <w:lang w:val="sr-Cyrl-CS"/>
        </w:rPr>
        <w:t>), Зајмодавац задржава право да, након достављања писаног обавештења Зајмопримцу, (i) суспендује или одложи Повлачење средстава по Кредиту; и/или (ii) суспендује финализацију свих споразума који се односе на друге могуће финансијске понуде о којима је Зајмодавац обавестио Зајмопримца; и/или (iii) суспендује или одложи било које повлачење средстава по било ком уговору о кредиту склопљеном између Зајмопримца и Зајмодавца</w:t>
      </w:r>
      <w:r w:rsidR="00B16F8D" w:rsidRPr="00895819">
        <w:rPr>
          <w:lang w:val="sr-Cyrl-CS"/>
        </w:rPr>
        <w:t xml:space="preserve">. </w:t>
      </w:r>
    </w:p>
    <w:p w14:paraId="4C933DC2" w14:textId="77777777" w:rsidR="00E37BB6" w:rsidRPr="00895819" w:rsidRDefault="00E37BB6" w:rsidP="00E37BB6">
      <w:pPr>
        <w:pStyle w:val="BodyText1"/>
        <w:rPr>
          <w:lang w:val="sr-Cyrl-CS"/>
        </w:rPr>
      </w:pPr>
      <w:r w:rsidRPr="00895819">
        <w:rPr>
          <w:lang w:val="sr-Cyrl-CS"/>
        </w:rPr>
        <w:t>Уколико је било које повлачење средстава одложено или суспендовано од стране Суфинансијера према споразуму склопљеном између тог Суфинансијера и Зајмопримца, Зајмодавац задржава право да одложи или суспендује Повлачење средстава по Кредиту.</w:t>
      </w:r>
    </w:p>
    <w:p w14:paraId="47B51A7C" w14:textId="77777777" w:rsidR="00B16F8D" w:rsidRPr="00895819" w:rsidRDefault="00E37BB6" w:rsidP="000F181A">
      <w:pPr>
        <w:pStyle w:val="AATitre2"/>
        <w:rPr>
          <w:u w:val="none"/>
          <w:lang w:val="sr-Cyrl-CS"/>
        </w:rPr>
      </w:pPr>
      <w:bookmarkStart w:id="128" w:name="_Toc135947204"/>
      <w:r w:rsidRPr="00895819">
        <w:rPr>
          <w:lang w:val="sr-Cyrl-CS"/>
        </w:rPr>
        <w:t>Обавештење о Случају неизвршења обавеза</w:t>
      </w:r>
      <w:bookmarkEnd w:id="128"/>
    </w:p>
    <w:p w14:paraId="09C5ED2E" w14:textId="77777777" w:rsidR="00B16F8D" w:rsidRPr="00895819" w:rsidRDefault="00CB50DE" w:rsidP="00B16F8D">
      <w:pPr>
        <w:pStyle w:val="BodyText1"/>
        <w:rPr>
          <w:lang w:val="sr-Cyrl-CS"/>
        </w:rPr>
      </w:pPr>
      <w:r w:rsidRPr="00895819">
        <w:rPr>
          <w:lang w:val="sr-Cyrl-CS"/>
        </w:rPr>
        <w:t xml:space="preserve">У складу са чланом </w:t>
      </w:r>
      <w:r w:rsidR="00FA1779" w:rsidRPr="00895819">
        <w:rPr>
          <w:lang w:val="sr-Cyrl-CS"/>
        </w:rPr>
        <w:t>12.5 (</w:t>
      </w:r>
      <w:r w:rsidRPr="00895819">
        <w:rPr>
          <w:i/>
          <w:lang w:val="sr-Cyrl-CS"/>
        </w:rPr>
        <w:t>Додатне информације</w:t>
      </w:r>
      <w:r w:rsidR="00FA1779" w:rsidRPr="00895819">
        <w:rPr>
          <w:lang w:val="sr-Cyrl-CS"/>
        </w:rPr>
        <w:t>)</w:t>
      </w:r>
      <w:r w:rsidR="00B16F8D" w:rsidRPr="00895819">
        <w:rPr>
          <w:lang w:val="sr-Cyrl-CS"/>
        </w:rPr>
        <w:t xml:space="preserve">, </w:t>
      </w:r>
      <w:r w:rsidRPr="00895819">
        <w:rPr>
          <w:lang w:val="sr-Cyrl-CS"/>
        </w:rPr>
        <w:t>Зајмопримац ће без одлагања обавестити Зајмодавца након што сазна о било ком догађају који јесте или би могао представљати Случај неизвршења обавеза и обавестити Зајмодавца о свим мерама које је Зајмопримац размотрио како би решио проблем</w:t>
      </w:r>
      <w:r w:rsidR="00B16F8D" w:rsidRPr="00895819">
        <w:rPr>
          <w:lang w:val="sr-Cyrl-CS"/>
        </w:rPr>
        <w:t>.</w:t>
      </w:r>
    </w:p>
    <w:p w14:paraId="0928A0EE" w14:textId="77777777" w:rsidR="00B16F8D" w:rsidRPr="00895819" w:rsidRDefault="008F566F" w:rsidP="00A32298">
      <w:pPr>
        <w:pStyle w:val="AATitre1"/>
        <w:rPr>
          <w:lang w:val="sr-Cyrl-CS"/>
        </w:rPr>
      </w:pPr>
      <w:bookmarkStart w:id="129" w:name="_Toc135947205"/>
      <w:r w:rsidRPr="00895819">
        <w:rPr>
          <w:lang w:val="sr-Cyrl-CS"/>
        </w:rPr>
        <w:t>УПРАВЉАЊЕ КРЕДИТОМ</w:t>
      </w:r>
      <w:bookmarkEnd w:id="129"/>
    </w:p>
    <w:p w14:paraId="76B28C2C" w14:textId="77777777" w:rsidR="00B16F8D" w:rsidRPr="00895819" w:rsidRDefault="008F566F" w:rsidP="000F181A">
      <w:pPr>
        <w:pStyle w:val="AATitre2"/>
        <w:rPr>
          <w:u w:val="none"/>
          <w:lang w:val="sr-Cyrl-CS"/>
        </w:rPr>
      </w:pPr>
      <w:bookmarkStart w:id="130" w:name="_Toc135947206"/>
      <w:r w:rsidRPr="00895819">
        <w:rPr>
          <w:lang w:val="sr-Cyrl-CS"/>
        </w:rPr>
        <w:t>Плаћања</w:t>
      </w:r>
      <w:bookmarkEnd w:id="130"/>
    </w:p>
    <w:p w14:paraId="3AB8594A" w14:textId="624D3D5D" w:rsidR="00B16F8D" w:rsidRPr="00895819" w:rsidRDefault="008F566F" w:rsidP="00B16F8D">
      <w:pPr>
        <w:pStyle w:val="BodyText1"/>
        <w:rPr>
          <w:lang w:val="sr-Cyrl-CS"/>
        </w:rPr>
      </w:pPr>
      <w:r w:rsidRPr="00895819">
        <w:rPr>
          <w:lang w:val="sr-Cyrl-CS"/>
        </w:rPr>
        <w:t>Сва плаћања која Зајм</w:t>
      </w:r>
      <w:r w:rsidR="009609FE" w:rsidRPr="00895819">
        <w:rPr>
          <w:lang w:val="sr-Cyrl-CS"/>
        </w:rPr>
        <w:t>опримац прими у складу са овим у</w:t>
      </w:r>
      <w:r w:rsidRPr="00895819">
        <w:rPr>
          <w:lang w:val="sr-Cyrl-CS"/>
        </w:rPr>
        <w:t>говором користе се за плаћање трошкова, накнада, камате, главнице и било ког другог износа који се п</w:t>
      </w:r>
      <w:r w:rsidR="009609FE" w:rsidRPr="00895819">
        <w:rPr>
          <w:lang w:val="sr-Cyrl-CS"/>
        </w:rPr>
        <w:t>лаћа у складу са овим у</w:t>
      </w:r>
      <w:r w:rsidRPr="00895819">
        <w:rPr>
          <w:lang w:val="sr-Cyrl-CS"/>
        </w:rPr>
        <w:t>говором и то следећим редоследом</w:t>
      </w:r>
      <w:r w:rsidR="00B16F8D" w:rsidRPr="00895819">
        <w:rPr>
          <w:lang w:val="sr-Cyrl-CS"/>
        </w:rPr>
        <w:t>:</w:t>
      </w:r>
    </w:p>
    <w:p w14:paraId="4D463589" w14:textId="2797769A" w:rsidR="00B16F8D" w:rsidRPr="00895819" w:rsidRDefault="00910A97" w:rsidP="00910A97">
      <w:pPr>
        <w:pStyle w:val="AATitre4"/>
        <w:numPr>
          <w:ilvl w:val="0"/>
          <w:numId w:val="0"/>
        </w:numPr>
        <w:ind w:left="1440" w:hanging="720"/>
        <w:rPr>
          <w:lang w:val="sr-Cyrl-CS"/>
        </w:rPr>
      </w:pPr>
      <w:r w:rsidRPr="00895819">
        <w:rPr>
          <w:lang w:val="sr-Cyrl-CS"/>
        </w:rPr>
        <w:t>(а)</w:t>
      </w:r>
      <w:r w:rsidRPr="00895819">
        <w:rPr>
          <w:lang w:val="sr-Cyrl-CS"/>
        </w:rPr>
        <w:tab/>
      </w:r>
      <w:r w:rsidR="008F566F" w:rsidRPr="00895819">
        <w:rPr>
          <w:lang w:val="sr-Cyrl-CS"/>
        </w:rPr>
        <w:t>повезани трошкови и расходи</w:t>
      </w:r>
      <w:r w:rsidR="00B16F8D" w:rsidRPr="00895819">
        <w:rPr>
          <w:lang w:val="sr-Cyrl-CS"/>
        </w:rPr>
        <w:t>;</w:t>
      </w:r>
    </w:p>
    <w:p w14:paraId="1980B7D1" w14:textId="03AA6346" w:rsidR="00B16F8D" w:rsidRPr="00895819" w:rsidRDefault="00910A97" w:rsidP="00910A97">
      <w:pPr>
        <w:pStyle w:val="AATitre4"/>
        <w:numPr>
          <w:ilvl w:val="0"/>
          <w:numId w:val="0"/>
        </w:numPr>
        <w:ind w:left="1440" w:hanging="720"/>
        <w:rPr>
          <w:lang w:val="sr-Cyrl-CS"/>
        </w:rPr>
      </w:pPr>
      <w:r w:rsidRPr="00895819">
        <w:rPr>
          <w:lang w:val="sr-Cyrl-CS"/>
        </w:rPr>
        <w:t>(б)</w:t>
      </w:r>
      <w:r w:rsidRPr="00895819">
        <w:rPr>
          <w:lang w:val="sr-Cyrl-CS"/>
        </w:rPr>
        <w:tab/>
      </w:r>
      <w:r w:rsidR="008F566F" w:rsidRPr="00895819">
        <w:rPr>
          <w:lang w:val="sr-Cyrl-CS"/>
        </w:rPr>
        <w:t>накнаде</w:t>
      </w:r>
      <w:r w:rsidR="00B16F8D" w:rsidRPr="00895819">
        <w:rPr>
          <w:lang w:val="sr-Cyrl-CS"/>
        </w:rPr>
        <w:t>;</w:t>
      </w:r>
    </w:p>
    <w:p w14:paraId="7A1887BE" w14:textId="1F10D768" w:rsidR="00B16F8D" w:rsidRPr="00895819" w:rsidRDefault="00910A97" w:rsidP="00910A97">
      <w:pPr>
        <w:pStyle w:val="AATitre4"/>
        <w:numPr>
          <w:ilvl w:val="0"/>
          <w:numId w:val="0"/>
        </w:numPr>
        <w:ind w:left="1440" w:hanging="720"/>
        <w:rPr>
          <w:lang w:val="sr-Cyrl-CS"/>
        </w:rPr>
      </w:pPr>
      <w:r w:rsidRPr="00895819">
        <w:rPr>
          <w:lang w:val="sr-Cyrl-CS"/>
        </w:rPr>
        <w:t>(ц)</w:t>
      </w:r>
      <w:r w:rsidRPr="00895819">
        <w:rPr>
          <w:lang w:val="sr-Cyrl-CS"/>
        </w:rPr>
        <w:tab/>
      </w:r>
      <w:r w:rsidR="008F566F" w:rsidRPr="00895819">
        <w:rPr>
          <w:lang w:val="sr-Cyrl-CS"/>
        </w:rPr>
        <w:t xml:space="preserve">камата </w:t>
      </w:r>
      <w:r w:rsidR="00343561" w:rsidRPr="00895819">
        <w:rPr>
          <w:lang w:val="sr-Cyrl-CS"/>
        </w:rPr>
        <w:t>н</w:t>
      </w:r>
      <w:r w:rsidR="008F566F" w:rsidRPr="00895819">
        <w:rPr>
          <w:lang w:val="sr-Cyrl-CS"/>
        </w:rPr>
        <w:t>а доцњу и затезна камата</w:t>
      </w:r>
      <w:r w:rsidR="00B16F8D" w:rsidRPr="00895819">
        <w:rPr>
          <w:lang w:val="sr-Cyrl-CS"/>
        </w:rPr>
        <w:t>;</w:t>
      </w:r>
    </w:p>
    <w:p w14:paraId="1A1C746B" w14:textId="115B767A" w:rsidR="00B16F8D" w:rsidRPr="00895819" w:rsidRDefault="00910A97" w:rsidP="00910A97">
      <w:pPr>
        <w:pStyle w:val="AATitre4"/>
        <w:numPr>
          <w:ilvl w:val="0"/>
          <w:numId w:val="0"/>
        </w:numPr>
        <w:ind w:left="1440" w:hanging="720"/>
        <w:rPr>
          <w:lang w:val="sr-Cyrl-CS"/>
        </w:rPr>
      </w:pPr>
      <w:r w:rsidRPr="00895819">
        <w:rPr>
          <w:lang w:val="sr-Cyrl-CS"/>
        </w:rPr>
        <w:t>(д)</w:t>
      </w:r>
      <w:r w:rsidRPr="00895819">
        <w:rPr>
          <w:lang w:val="sr-Cyrl-CS"/>
        </w:rPr>
        <w:tab/>
      </w:r>
      <w:r w:rsidR="008F566F" w:rsidRPr="00895819">
        <w:rPr>
          <w:lang w:val="sr-Cyrl-CS"/>
        </w:rPr>
        <w:t>приписана камата</w:t>
      </w:r>
      <w:r w:rsidR="00B16F8D" w:rsidRPr="00895819">
        <w:rPr>
          <w:lang w:val="sr-Cyrl-CS"/>
        </w:rPr>
        <w:t>;</w:t>
      </w:r>
    </w:p>
    <w:p w14:paraId="50AAF207" w14:textId="22E7BE71" w:rsidR="00B16F8D" w:rsidRPr="00895819" w:rsidRDefault="00910A97" w:rsidP="00910A97">
      <w:pPr>
        <w:pStyle w:val="AATitre4"/>
        <w:numPr>
          <w:ilvl w:val="0"/>
          <w:numId w:val="0"/>
        </w:numPr>
        <w:ind w:left="1440" w:hanging="720"/>
        <w:rPr>
          <w:lang w:val="sr-Cyrl-CS"/>
        </w:rPr>
      </w:pPr>
      <w:r w:rsidRPr="00895819">
        <w:rPr>
          <w:lang w:val="sr-Cyrl-CS"/>
        </w:rPr>
        <w:t>(е)</w:t>
      </w:r>
      <w:r w:rsidRPr="00895819">
        <w:rPr>
          <w:lang w:val="sr-Cyrl-CS"/>
        </w:rPr>
        <w:tab/>
      </w:r>
      <w:r w:rsidR="008F566F" w:rsidRPr="00895819">
        <w:rPr>
          <w:lang w:val="sr-Cyrl-CS"/>
        </w:rPr>
        <w:t>отплате главнице</w:t>
      </w:r>
      <w:r w:rsidR="00B16F8D" w:rsidRPr="00895819">
        <w:rPr>
          <w:lang w:val="sr-Cyrl-CS"/>
        </w:rPr>
        <w:t>.</w:t>
      </w:r>
    </w:p>
    <w:p w14:paraId="4913E97C" w14:textId="77777777" w:rsidR="00B16F8D" w:rsidRPr="00895819" w:rsidRDefault="009E3C5E" w:rsidP="00B16F8D">
      <w:pPr>
        <w:pStyle w:val="BodyText2"/>
        <w:ind w:left="720"/>
        <w:rPr>
          <w:lang w:val="sr-Cyrl-CS"/>
        </w:rPr>
      </w:pPr>
      <w:r w:rsidRPr="00895819">
        <w:rPr>
          <w:lang w:val="sr-Cyrl-CS"/>
        </w:rPr>
        <w:t>Сва плаћања примљена од Зајмопримца ће се прво применити на и за отплату сваког износа који је доспео за наплату по основу Кредита или по основу других зајмова које је Зајмодавац одобрио Зајмопримцу, ако у интересу Зајмодавца буде да те износе примени на такве друге зајмове, и то напред наведеним редоследом</w:t>
      </w:r>
      <w:r w:rsidR="00B16F8D" w:rsidRPr="00895819">
        <w:rPr>
          <w:lang w:val="sr-Cyrl-CS"/>
        </w:rPr>
        <w:t>.</w:t>
      </w:r>
    </w:p>
    <w:p w14:paraId="1BF105F4" w14:textId="77777777" w:rsidR="00B16F8D" w:rsidRPr="00895819" w:rsidRDefault="00AC37FC" w:rsidP="000F181A">
      <w:pPr>
        <w:pStyle w:val="AATitre2"/>
        <w:rPr>
          <w:u w:val="none"/>
          <w:lang w:val="sr-Cyrl-CS"/>
        </w:rPr>
      </w:pPr>
      <w:bookmarkStart w:id="131" w:name="_Toc135947207"/>
      <w:r w:rsidRPr="00895819">
        <w:rPr>
          <w:lang w:val="sr-Cyrl-CS"/>
        </w:rPr>
        <w:t>П</w:t>
      </w:r>
      <w:r w:rsidR="00060DB9" w:rsidRPr="00895819">
        <w:rPr>
          <w:lang w:val="sr-Cyrl-CS"/>
        </w:rPr>
        <w:t>ребијање</w:t>
      </w:r>
      <w:bookmarkEnd w:id="131"/>
    </w:p>
    <w:p w14:paraId="087E1532" w14:textId="77777777" w:rsidR="00B16F8D" w:rsidRPr="00895819" w:rsidRDefault="00354476" w:rsidP="00B16F8D">
      <w:pPr>
        <w:pStyle w:val="BodyText1"/>
        <w:rPr>
          <w:lang w:val="sr-Cyrl-CS"/>
        </w:rPr>
      </w:pPr>
      <w:r w:rsidRPr="00895819">
        <w:rPr>
          <w:lang w:val="sr-Cyrl-CS"/>
        </w:rPr>
        <w:t xml:space="preserve">Без претходног одобрења Зајмопримца, Зајмодавац може, у било ком тренутку, </w:t>
      </w:r>
      <w:r w:rsidR="00060DB9" w:rsidRPr="00895819">
        <w:rPr>
          <w:lang w:val="sr-Cyrl-CS"/>
        </w:rPr>
        <w:t>пребити</w:t>
      </w:r>
      <w:r w:rsidRPr="00895819">
        <w:rPr>
          <w:lang w:val="sr-Cyrl-CS"/>
        </w:rPr>
        <w:t xml:space="preserve"> доспеле и наплативе обавезе које дугује Зајмопримац са било којим износима које Зајмодавац чува у име Зајмопримца или било којим доспелим и наплативим обавезама које Зајмодавац дугује Зајмопримцу. Ако су те обавезе у различитим валутама, Зајмодавац може конвертовати било коју обавезу по важећем девизном курсу за потребе </w:t>
      </w:r>
      <w:r w:rsidR="00060DB9" w:rsidRPr="00895819">
        <w:rPr>
          <w:lang w:val="sr-Cyrl-CS"/>
        </w:rPr>
        <w:t>пребијањ</w:t>
      </w:r>
      <w:r w:rsidRPr="00895819">
        <w:rPr>
          <w:lang w:val="sr-Cyrl-CS"/>
        </w:rPr>
        <w:t>а</w:t>
      </w:r>
      <w:r w:rsidR="00B16F8D" w:rsidRPr="00895819">
        <w:rPr>
          <w:lang w:val="sr-Cyrl-CS"/>
        </w:rPr>
        <w:t>.</w:t>
      </w:r>
    </w:p>
    <w:p w14:paraId="67FFD170" w14:textId="77777777" w:rsidR="00B16F8D" w:rsidRPr="00895819" w:rsidRDefault="00354476" w:rsidP="00B16F8D">
      <w:pPr>
        <w:pStyle w:val="BodyText1"/>
        <w:rPr>
          <w:lang w:val="sr-Cyrl-CS"/>
        </w:rPr>
      </w:pPr>
      <w:r w:rsidRPr="00895819">
        <w:rPr>
          <w:lang w:val="sr-Cyrl-CS"/>
        </w:rPr>
        <w:t>Сва плаћања која Зајмопримац изврши у складу са Уговором требало би обрачунати и извршити без п</w:t>
      </w:r>
      <w:r w:rsidR="00060DB9" w:rsidRPr="00895819">
        <w:rPr>
          <w:lang w:val="sr-Cyrl-CS"/>
        </w:rPr>
        <w:t>ребијањ</w:t>
      </w:r>
      <w:r w:rsidRPr="00895819">
        <w:rPr>
          <w:lang w:val="sr-Cyrl-CS"/>
        </w:rPr>
        <w:t xml:space="preserve">а. Зајмопримцу је забрањено да врши било какво </w:t>
      </w:r>
      <w:r w:rsidR="00060DB9" w:rsidRPr="00895819">
        <w:rPr>
          <w:lang w:val="sr-Cyrl-CS"/>
        </w:rPr>
        <w:t>пребијањ</w:t>
      </w:r>
      <w:r w:rsidRPr="00895819">
        <w:rPr>
          <w:lang w:val="sr-Cyrl-CS"/>
        </w:rPr>
        <w:t>е</w:t>
      </w:r>
      <w:r w:rsidR="00B16F8D" w:rsidRPr="00895819">
        <w:rPr>
          <w:lang w:val="sr-Cyrl-CS"/>
        </w:rPr>
        <w:t xml:space="preserve">. </w:t>
      </w:r>
    </w:p>
    <w:p w14:paraId="5C12B151" w14:textId="77777777" w:rsidR="00B16F8D" w:rsidRPr="00895819" w:rsidRDefault="00354476" w:rsidP="000F181A">
      <w:pPr>
        <w:pStyle w:val="AATitre2"/>
        <w:rPr>
          <w:u w:val="none"/>
          <w:lang w:val="sr-Cyrl-CS"/>
        </w:rPr>
      </w:pPr>
      <w:bookmarkStart w:id="132" w:name="_Toc135947208"/>
      <w:r w:rsidRPr="00895819">
        <w:rPr>
          <w:lang w:val="sr-Cyrl-CS"/>
        </w:rPr>
        <w:lastRenderedPageBreak/>
        <w:t>Радни дани</w:t>
      </w:r>
      <w:bookmarkEnd w:id="132"/>
    </w:p>
    <w:p w14:paraId="54296563" w14:textId="77777777" w:rsidR="00B16F8D" w:rsidRPr="00895819" w:rsidRDefault="00354476" w:rsidP="00B16F8D">
      <w:pPr>
        <w:pStyle w:val="BodyText1"/>
        <w:rPr>
          <w:lang w:val="sr-Cyrl-CS"/>
        </w:rPr>
      </w:pPr>
      <w:r w:rsidRPr="00895819">
        <w:rPr>
          <w:lang w:val="sr-Cyrl-CS"/>
        </w:rPr>
        <w:t>Без прејудицирања обрачуна периода камате који остаје непромењен</w:t>
      </w:r>
      <w:r w:rsidR="00B16F8D" w:rsidRPr="00895819">
        <w:rPr>
          <w:lang w:val="sr-Cyrl-CS"/>
        </w:rPr>
        <w:t xml:space="preserve">, </w:t>
      </w:r>
      <w:r w:rsidRPr="00895819">
        <w:rPr>
          <w:lang w:val="sr-Cyrl-CS"/>
        </w:rPr>
        <w:t>ако уплата доспева на дан који није Радни дан, датум доспећа за ту уплату биће следећи радни дан ако је следећи Радни дан у истом календарском месецу или претходни радни дан ако следећи Радни дан није дан у истом календарском месецу</w:t>
      </w:r>
      <w:r w:rsidR="00B16F8D" w:rsidRPr="00895819">
        <w:rPr>
          <w:lang w:val="sr-Cyrl-CS"/>
        </w:rPr>
        <w:t>.</w:t>
      </w:r>
    </w:p>
    <w:p w14:paraId="5323758F" w14:textId="77777777" w:rsidR="00B16F8D" w:rsidRPr="00895819" w:rsidRDefault="00BD43D5" w:rsidP="000F181A">
      <w:pPr>
        <w:pStyle w:val="AATitre2"/>
        <w:rPr>
          <w:u w:val="none"/>
          <w:lang w:val="sr-Cyrl-CS"/>
        </w:rPr>
      </w:pPr>
      <w:bookmarkStart w:id="133" w:name="_Toc135947209"/>
      <w:r w:rsidRPr="00895819">
        <w:rPr>
          <w:lang w:val="sr-Cyrl-CS"/>
        </w:rPr>
        <w:t>Валута плаћања</w:t>
      </w:r>
      <w:bookmarkEnd w:id="133"/>
    </w:p>
    <w:p w14:paraId="1261CCB0" w14:textId="09DC1B67" w:rsidR="00B16F8D" w:rsidRPr="00895819" w:rsidRDefault="00BD43D5" w:rsidP="00B16F8D">
      <w:pPr>
        <w:pStyle w:val="BodyText1"/>
        <w:rPr>
          <w:lang w:val="sr-Cyrl-CS"/>
        </w:rPr>
      </w:pPr>
      <w:r w:rsidRPr="00895819">
        <w:rPr>
          <w:lang w:val="sr-Cyrl-CS"/>
        </w:rPr>
        <w:t>Валута свако</w:t>
      </w:r>
      <w:r w:rsidR="009609FE" w:rsidRPr="00895819">
        <w:rPr>
          <w:lang w:val="sr-Cyrl-CS"/>
        </w:rPr>
        <w:t>г износа који се плаћа по овом у</w:t>
      </w:r>
      <w:r w:rsidRPr="00895819">
        <w:rPr>
          <w:lang w:val="sr-Cyrl-CS"/>
        </w:rPr>
        <w:t>говору је евро, осим како је предвиђено у члану 14.6 (</w:t>
      </w:r>
      <w:r w:rsidRPr="00895819">
        <w:rPr>
          <w:i/>
          <w:lang w:val="sr-Cyrl-CS"/>
        </w:rPr>
        <w:t>Место плаћања</w:t>
      </w:r>
      <w:r w:rsidR="00CB733A" w:rsidRPr="00895819">
        <w:rPr>
          <w:lang w:val="sr-Cyrl-CS"/>
        </w:rPr>
        <w:t>)</w:t>
      </w:r>
      <w:r w:rsidR="00B16F8D" w:rsidRPr="00895819">
        <w:rPr>
          <w:lang w:val="sr-Cyrl-CS"/>
        </w:rPr>
        <w:t>.</w:t>
      </w:r>
    </w:p>
    <w:p w14:paraId="4CF63854" w14:textId="77777777" w:rsidR="00B16F8D" w:rsidRPr="00895819" w:rsidRDefault="00BD43D5" w:rsidP="000F181A">
      <w:pPr>
        <w:pStyle w:val="AATitre2"/>
        <w:rPr>
          <w:u w:val="none"/>
          <w:lang w:val="sr-Cyrl-CS"/>
        </w:rPr>
      </w:pPr>
      <w:bookmarkStart w:id="134" w:name="_Toc135947210"/>
      <w:r w:rsidRPr="00895819">
        <w:rPr>
          <w:lang w:val="sr-Cyrl-CS"/>
        </w:rPr>
        <w:t>Конвенција о обрачуну броја дана</w:t>
      </w:r>
      <w:bookmarkEnd w:id="134"/>
    </w:p>
    <w:p w14:paraId="1CDBD7CB" w14:textId="05BA854E" w:rsidR="00B16F8D" w:rsidRPr="00895819" w:rsidRDefault="0025007F" w:rsidP="00B16F8D">
      <w:pPr>
        <w:pStyle w:val="BodyText1"/>
        <w:rPr>
          <w:lang w:val="sr-Cyrl-CS"/>
        </w:rPr>
      </w:pPr>
      <w:r w:rsidRPr="00895819">
        <w:rPr>
          <w:lang w:val="sr-Cyrl-CS"/>
        </w:rPr>
        <w:t>Свака камата, накнада или трошак</w:t>
      </w:r>
      <w:r w:rsidR="009609FE" w:rsidRPr="00895819">
        <w:rPr>
          <w:lang w:val="sr-Cyrl-CS"/>
        </w:rPr>
        <w:t xml:space="preserve"> који настане у складу са овим у</w:t>
      </w:r>
      <w:r w:rsidRPr="00895819">
        <w:rPr>
          <w:lang w:val="sr-Cyrl-CS"/>
        </w:rPr>
        <w:t>говором обрачунава се на основу стварног броја протеклих дана и године од три стотине шездесет (360) дана у складу са европском међубанкарском праксом</w:t>
      </w:r>
      <w:r w:rsidR="00B16F8D" w:rsidRPr="00895819">
        <w:rPr>
          <w:lang w:val="sr-Cyrl-CS"/>
        </w:rPr>
        <w:t>.</w:t>
      </w:r>
    </w:p>
    <w:p w14:paraId="38F24217" w14:textId="77777777" w:rsidR="00B16F8D" w:rsidRPr="00895819" w:rsidRDefault="000B3E5F" w:rsidP="000F181A">
      <w:pPr>
        <w:pStyle w:val="AATitre2"/>
        <w:rPr>
          <w:u w:val="none"/>
          <w:lang w:val="sr-Cyrl-CS"/>
        </w:rPr>
      </w:pPr>
      <w:bookmarkStart w:id="135" w:name="_Toc135947211"/>
      <w:r w:rsidRPr="00895819">
        <w:rPr>
          <w:lang w:val="sr-Cyrl-CS"/>
        </w:rPr>
        <w:t>Место плаћања</w:t>
      </w:r>
      <w:bookmarkEnd w:id="135"/>
    </w:p>
    <w:p w14:paraId="40DE40CD" w14:textId="56F74C35" w:rsidR="00B16F8D" w:rsidRPr="00895819" w:rsidRDefault="00910A97" w:rsidP="00910A97">
      <w:pPr>
        <w:pStyle w:val="AATitre4"/>
        <w:numPr>
          <w:ilvl w:val="0"/>
          <w:numId w:val="0"/>
        </w:numPr>
        <w:ind w:left="1440" w:hanging="720"/>
        <w:rPr>
          <w:lang w:val="sr-Cyrl-CS"/>
        </w:rPr>
      </w:pPr>
      <w:r w:rsidRPr="00895819">
        <w:rPr>
          <w:lang w:val="sr-Cyrl-CS"/>
        </w:rPr>
        <w:t>(а)</w:t>
      </w:r>
      <w:r w:rsidRPr="00895819">
        <w:rPr>
          <w:lang w:val="sr-Cyrl-CS"/>
        </w:rPr>
        <w:tab/>
      </w:r>
      <w:r w:rsidR="000B3E5F" w:rsidRPr="00895819">
        <w:rPr>
          <w:lang w:val="sr-Cyrl-CS"/>
        </w:rPr>
        <w:t>Сва средства која Зајмодавац треба да пренесе Зајмопримцу по основу Кредита уплаћују се на наменски банковни рачун који је у ту сврху отворио Зајмопримац, под условом да је Зајмодавац дао претходну сагласност за избор банке</w:t>
      </w:r>
      <w:r w:rsidR="00B16F8D" w:rsidRPr="00895819">
        <w:rPr>
          <w:lang w:val="sr-Cyrl-CS"/>
        </w:rPr>
        <w:t>.</w:t>
      </w:r>
    </w:p>
    <w:p w14:paraId="2968C726" w14:textId="11DBEA9F" w:rsidR="00B16F8D" w:rsidRPr="00895819" w:rsidRDefault="00910A97" w:rsidP="00910A97">
      <w:pPr>
        <w:pStyle w:val="AATitre4"/>
        <w:numPr>
          <w:ilvl w:val="0"/>
          <w:numId w:val="0"/>
        </w:numPr>
        <w:ind w:left="1440" w:hanging="720"/>
        <w:rPr>
          <w:lang w:val="sr-Cyrl-CS"/>
        </w:rPr>
      </w:pPr>
      <w:r w:rsidRPr="00895819">
        <w:rPr>
          <w:lang w:val="sr-Cyrl-CS"/>
        </w:rPr>
        <w:t>(б)</w:t>
      </w:r>
      <w:r w:rsidRPr="00895819">
        <w:rPr>
          <w:lang w:val="sr-Cyrl-CS"/>
        </w:rPr>
        <w:tab/>
      </w:r>
      <w:r w:rsidR="000B3E5F" w:rsidRPr="00895819">
        <w:rPr>
          <w:lang w:val="sr-Cyrl-CS"/>
        </w:rPr>
        <w:t>Сва плаћања која Зајмопримац треба да изврши Зајмодавцу врше се најкасније у 11:00 часова (по париском времену) на дан доспећа на следећи банковни рачун</w:t>
      </w:r>
      <w:r w:rsidR="00B16F8D" w:rsidRPr="00895819">
        <w:rPr>
          <w:lang w:val="sr-Cyrl-CS"/>
        </w:rPr>
        <w:t>:</w:t>
      </w:r>
    </w:p>
    <w:p w14:paraId="33ACCC01" w14:textId="77777777" w:rsidR="00B16F8D" w:rsidRPr="00895819" w:rsidRDefault="000B3E5F" w:rsidP="00B16F8D">
      <w:pPr>
        <w:spacing w:after="120"/>
        <w:ind w:left="1276"/>
        <w:rPr>
          <w:lang w:val="sr-Cyrl-CS"/>
        </w:rPr>
      </w:pPr>
      <w:r w:rsidRPr="00895819">
        <w:rPr>
          <w:lang w:val="sr-Cyrl-CS"/>
        </w:rPr>
        <w:t>Број RIB</w:t>
      </w:r>
      <w:r w:rsidR="00B16F8D" w:rsidRPr="00895819">
        <w:rPr>
          <w:lang w:val="sr-Cyrl-CS"/>
        </w:rPr>
        <w:t>:</w:t>
      </w:r>
      <w:r w:rsidR="00B16F8D" w:rsidRPr="00895819">
        <w:rPr>
          <w:lang w:val="sr-Cyrl-CS"/>
        </w:rPr>
        <w:tab/>
        <w:t>30001 00064 00000040235 03</w:t>
      </w:r>
    </w:p>
    <w:p w14:paraId="071B1BFB" w14:textId="77777777" w:rsidR="00B16F8D" w:rsidRPr="00895819" w:rsidRDefault="000B3E5F" w:rsidP="00B16F8D">
      <w:pPr>
        <w:spacing w:after="120"/>
        <w:ind w:left="1276"/>
        <w:rPr>
          <w:lang w:val="sr-Cyrl-CS"/>
        </w:rPr>
      </w:pPr>
      <w:r w:rsidRPr="00895819">
        <w:rPr>
          <w:lang w:val="sr-Cyrl-CS"/>
        </w:rPr>
        <w:t>Број IBAN</w:t>
      </w:r>
      <w:r w:rsidR="00B16F8D" w:rsidRPr="00895819">
        <w:rPr>
          <w:lang w:val="sr-Cyrl-CS"/>
        </w:rPr>
        <w:t>:</w:t>
      </w:r>
      <w:r w:rsidR="00B16F8D" w:rsidRPr="00895819">
        <w:rPr>
          <w:lang w:val="sr-Cyrl-CS"/>
        </w:rPr>
        <w:tab/>
        <w:t>FR76 3000 1000 6400 0000 4023 503</w:t>
      </w:r>
    </w:p>
    <w:p w14:paraId="360D28F4" w14:textId="77777777" w:rsidR="00B16F8D" w:rsidRPr="00895819" w:rsidRDefault="000B3E5F" w:rsidP="00B16F8D">
      <w:pPr>
        <w:spacing w:after="120"/>
        <w:ind w:left="1276"/>
        <w:rPr>
          <w:lang w:val="sr-Cyrl-CS"/>
        </w:rPr>
      </w:pPr>
      <w:r w:rsidRPr="00895819">
        <w:rPr>
          <w:lang w:val="sr-Cyrl-CS"/>
        </w:rPr>
        <w:t>SWIFT кôд (BIC) Banque de France</w:t>
      </w:r>
      <w:r w:rsidR="00B16F8D" w:rsidRPr="00895819">
        <w:rPr>
          <w:lang w:val="sr-Cyrl-CS"/>
        </w:rPr>
        <w:t>:</w:t>
      </w:r>
      <w:r w:rsidR="00B16F8D" w:rsidRPr="00895819">
        <w:rPr>
          <w:lang w:val="sr-Cyrl-CS"/>
        </w:rPr>
        <w:tab/>
        <w:t>BDFEFRPPCCT</w:t>
      </w:r>
    </w:p>
    <w:p w14:paraId="31E8D808" w14:textId="77777777" w:rsidR="00B16F8D" w:rsidRPr="00895819" w:rsidRDefault="000B3E5F" w:rsidP="00B16F8D">
      <w:pPr>
        <w:spacing w:after="120"/>
        <w:ind w:left="1276"/>
        <w:rPr>
          <w:lang w:val="sr-Cyrl-CS"/>
        </w:rPr>
      </w:pPr>
      <w:r w:rsidRPr="00895819">
        <w:rPr>
          <w:lang w:val="sr-Cyrl-CS"/>
        </w:rPr>
        <w:t>који је Зајмодавац отворио код Banque de France (централа/главна филијала) у Паризу или на било који други рачун о коме Зајмодавац обавести Зајмопримца</w:t>
      </w:r>
      <w:r w:rsidR="00B16F8D" w:rsidRPr="00895819">
        <w:rPr>
          <w:lang w:val="sr-Cyrl-CS"/>
        </w:rPr>
        <w:t xml:space="preserve">. </w:t>
      </w:r>
    </w:p>
    <w:p w14:paraId="4CB47802" w14:textId="049755B1" w:rsidR="00B16F8D" w:rsidRPr="00895819" w:rsidRDefault="00910A97" w:rsidP="00910A97">
      <w:pPr>
        <w:pStyle w:val="AATitre4"/>
        <w:numPr>
          <w:ilvl w:val="0"/>
          <w:numId w:val="0"/>
        </w:numPr>
        <w:ind w:left="1440" w:hanging="720"/>
        <w:rPr>
          <w:lang w:val="sr-Cyrl-CS"/>
        </w:rPr>
      </w:pPr>
      <w:r w:rsidRPr="00895819">
        <w:rPr>
          <w:lang w:val="sr-Cyrl-CS"/>
        </w:rPr>
        <w:t>(ц)</w:t>
      </w:r>
      <w:r w:rsidRPr="00895819">
        <w:rPr>
          <w:lang w:val="sr-Cyrl-CS"/>
        </w:rPr>
        <w:tab/>
      </w:r>
      <w:r w:rsidR="000B3E5F" w:rsidRPr="00895819">
        <w:rPr>
          <w:lang w:val="sr-Cyrl-CS"/>
        </w:rPr>
        <w:t xml:space="preserve">Зајмопримац ће од банке задужене за пренос средстава Зајмодавцу захтевати да пружи следеће информације у порукама о електронском преносу средстава на свеобухватан начин и следећим редоследом </w:t>
      </w:r>
      <w:r w:rsidR="00B16F8D" w:rsidRPr="00895819">
        <w:rPr>
          <w:lang w:val="sr-Cyrl-CS"/>
        </w:rPr>
        <w:t>(</w:t>
      </w:r>
      <w:r w:rsidR="001C6048" w:rsidRPr="00895819">
        <w:rPr>
          <w:lang w:val="sr-Cyrl-CS"/>
        </w:rPr>
        <w:t xml:space="preserve">бројеви се односе на </w:t>
      </w:r>
      <w:r w:rsidR="00B16F8D" w:rsidRPr="00895819">
        <w:rPr>
          <w:lang w:val="sr-Cyrl-CS"/>
        </w:rPr>
        <w:t xml:space="preserve">SWIFT MT 202 </w:t>
      </w:r>
      <w:r w:rsidR="000B3E5F" w:rsidRPr="00895819">
        <w:rPr>
          <w:lang w:val="sr-Cyrl-CS"/>
        </w:rPr>
        <w:t>и протокол</w:t>
      </w:r>
      <w:r w:rsidR="00B16F8D" w:rsidRPr="00895819">
        <w:rPr>
          <w:lang w:val="sr-Cyrl-CS"/>
        </w:rPr>
        <w:t xml:space="preserve"> 103)</w:t>
      </w:r>
    </w:p>
    <w:p w14:paraId="426CBB0B" w14:textId="77777777" w:rsidR="00B16F8D" w:rsidRPr="00895819" w:rsidRDefault="0067563B" w:rsidP="00910A97">
      <w:pPr>
        <w:pStyle w:val="Bullet2"/>
        <w:numPr>
          <w:ilvl w:val="0"/>
          <w:numId w:val="38"/>
        </w:numPr>
        <w:ind w:left="1701" w:hanging="261"/>
        <w:rPr>
          <w:lang w:val="sr-Cyrl-CS"/>
        </w:rPr>
      </w:pPr>
      <w:r w:rsidRPr="00895819">
        <w:rPr>
          <w:lang w:val="sr-Cyrl-CS"/>
        </w:rPr>
        <w:t>Налогодавац: назив, адреса, број банковног рачуна</w:t>
      </w:r>
      <w:r w:rsidR="00B16F8D" w:rsidRPr="00895819">
        <w:rPr>
          <w:lang w:val="sr-Cyrl-CS"/>
        </w:rPr>
        <w:t xml:space="preserve"> (</w:t>
      </w:r>
      <w:r w:rsidRPr="00895819">
        <w:rPr>
          <w:lang w:val="sr-Cyrl-CS"/>
        </w:rPr>
        <w:t>поље</w:t>
      </w:r>
      <w:r w:rsidR="00B16F8D" w:rsidRPr="00895819">
        <w:rPr>
          <w:lang w:val="sr-Cyrl-CS"/>
        </w:rPr>
        <w:t xml:space="preserve"> 50) </w:t>
      </w:r>
    </w:p>
    <w:p w14:paraId="6050786D" w14:textId="77777777" w:rsidR="00B16F8D" w:rsidRPr="00895819" w:rsidRDefault="0067563B" w:rsidP="00910A97">
      <w:pPr>
        <w:pStyle w:val="Bullet2"/>
        <w:numPr>
          <w:ilvl w:val="0"/>
          <w:numId w:val="38"/>
        </w:numPr>
        <w:ind w:left="1701" w:hanging="261"/>
        <w:rPr>
          <w:lang w:val="sr-Cyrl-CS"/>
        </w:rPr>
      </w:pPr>
      <w:r w:rsidRPr="00895819">
        <w:rPr>
          <w:lang w:val="sr-Cyrl-CS"/>
        </w:rPr>
        <w:t>Банка налогодавца: назив и адреса</w:t>
      </w:r>
      <w:r w:rsidR="00B16F8D" w:rsidRPr="00895819">
        <w:rPr>
          <w:lang w:val="sr-Cyrl-CS"/>
        </w:rPr>
        <w:t xml:space="preserve"> (</w:t>
      </w:r>
      <w:r w:rsidRPr="00895819">
        <w:rPr>
          <w:lang w:val="sr-Cyrl-CS"/>
        </w:rPr>
        <w:t>поље</w:t>
      </w:r>
      <w:r w:rsidR="00B16F8D" w:rsidRPr="00895819">
        <w:rPr>
          <w:lang w:val="sr-Cyrl-CS"/>
        </w:rPr>
        <w:t xml:space="preserve"> 52)</w:t>
      </w:r>
    </w:p>
    <w:p w14:paraId="0A28C8DD" w14:textId="77777777" w:rsidR="00B16F8D" w:rsidRPr="00895819" w:rsidRDefault="0067563B" w:rsidP="00910A97">
      <w:pPr>
        <w:pStyle w:val="Bullet2"/>
        <w:numPr>
          <w:ilvl w:val="0"/>
          <w:numId w:val="38"/>
        </w:numPr>
        <w:ind w:left="1701" w:hanging="261"/>
        <w:rPr>
          <w:lang w:val="sr-Cyrl-CS"/>
        </w:rPr>
      </w:pPr>
      <w:r w:rsidRPr="00895819">
        <w:rPr>
          <w:lang w:val="sr-Cyrl-CS"/>
        </w:rPr>
        <w:t xml:space="preserve">Референтне информације: назив Зајмопримца, назив Операције, референтни број Уговора </w:t>
      </w:r>
      <w:r w:rsidR="00B16F8D" w:rsidRPr="00895819">
        <w:rPr>
          <w:lang w:val="sr-Cyrl-CS"/>
        </w:rPr>
        <w:t>(</w:t>
      </w:r>
      <w:r w:rsidRPr="00895819">
        <w:rPr>
          <w:lang w:val="sr-Cyrl-CS"/>
        </w:rPr>
        <w:t>поље</w:t>
      </w:r>
      <w:r w:rsidR="00B16F8D" w:rsidRPr="00895819">
        <w:rPr>
          <w:lang w:val="sr-Cyrl-CS"/>
        </w:rPr>
        <w:t xml:space="preserve"> 70)</w:t>
      </w:r>
    </w:p>
    <w:p w14:paraId="59AE82E7" w14:textId="524A92C7" w:rsidR="00B16F8D" w:rsidRPr="00895819" w:rsidRDefault="00910A97" w:rsidP="00910A97">
      <w:pPr>
        <w:pStyle w:val="AATitre4"/>
        <w:numPr>
          <w:ilvl w:val="0"/>
          <w:numId w:val="0"/>
        </w:numPr>
        <w:ind w:left="1440" w:hanging="720"/>
        <w:rPr>
          <w:lang w:val="sr-Cyrl-CS"/>
        </w:rPr>
      </w:pPr>
      <w:r w:rsidRPr="00895819">
        <w:rPr>
          <w:lang w:val="sr-Cyrl-CS"/>
        </w:rPr>
        <w:t>(д)</w:t>
      </w:r>
      <w:r w:rsidRPr="00895819">
        <w:rPr>
          <w:lang w:val="sr-Cyrl-CS"/>
        </w:rPr>
        <w:tab/>
      </w:r>
      <w:r w:rsidR="0067563B" w:rsidRPr="00895819">
        <w:rPr>
          <w:lang w:val="sr-Cyrl-CS"/>
        </w:rPr>
        <w:t>Сва плаћања које извршава Зајмопримац морају да испуњавају услове из овог члана</w:t>
      </w:r>
      <w:r w:rsidR="00CB733A" w:rsidRPr="00895819">
        <w:rPr>
          <w:lang w:val="sr-Cyrl-CS"/>
        </w:rPr>
        <w:t xml:space="preserve"> 14.6 (</w:t>
      </w:r>
      <w:r w:rsidR="0067563B" w:rsidRPr="00895819">
        <w:rPr>
          <w:i/>
          <w:lang w:val="sr-Cyrl-CS"/>
        </w:rPr>
        <w:t>Место плаћања</w:t>
      </w:r>
      <w:r w:rsidR="00CB733A" w:rsidRPr="00895819">
        <w:rPr>
          <w:lang w:val="sr-Cyrl-CS"/>
        </w:rPr>
        <w:t>)</w:t>
      </w:r>
      <w:r w:rsidR="00B16F8D" w:rsidRPr="00895819">
        <w:rPr>
          <w:lang w:val="sr-Cyrl-CS"/>
        </w:rPr>
        <w:t xml:space="preserve"> </w:t>
      </w:r>
      <w:r w:rsidR="0067563B" w:rsidRPr="00895819">
        <w:rPr>
          <w:lang w:val="sr-Cyrl-CS"/>
        </w:rPr>
        <w:t>да би се сматрало да је обавеза плаћања у потпуности извршена</w:t>
      </w:r>
      <w:r w:rsidR="00B16F8D" w:rsidRPr="00895819">
        <w:rPr>
          <w:lang w:val="sr-Cyrl-CS"/>
        </w:rPr>
        <w:t>.</w:t>
      </w:r>
    </w:p>
    <w:p w14:paraId="16E0AFBD" w14:textId="77777777" w:rsidR="00B16F8D" w:rsidRPr="00895819" w:rsidRDefault="0067563B" w:rsidP="000F181A">
      <w:pPr>
        <w:pStyle w:val="AATitre2"/>
        <w:rPr>
          <w:lang w:val="sr-Cyrl-CS"/>
        </w:rPr>
      </w:pPr>
      <w:bookmarkStart w:id="136" w:name="_Toc135947212"/>
      <w:r w:rsidRPr="00895819">
        <w:rPr>
          <w:lang w:val="sr-Cyrl-CS"/>
        </w:rPr>
        <w:t>П</w:t>
      </w:r>
      <w:r w:rsidR="004F7041" w:rsidRPr="00895819">
        <w:rPr>
          <w:lang w:val="sr-Cyrl-CS"/>
        </w:rPr>
        <w:t>оремећај платног промета</w:t>
      </w:r>
      <w:bookmarkEnd w:id="136"/>
      <w:r w:rsidR="00B16F8D" w:rsidRPr="00895819">
        <w:rPr>
          <w:lang w:val="sr-Cyrl-CS"/>
        </w:rPr>
        <w:t xml:space="preserve"> </w:t>
      </w:r>
    </w:p>
    <w:p w14:paraId="44C294A4" w14:textId="77777777" w:rsidR="00B16F8D" w:rsidRPr="00895819" w:rsidRDefault="0067563B" w:rsidP="00B16F8D">
      <w:pPr>
        <w:pStyle w:val="BodyText1"/>
        <w:rPr>
          <w:lang w:val="sr-Cyrl-CS"/>
        </w:rPr>
      </w:pPr>
      <w:r w:rsidRPr="00895819">
        <w:rPr>
          <w:lang w:val="sr-Cyrl-CS"/>
        </w:rPr>
        <w:t>Ако Зајмодавац утврди (по свом нахођењу) да је дошло до П</w:t>
      </w:r>
      <w:r w:rsidR="004F7041" w:rsidRPr="00895819">
        <w:rPr>
          <w:lang w:val="sr-Cyrl-CS"/>
        </w:rPr>
        <w:t>оремећаја платног промета</w:t>
      </w:r>
      <w:r w:rsidRPr="00895819">
        <w:rPr>
          <w:lang w:val="sr-Cyrl-CS"/>
        </w:rPr>
        <w:t xml:space="preserve"> или Зајмопримац обавести Зајмодавца да се догодио </w:t>
      </w:r>
      <w:r w:rsidR="004F7041" w:rsidRPr="00895819">
        <w:rPr>
          <w:lang w:val="sr-Cyrl-CS"/>
        </w:rPr>
        <w:t>Поремећај платног промета</w:t>
      </w:r>
      <w:r w:rsidRPr="00895819">
        <w:rPr>
          <w:lang w:val="sr-Cyrl-CS"/>
        </w:rPr>
        <w:t>, Зајмодавац</w:t>
      </w:r>
      <w:r w:rsidR="00B16F8D" w:rsidRPr="00895819">
        <w:rPr>
          <w:lang w:val="sr-Cyrl-CS"/>
        </w:rPr>
        <w:t xml:space="preserve">: </w:t>
      </w:r>
    </w:p>
    <w:p w14:paraId="77CD2D25" w14:textId="00426FB5" w:rsidR="00B16F8D" w:rsidRPr="00895819" w:rsidRDefault="00910A97" w:rsidP="00910A97">
      <w:pPr>
        <w:pStyle w:val="AATitre4"/>
        <w:numPr>
          <w:ilvl w:val="0"/>
          <w:numId w:val="0"/>
        </w:numPr>
        <w:ind w:left="1440" w:hanging="720"/>
        <w:rPr>
          <w:lang w:val="sr-Cyrl-CS"/>
        </w:rPr>
      </w:pPr>
      <w:r w:rsidRPr="00895819">
        <w:rPr>
          <w:lang w:val="sr-Cyrl-CS"/>
        </w:rPr>
        <w:lastRenderedPageBreak/>
        <w:t>(а)</w:t>
      </w:r>
      <w:r w:rsidRPr="00895819">
        <w:rPr>
          <w:lang w:val="sr-Cyrl-CS"/>
        </w:rPr>
        <w:tab/>
      </w:r>
      <w:r w:rsidR="0067563B" w:rsidRPr="00895819">
        <w:rPr>
          <w:lang w:val="sr-Cyrl-CS"/>
        </w:rPr>
        <w:t>може и, ако то затражи Зајмопримац, ступити у разговоре са Зајмопримцем с циљем договора о било каквим променама у раду и управљању Кредитом које Зајмодавац сматра потребним у датим околностима</w:t>
      </w:r>
      <w:r w:rsidR="00B16F8D" w:rsidRPr="00895819">
        <w:rPr>
          <w:lang w:val="sr-Cyrl-CS"/>
        </w:rPr>
        <w:t xml:space="preserve">; </w:t>
      </w:r>
    </w:p>
    <w:p w14:paraId="1549CEEB" w14:textId="7F3AEF10" w:rsidR="00B16F8D" w:rsidRPr="00895819" w:rsidRDefault="00910A97" w:rsidP="00910A97">
      <w:pPr>
        <w:pStyle w:val="AATitre4"/>
        <w:numPr>
          <w:ilvl w:val="0"/>
          <w:numId w:val="0"/>
        </w:numPr>
        <w:ind w:left="1440" w:hanging="720"/>
        <w:rPr>
          <w:lang w:val="sr-Cyrl-CS"/>
        </w:rPr>
      </w:pPr>
      <w:r w:rsidRPr="00895819">
        <w:rPr>
          <w:lang w:val="sr-Cyrl-CS"/>
        </w:rPr>
        <w:t>(б)</w:t>
      </w:r>
      <w:r w:rsidRPr="00895819">
        <w:rPr>
          <w:lang w:val="sr-Cyrl-CS"/>
        </w:rPr>
        <w:tab/>
      </w:r>
      <w:r w:rsidR="0067563B" w:rsidRPr="00895819">
        <w:rPr>
          <w:lang w:val="sr-Cyrl-CS"/>
        </w:rPr>
        <w:t>неће бити дужан да ступа у разговоре са Зајмопримцем у вези са било којом променом у горе поменутом ставу (а) ако, према његовом мишљењу, то није изводљиво у датим околностима и, у сваком случају, нема обавезу да пристане на такве промене</w:t>
      </w:r>
      <w:r w:rsidR="00B16F8D" w:rsidRPr="00895819">
        <w:rPr>
          <w:lang w:val="sr-Cyrl-CS"/>
        </w:rPr>
        <w:t xml:space="preserve">; </w:t>
      </w:r>
      <w:r w:rsidR="0067563B" w:rsidRPr="00895819">
        <w:rPr>
          <w:lang w:val="sr-Cyrl-CS"/>
        </w:rPr>
        <w:t>и</w:t>
      </w:r>
    </w:p>
    <w:p w14:paraId="4B93C531" w14:textId="17EDA880" w:rsidR="00B16F8D" w:rsidRPr="00895819" w:rsidRDefault="00910A97" w:rsidP="00910A97">
      <w:pPr>
        <w:pStyle w:val="AATitre4"/>
        <w:numPr>
          <w:ilvl w:val="0"/>
          <w:numId w:val="0"/>
        </w:numPr>
        <w:ind w:left="1440" w:hanging="720"/>
        <w:rPr>
          <w:lang w:val="sr-Cyrl-CS"/>
        </w:rPr>
      </w:pPr>
      <w:r w:rsidRPr="00895819">
        <w:rPr>
          <w:lang w:val="sr-Cyrl-CS"/>
        </w:rPr>
        <w:t>(ц)</w:t>
      </w:r>
      <w:r w:rsidRPr="00895819">
        <w:rPr>
          <w:lang w:val="sr-Cyrl-CS"/>
        </w:rPr>
        <w:tab/>
      </w:r>
      <w:r w:rsidR="0067563B" w:rsidRPr="00895819">
        <w:rPr>
          <w:lang w:val="sr-Cyrl-CS"/>
        </w:rPr>
        <w:t>неће бити одговоран за било који трошак, губитак или одговорност који настану као резултат његовог предузимања или пропуста да предузме било какве радње у складу са чланом 14.7 (</w:t>
      </w:r>
      <w:r w:rsidR="0067563B" w:rsidRPr="00895819">
        <w:rPr>
          <w:i/>
          <w:lang w:val="sr-Cyrl-CS"/>
        </w:rPr>
        <w:t>П</w:t>
      </w:r>
      <w:r w:rsidR="004F7041" w:rsidRPr="00895819">
        <w:rPr>
          <w:i/>
          <w:lang w:val="sr-Cyrl-CS"/>
        </w:rPr>
        <w:t>оремећај платног промета</w:t>
      </w:r>
      <w:r w:rsidR="00CB733A" w:rsidRPr="00895819">
        <w:rPr>
          <w:lang w:val="sr-Cyrl-CS"/>
        </w:rPr>
        <w:t>)</w:t>
      </w:r>
      <w:r w:rsidR="00B16F8D" w:rsidRPr="00895819">
        <w:rPr>
          <w:lang w:val="sr-Cyrl-CS"/>
        </w:rPr>
        <w:t xml:space="preserve">. </w:t>
      </w:r>
    </w:p>
    <w:p w14:paraId="7F00CF00" w14:textId="77777777" w:rsidR="00B16F8D" w:rsidRPr="00895819" w:rsidRDefault="00056805" w:rsidP="00A32298">
      <w:pPr>
        <w:pStyle w:val="AATitre1"/>
        <w:rPr>
          <w:lang w:val="sr-Cyrl-CS"/>
        </w:rPr>
      </w:pPr>
      <w:bookmarkStart w:id="137" w:name="_Toc135947213"/>
      <w:r w:rsidRPr="00895819">
        <w:rPr>
          <w:lang w:val="sr-Cyrl-CS"/>
        </w:rPr>
        <w:t>РАЗНО</w:t>
      </w:r>
      <w:bookmarkEnd w:id="137"/>
    </w:p>
    <w:p w14:paraId="5D1229E9" w14:textId="77777777" w:rsidR="00B16F8D" w:rsidRPr="00895819" w:rsidRDefault="00056805" w:rsidP="000F181A">
      <w:pPr>
        <w:pStyle w:val="AATitre2"/>
        <w:rPr>
          <w:u w:val="none"/>
          <w:lang w:val="sr-Cyrl-CS"/>
        </w:rPr>
      </w:pPr>
      <w:bookmarkStart w:id="138" w:name="_Toc135947214"/>
      <w:r w:rsidRPr="00895819">
        <w:rPr>
          <w:lang w:val="sr-Cyrl-CS"/>
        </w:rPr>
        <w:t>Језик</w:t>
      </w:r>
      <w:bookmarkEnd w:id="138"/>
    </w:p>
    <w:p w14:paraId="1CDEB3AD" w14:textId="7E144638" w:rsidR="00B16F8D" w:rsidRPr="00895819" w:rsidRDefault="009609FE" w:rsidP="00B16F8D">
      <w:pPr>
        <w:pStyle w:val="BodyText1"/>
        <w:rPr>
          <w:lang w:val="sr-Cyrl-CS"/>
        </w:rPr>
      </w:pPr>
      <w:r w:rsidRPr="00895819">
        <w:rPr>
          <w:lang w:val="sr-Cyrl-CS"/>
        </w:rPr>
        <w:t>Језик овог у</w:t>
      </w:r>
      <w:r w:rsidR="00056805" w:rsidRPr="00895819">
        <w:rPr>
          <w:lang w:val="sr-Cyrl-CS"/>
        </w:rPr>
        <w:t>г</w:t>
      </w:r>
      <w:r w:rsidR="00155BE5" w:rsidRPr="00895819">
        <w:rPr>
          <w:lang w:val="sr-Cyrl-CS"/>
        </w:rPr>
        <w:t>овора је енглески. Ако се овај у</w:t>
      </w:r>
      <w:r w:rsidR="00056805" w:rsidRPr="00895819">
        <w:rPr>
          <w:lang w:val="sr-Cyrl-CS"/>
        </w:rPr>
        <w:t>говор преведе на други језик, енглеска верзија ће имати предност у случају било ког супротстављеног тумачења или у случају спора између Страна</w:t>
      </w:r>
      <w:r w:rsidR="00B16F8D" w:rsidRPr="00895819">
        <w:rPr>
          <w:lang w:val="sr-Cyrl-CS"/>
        </w:rPr>
        <w:t>.</w:t>
      </w:r>
    </w:p>
    <w:p w14:paraId="269FBA22" w14:textId="32B42F0C" w:rsidR="00B16F8D" w:rsidRPr="00895819" w:rsidRDefault="00056805" w:rsidP="00B16F8D">
      <w:pPr>
        <w:pStyle w:val="BodyText1"/>
        <w:rPr>
          <w:lang w:val="sr-Cyrl-CS"/>
        </w:rPr>
      </w:pPr>
      <w:r w:rsidRPr="00895819">
        <w:rPr>
          <w:lang w:val="sr-Cyrl-CS"/>
        </w:rPr>
        <w:t>Сва обавештења или документа</w:t>
      </w:r>
      <w:r w:rsidR="009609FE" w:rsidRPr="00895819">
        <w:rPr>
          <w:lang w:val="sr-Cyrl-CS"/>
        </w:rPr>
        <w:t xml:space="preserve"> који се дају у складу са овим у</w:t>
      </w:r>
      <w:r w:rsidRPr="00895819">
        <w:rPr>
          <w:lang w:val="sr-Cyrl-CS"/>
        </w:rPr>
        <w:t xml:space="preserve">говором </w:t>
      </w:r>
      <w:r w:rsidR="00D52B43" w:rsidRPr="00895819">
        <w:rPr>
          <w:lang w:val="sr-Cyrl-CS"/>
        </w:rPr>
        <w:t xml:space="preserve">и </w:t>
      </w:r>
      <w:r w:rsidRPr="00895819">
        <w:rPr>
          <w:lang w:val="sr-Cyrl-CS"/>
        </w:rPr>
        <w:t>у вези са њим, биће на енглеском језику</w:t>
      </w:r>
      <w:r w:rsidR="00B16F8D" w:rsidRPr="00895819">
        <w:rPr>
          <w:lang w:val="sr-Cyrl-CS"/>
        </w:rPr>
        <w:t xml:space="preserve">. </w:t>
      </w:r>
    </w:p>
    <w:p w14:paraId="58B46C5D" w14:textId="3AB9979B" w:rsidR="00B16F8D" w:rsidRPr="00895819" w:rsidRDefault="00056805" w:rsidP="00B16F8D">
      <w:pPr>
        <w:pStyle w:val="BodyText1"/>
        <w:rPr>
          <w:lang w:val="sr-Cyrl-CS"/>
        </w:rPr>
      </w:pPr>
      <w:r w:rsidRPr="00895819">
        <w:rPr>
          <w:lang w:val="sr-Cyrl-CS"/>
        </w:rPr>
        <w:t xml:space="preserve">Зајмодавац може захтевати да обавештење или документ који се даје на основу овог </w:t>
      </w:r>
      <w:r w:rsidR="009609FE" w:rsidRPr="00895819">
        <w:rPr>
          <w:lang w:val="sr-Cyrl-CS"/>
        </w:rPr>
        <w:t xml:space="preserve">уговора </w:t>
      </w:r>
      <w:r w:rsidRPr="00895819">
        <w:rPr>
          <w:lang w:val="sr-Cyrl-CS"/>
        </w:rPr>
        <w:t>или који је у вези са њим, а који није на енглеском, буде пропраћен овереним преводом на енглески језик, у ком случају ће енглески превод имати предност, осим ако је документ оснивачки акт компаније, правни текст или други званични документ</w:t>
      </w:r>
      <w:r w:rsidR="00B16F8D" w:rsidRPr="00895819">
        <w:rPr>
          <w:lang w:val="sr-Cyrl-CS"/>
        </w:rPr>
        <w:t xml:space="preserve">. </w:t>
      </w:r>
    </w:p>
    <w:p w14:paraId="1CAE069A" w14:textId="77777777" w:rsidR="00B16F8D" w:rsidRPr="00895819" w:rsidRDefault="00056805" w:rsidP="000F181A">
      <w:pPr>
        <w:pStyle w:val="AATitre2"/>
        <w:rPr>
          <w:u w:val="none"/>
          <w:lang w:val="sr-Cyrl-CS"/>
        </w:rPr>
      </w:pPr>
      <w:bookmarkStart w:id="139" w:name="_Toc135947215"/>
      <w:r w:rsidRPr="00895819">
        <w:rPr>
          <w:lang w:val="sr-Cyrl-CS"/>
        </w:rPr>
        <w:t>Потврде и одлуке</w:t>
      </w:r>
      <w:bookmarkEnd w:id="139"/>
    </w:p>
    <w:p w14:paraId="5B3FFB1D" w14:textId="47568F6C" w:rsidR="00B16F8D" w:rsidRPr="00895819" w:rsidRDefault="00056805" w:rsidP="00B16F8D">
      <w:pPr>
        <w:pStyle w:val="BodyText1"/>
        <w:rPr>
          <w:lang w:val="sr-Cyrl-CS"/>
        </w:rPr>
      </w:pPr>
      <w:r w:rsidRPr="00895819">
        <w:rPr>
          <w:lang w:val="sr-Cyrl-CS"/>
        </w:rPr>
        <w:t xml:space="preserve">У свим парницама или арбитражама које произлазе из овог </w:t>
      </w:r>
      <w:r w:rsidR="009609FE" w:rsidRPr="00895819">
        <w:rPr>
          <w:lang w:val="sr-Cyrl-CS"/>
        </w:rPr>
        <w:t>у</w:t>
      </w:r>
      <w:r w:rsidRPr="00895819">
        <w:rPr>
          <w:lang w:val="sr-Cyrl-CS"/>
        </w:rPr>
        <w:t xml:space="preserve">говора или су у вези са њим, уноси на рачуне које води Зајмодавац су </w:t>
      </w:r>
      <w:r w:rsidRPr="00895819">
        <w:rPr>
          <w:i/>
          <w:lang w:val="sr-Cyrl-CS"/>
        </w:rPr>
        <w:t>prima facie</w:t>
      </w:r>
      <w:r w:rsidRPr="00895819">
        <w:rPr>
          <w:lang w:val="sr-Cyrl-CS"/>
        </w:rPr>
        <w:t xml:space="preserve"> докази о стварима на које се односе</w:t>
      </w:r>
      <w:r w:rsidR="00B16F8D" w:rsidRPr="00895819">
        <w:rPr>
          <w:lang w:val="sr-Cyrl-CS"/>
        </w:rPr>
        <w:t>.</w:t>
      </w:r>
    </w:p>
    <w:p w14:paraId="40917814" w14:textId="086F92F2" w:rsidR="00B16F8D" w:rsidRPr="00895819" w:rsidRDefault="00056805" w:rsidP="00B16F8D">
      <w:pPr>
        <w:pStyle w:val="BodyText1"/>
        <w:rPr>
          <w:lang w:val="sr-Cyrl-CS"/>
        </w:rPr>
      </w:pPr>
      <w:r w:rsidRPr="00895819">
        <w:rPr>
          <w:lang w:val="sr-Cyrl-CS"/>
        </w:rPr>
        <w:t xml:space="preserve">Свака потврда или одлука стопе или износа од стране Зајмодавца према овом </w:t>
      </w:r>
      <w:r w:rsidR="009609FE" w:rsidRPr="00895819">
        <w:rPr>
          <w:lang w:val="sr-Cyrl-CS"/>
        </w:rPr>
        <w:t>у</w:t>
      </w:r>
      <w:r w:rsidRPr="00895819">
        <w:rPr>
          <w:lang w:val="sr-Cyrl-CS"/>
        </w:rPr>
        <w:t>говор</w:t>
      </w:r>
      <w:r w:rsidR="00D52B43" w:rsidRPr="00895819">
        <w:rPr>
          <w:lang w:val="sr-Cyrl-CS"/>
        </w:rPr>
        <w:t>у</w:t>
      </w:r>
      <w:r w:rsidRPr="00895819">
        <w:rPr>
          <w:lang w:val="sr-Cyrl-CS"/>
        </w:rPr>
        <w:t xml:space="preserve"> биће, у одсуству очигледне грешке, коначни докази о стварима на које се односи</w:t>
      </w:r>
      <w:r w:rsidR="00B16F8D" w:rsidRPr="00895819">
        <w:rPr>
          <w:lang w:val="sr-Cyrl-CS"/>
        </w:rPr>
        <w:t>.</w:t>
      </w:r>
    </w:p>
    <w:p w14:paraId="27B86A5D" w14:textId="77777777" w:rsidR="00B16F8D" w:rsidRPr="00895819" w:rsidRDefault="00414663" w:rsidP="000F181A">
      <w:pPr>
        <w:pStyle w:val="AATitre2"/>
        <w:rPr>
          <w:u w:val="none"/>
          <w:lang w:val="sr-Cyrl-CS"/>
        </w:rPr>
      </w:pPr>
      <w:bookmarkStart w:id="140" w:name="_Toc135947216"/>
      <w:r w:rsidRPr="00895819">
        <w:rPr>
          <w:lang w:val="sr-Cyrl-CS"/>
        </w:rPr>
        <w:t>Делимична ништавост</w:t>
      </w:r>
      <w:bookmarkEnd w:id="140"/>
    </w:p>
    <w:p w14:paraId="68D5361E" w14:textId="03A2DC98" w:rsidR="00B16F8D" w:rsidRPr="00895819" w:rsidRDefault="00414663" w:rsidP="00B16F8D">
      <w:pPr>
        <w:pStyle w:val="BodyText1"/>
        <w:rPr>
          <w:lang w:val="sr-Cyrl-CS"/>
        </w:rPr>
      </w:pPr>
      <w:r w:rsidRPr="00895819">
        <w:rPr>
          <w:lang w:val="sr-Cyrl-CS"/>
        </w:rPr>
        <w:t xml:space="preserve">Ако у било ком тренутку одређена одредба овог </w:t>
      </w:r>
      <w:r w:rsidR="009609FE" w:rsidRPr="00895819">
        <w:rPr>
          <w:lang w:val="sr-Cyrl-CS"/>
        </w:rPr>
        <w:t>у</w:t>
      </w:r>
      <w:r w:rsidRPr="00895819">
        <w:rPr>
          <w:lang w:val="sr-Cyrl-CS"/>
        </w:rPr>
        <w:t xml:space="preserve">говора </w:t>
      </w:r>
      <w:r w:rsidR="00DD14F1" w:rsidRPr="00895819">
        <w:rPr>
          <w:lang w:val="sr-Cyrl-CS"/>
        </w:rPr>
        <w:t xml:space="preserve">буде или постане незаконита, неважећа или неизвршива, то ни на који начин неће утицати нити умањити важење, законитост или извршивост осталих одредби овог </w:t>
      </w:r>
      <w:r w:rsidR="009609FE" w:rsidRPr="00895819">
        <w:rPr>
          <w:lang w:val="sr-Cyrl-CS"/>
        </w:rPr>
        <w:t>у</w:t>
      </w:r>
      <w:r w:rsidR="00DD14F1" w:rsidRPr="00895819">
        <w:rPr>
          <w:lang w:val="sr-Cyrl-CS"/>
        </w:rPr>
        <w:t>говора</w:t>
      </w:r>
      <w:r w:rsidR="00B16F8D" w:rsidRPr="00895819">
        <w:rPr>
          <w:lang w:val="sr-Cyrl-CS"/>
        </w:rPr>
        <w:t>.</w:t>
      </w:r>
    </w:p>
    <w:p w14:paraId="568A0FEA" w14:textId="77777777" w:rsidR="00B16F8D" w:rsidRPr="00895819" w:rsidRDefault="00DD14F1" w:rsidP="000F181A">
      <w:pPr>
        <w:pStyle w:val="AATitre2"/>
        <w:rPr>
          <w:u w:val="none"/>
          <w:lang w:val="sr-Cyrl-CS"/>
        </w:rPr>
      </w:pPr>
      <w:bookmarkStart w:id="141" w:name="_Toc135947217"/>
      <w:r w:rsidRPr="00895819">
        <w:rPr>
          <w:lang w:val="sr-Cyrl-CS"/>
        </w:rPr>
        <w:t>Неодрицање од права</w:t>
      </w:r>
      <w:bookmarkEnd w:id="141"/>
    </w:p>
    <w:p w14:paraId="099156E2" w14:textId="77777777" w:rsidR="00B16F8D" w:rsidRPr="00895819" w:rsidRDefault="00682843" w:rsidP="00B16F8D">
      <w:pPr>
        <w:pStyle w:val="BodyText1"/>
        <w:rPr>
          <w:lang w:val="sr-Cyrl-CS"/>
        </w:rPr>
      </w:pPr>
      <w:r w:rsidRPr="00895819">
        <w:rPr>
          <w:lang w:val="sr-Cyrl-CS"/>
        </w:rPr>
        <w:t>Пропуст или кашњење у остваривању било ког права из Уговора од стране Зајмодавца неће представљати одрицање од тог права</w:t>
      </w:r>
      <w:r w:rsidR="00B16F8D" w:rsidRPr="00895819">
        <w:rPr>
          <w:lang w:val="sr-Cyrl-CS"/>
        </w:rPr>
        <w:t>.</w:t>
      </w:r>
    </w:p>
    <w:p w14:paraId="27BECB88" w14:textId="77777777" w:rsidR="00B16F8D" w:rsidRPr="00895819" w:rsidRDefault="00682843" w:rsidP="00B16F8D">
      <w:pPr>
        <w:pStyle w:val="BodyText1"/>
        <w:rPr>
          <w:lang w:val="sr-Cyrl-CS"/>
        </w:rPr>
      </w:pPr>
      <w:r w:rsidRPr="00895819">
        <w:rPr>
          <w:lang w:val="sr-Cyrl-CS"/>
        </w:rPr>
        <w:t>Делимично остварење било ког права не спречава даље остваривање тог права или остваривање било ког другог права или правног лека у складу са важећим законима</w:t>
      </w:r>
      <w:r w:rsidR="00B16F8D" w:rsidRPr="00895819">
        <w:rPr>
          <w:lang w:val="sr-Cyrl-CS"/>
        </w:rPr>
        <w:t xml:space="preserve">. </w:t>
      </w:r>
    </w:p>
    <w:p w14:paraId="5D92F96B" w14:textId="1F695005" w:rsidR="00B16F8D" w:rsidRPr="00895819" w:rsidRDefault="00682843" w:rsidP="00B16F8D">
      <w:pPr>
        <w:pStyle w:val="BodyText1"/>
        <w:rPr>
          <w:lang w:val="sr-Cyrl-CS"/>
        </w:rPr>
      </w:pPr>
      <w:r w:rsidRPr="00895819">
        <w:rPr>
          <w:lang w:val="sr-Cyrl-CS"/>
        </w:rPr>
        <w:t xml:space="preserve">Права и правни лекови Зајмодавца у складу са овим </w:t>
      </w:r>
      <w:r w:rsidR="009609FE" w:rsidRPr="00895819">
        <w:rPr>
          <w:lang w:val="sr-Cyrl-CS"/>
        </w:rPr>
        <w:t>у</w:t>
      </w:r>
      <w:r w:rsidRPr="00895819">
        <w:rPr>
          <w:lang w:val="sr-Cyrl-CS"/>
        </w:rPr>
        <w:t>говором су кумулативни и не искључују било каква права и правне лекове у складу са важећим законима</w:t>
      </w:r>
      <w:r w:rsidR="00B16F8D" w:rsidRPr="00895819">
        <w:rPr>
          <w:lang w:val="sr-Cyrl-CS"/>
        </w:rPr>
        <w:t>.</w:t>
      </w:r>
    </w:p>
    <w:p w14:paraId="6A7775FB" w14:textId="77777777" w:rsidR="00B16F8D" w:rsidRPr="00895819" w:rsidRDefault="00F646D6" w:rsidP="000F181A">
      <w:pPr>
        <w:pStyle w:val="AATitre2"/>
        <w:rPr>
          <w:u w:val="none"/>
          <w:lang w:val="sr-Cyrl-CS"/>
        </w:rPr>
      </w:pPr>
      <w:bookmarkStart w:id="142" w:name="_Toc135947218"/>
      <w:r w:rsidRPr="00895819">
        <w:rPr>
          <w:lang w:val="sr-Cyrl-CS"/>
        </w:rPr>
        <w:lastRenderedPageBreak/>
        <w:t>Уступање</w:t>
      </w:r>
      <w:bookmarkEnd w:id="142"/>
    </w:p>
    <w:p w14:paraId="03F5FE8C" w14:textId="22E480E2" w:rsidR="00B16F8D" w:rsidRPr="00895819" w:rsidRDefault="00F646D6" w:rsidP="00B16F8D">
      <w:pPr>
        <w:pStyle w:val="BodyText1"/>
        <w:rPr>
          <w:lang w:val="sr-Cyrl-CS"/>
        </w:rPr>
      </w:pPr>
      <w:r w:rsidRPr="00895819">
        <w:rPr>
          <w:lang w:val="sr-Cyrl-CS"/>
        </w:rPr>
        <w:t xml:space="preserve">Зајмопримац не може на било који начин уступити или пренети сва или нека од својих права и обавеза према овом </w:t>
      </w:r>
      <w:r w:rsidR="009609FE" w:rsidRPr="00895819">
        <w:rPr>
          <w:lang w:val="sr-Cyrl-CS"/>
        </w:rPr>
        <w:t>у</w:t>
      </w:r>
      <w:r w:rsidRPr="00895819">
        <w:rPr>
          <w:lang w:val="sr-Cyrl-CS"/>
        </w:rPr>
        <w:t>говору без претходне писмене сагласности Зајмодавца</w:t>
      </w:r>
      <w:r w:rsidR="00B16F8D" w:rsidRPr="00895819">
        <w:rPr>
          <w:lang w:val="sr-Cyrl-CS"/>
        </w:rPr>
        <w:t>.</w:t>
      </w:r>
    </w:p>
    <w:p w14:paraId="2E78B413" w14:textId="61C4835D" w:rsidR="00B16F8D" w:rsidRPr="00895819" w:rsidRDefault="00F646D6" w:rsidP="00910A97">
      <w:pPr>
        <w:pStyle w:val="BodyText1"/>
        <w:rPr>
          <w:lang w:val="sr-Cyrl-CS"/>
        </w:rPr>
      </w:pPr>
      <w:r w:rsidRPr="00895819">
        <w:rPr>
          <w:lang w:val="sr-Cyrl-CS"/>
        </w:rPr>
        <w:t xml:space="preserve">Зајмодавац може доделити или пренети било које своје право или обавезу из овог </w:t>
      </w:r>
      <w:r w:rsidR="009609FE" w:rsidRPr="00895819">
        <w:rPr>
          <w:lang w:val="sr-Cyrl-CS"/>
        </w:rPr>
        <w:t>у</w:t>
      </w:r>
      <w:r w:rsidRPr="00895819">
        <w:rPr>
          <w:lang w:val="sr-Cyrl-CS"/>
        </w:rPr>
        <w:t>говора на било коју трећу страну и може склопити било који уговор о подучешћу који се односи на њега</w:t>
      </w:r>
      <w:r w:rsidR="00B16F8D" w:rsidRPr="00895819">
        <w:rPr>
          <w:lang w:val="sr-Cyrl-CS"/>
        </w:rPr>
        <w:t xml:space="preserve">. </w:t>
      </w:r>
      <w:r w:rsidRPr="00895819">
        <w:rPr>
          <w:lang w:val="sr-Cyrl-CS"/>
        </w:rPr>
        <w:t>Зајмодавац ће без одлагања обавестити Зајмопримца уколико дође до таквог преноса или доделе</w:t>
      </w:r>
      <w:r w:rsidR="00910A97" w:rsidRPr="00895819">
        <w:rPr>
          <w:lang w:val="sr-Cyrl-CS"/>
        </w:rPr>
        <w:t>.</w:t>
      </w:r>
    </w:p>
    <w:p w14:paraId="67A1055B" w14:textId="77777777" w:rsidR="00B16F8D" w:rsidRPr="00895819" w:rsidRDefault="00F646D6" w:rsidP="000F181A">
      <w:pPr>
        <w:pStyle w:val="AATitre2"/>
        <w:rPr>
          <w:u w:val="none"/>
          <w:lang w:val="sr-Cyrl-CS"/>
        </w:rPr>
      </w:pPr>
      <w:bookmarkStart w:id="143" w:name="_Toc135947219"/>
      <w:r w:rsidRPr="00895819">
        <w:rPr>
          <w:lang w:val="sr-Cyrl-CS"/>
        </w:rPr>
        <w:t>Правно дејство</w:t>
      </w:r>
      <w:bookmarkEnd w:id="143"/>
      <w:r w:rsidR="00B16F8D" w:rsidRPr="00895819">
        <w:rPr>
          <w:lang w:val="sr-Cyrl-CS"/>
        </w:rPr>
        <w:t xml:space="preserve"> </w:t>
      </w:r>
    </w:p>
    <w:p w14:paraId="275766B3" w14:textId="6D43216B" w:rsidR="00B16F8D" w:rsidRPr="00895819" w:rsidRDefault="00155BE5" w:rsidP="00B16F8D">
      <w:pPr>
        <w:pStyle w:val="BodyText1"/>
        <w:rPr>
          <w:lang w:val="sr-Cyrl-CS"/>
        </w:rPr>
      </w:pPr>
      <w:r w:rsidRPr="00895819">
        <w:rPr>
          <w:lang w:val="sr-Cyrl-CS"/>
        </w:rPr>
        <w:t>Прилози уз овај у</w:t>
      </w:r>
      <w:r w:rsidR="00F646D6" w:rsidRPr="00895819">
        <w:rPr>
          <w:lang w:val="sr-Cyrl-CS"/>
        </w:rPr>
        <w:t xml:space="preserve">говор и његове преамбуле чине саставни део </w:t>
      </w:r>
      <w:r w:rsidR="00D52B43" w:rsidRPr="00895819">
        <w:rPr>
          <w:lang w:val="sr-Cyrl-CS"/>
        </w:rPr>
        <w:t>овог</w:t>
      </w:r>
      <w:r w:rsidR="00F646D6" w:rsidRPr="00895819">
        <w:rPr>
          <w:lang w:val="sr-Cyrl-CS"/>
        </w:rPr>
        <w:t xml:space="preserve"> </w:t>
      </w:r>
      <w:r w:rsidR="009609FE" w:rsidRPr="00895819">
        <w:rPr>
          <w:lang w:val="sr-Cyrl-CS"/>
        </w:rPr>
        <w:t>у</w:t>
      </w:r>
      <w:r w:rsidR="00F646D6" w:rsidRPr="00895819">
        <w:rPr>
          <w:lang w:val="sr-Cyrl-CS"/>
        </w:rPr>
        <w:t>говора и имају исто правно дејство</w:t>
      </w:r>
      <w:r w:rsidR="00B16F8D" w:rsidRPr="00895819">
        <w:rPr>
          <w:lang w:val="sr-Cyrl-CS"/>
        </w:rPr>
        <w:t>.</w:t>
      </w:r>
    </w:p>
    <w:p w14:paraId="5F0BB76B" w14:textId="77777777" w:rsidR="00B16F8D" w:rsidRPr="00895819" w:rsidRDefault="00DD19CC" w:rsidP="000F181A">
      <w:pPr>
        <w:pStyle w:val="AATitre2"/>
        <w:rPr>
          <w:u w:val="none"/>
          <w:lang w:val="sr-Cyrl-CS"/>
        </w:rPr>
      </w:pPr>
      <w:bookmarkStart w:id="144" w:name="_Toc135947220"/>
      <w:r w:rsidRPr="00895819">
        <w:rPr>
          <w:lang w:val="sr-Cyrl-CS"/>
        </w:rPr>
        <w:t>Целовитост Уговора</w:t>
      </w:r>
      <w:bookmarkEnd w:id="144"/>
    </w:p>
    <w:p w14:paraId="5F886E45" w14:textId="460C6F7B" w:rsidR="00B16F8D" w:rsidRPr="00895819" w:rsidRDefault="00044A2D" w:rsidP="00B16F8D">
      <w:pPr>
        <w:pStyle w:val="BodyText1"/>
        <w:rPr>
          <w:lang w:val="sr-Cyrl-CS"/>
        </w:rPr>
      </w:pPr>
      <w:r w:rsidRPr="00895819">
        <w:rPr>
          <w:lang w:val="sr-Cyrl-CS"/>
        </w:rPr>
        <w:t>Почевши од Датума потписивања</w:t>
      </w:r>
      <w:r w:rsidR="00B16F8D" w:rsidRPr="00895819">
        <w:rPr>
          <w:lang w:val="sr-Cyrl-CS"/>
        </w:rPr>
        <w:t xml:space="preserve">, </w:t>
      </w:r>
      <w:r w:rsidR="00155BE5" w:rsidRPr="00895819">
        <w:rPr>
          <w:lang w:val="sr-Cyrl-CS"/>
        </w:rPr>
        <w:t>овај у</w:t>
      </w:r>
      <w:r w:rsidRPr="00895819">
        <w:rPr>
          <w:lang w:val="sr-Cyrl-CS"/>
        </w:rPr>
        <w:t xml:space="preserve">говор представља цео споразум између Страна у погледу питања која су њиме уређена и замењује и ступа на место свих претходних докумената, споразума или уговора који могу бити размењени или саопштени у склопу преговора у вези са овим </w:t>
      </w:r>
      <w:r w:rsidR="009609FE" w:rsidRPr="00895819">
        <w:rPr>
          <w:lang w:val="sr-Cyrl-CS"/>
        </w:rPr>
        <w:t>у</w:t>
      </w:r>
      <w:r w:rsidRPr="00895819">
        <w:rPr>
          <w:lang w:val="sr-Cyrl-CS"/>
        </w:rPr>
        <w:t>говором</w:t>
      </w:r>
      <w:r w:rsidR="00B16F8D" w:rsidRPr="00895819">
        <w:rPr>
          <w:lang w:val="sr-Cyrl-CS"/>
        </w:rPr>
        <w:t>.</w:t>
      </w:r>
    </w:p>
    <w:p w14:paraId="0FFB2436" w14:textId="77777777" w:rsidR="00B16F8D" w:rsidRPr="00895819" w:rsidRDefault="00044A2D" w:rsidP="000F181A">
      <w:pPr>
        <w:pStyle w:val="AATitre2"/>
        <w:rPr>
          <w:u w:val="none"/>
          <w:lang w:val="sr-Cyrl-CS"/>
        </w:rPr>
      </w:pPr>
      <w:bookmarkStart w:id="145" w:name="_Toc135947221"/>
      <w:r w:rsidRPr="00895819">
        <w:rPr>
          <w:lang w:val="sr-Cyrl-CS"/>
        </w:rPr>
        <w:t>Измене и допуне</w:t>
      </w:r>
      <w:bookmarkEnd w:id="145"/>
    </w:p>
    <w:p w14:paraId="30A8E89C" w14:textId="3436B883" w:rsidR="00B16F8D" w:rsidRPr="00895819" w:rsidRDefault="009657CC" w:rsidP="00B16F8D">
      <w:pPr>
        <w:pStyle w:val="BodyText1"/>
        <w:rPr>
          <w:lang w:val="sr-Cyrl-CS"/>
        </w:rPr>
      </w:pPr>
      <w:r w:rsidRPr="00895819">
        <w:rPr>
          <w:lang w:val="sr-Cyrl-CS"/>
        </w:rPr>
        <w:t xml:space="preserve">Измене и допуне овог </w:t>
      </w:r>
      <w:r w:rsidR="00892068" w:rsidRPr="00895819">
        <w:rPr>
          <w:lang w:val="sr-Cyrl-CS"/>
        </w:rPr>
        <w:t>у</w:t>
      </w:r>
      <w:r w:rsidRPr="00895819">
        <w:rPr>
          <w:lang w:val="sr-Cyrl-CS"/>
        </w:rPr>
        <w:t>говора могу се вршити само ако се Стране о томе изричито договоре у писаној форми</w:t>
      </w:r>
      <w:r w:rsidR="00B16F8D" w:rsidRPr="00895819">
        <w:rPr>
          <w:lang w:val="sr-Cyrl-CS"/>
        </w:rPr>
        <w:t>.</w:t>
      </w:r>
    </w:p>
    <w:p w14:paraId="5AF07CF7" w14:textId="77777777" w:rsidR="00B16F8D" w:rsidRPr="00895819" w:rsidRDefault="00210FE0" w:rsidP="000F181A">
      <w:pPr>
        <w:pStyle w:val="AATitre2"/>
        <w:rPr>
          <w:u w:val="none"/>
          <w:lang w:val="sr-Cyrl-CS"/>
        </w:rPr>
      </w:pPr>
      <w:bookmarkStart w:id="146" w:name="_Toc135947222"/>
      <w:r w:rsidRPr="00895819">
        <w:rPr>
          <w:lang w:val="sr-Cyrl-CS"/>
        </w:rPr>
        <w:t>Поверљивост</w:t>
      </w:r>
      <w:r w:rsidR="00B16F8D" w:rsidRPr="00895819">
        <w:rPr>
          <w:lang w:val="sr-Cyrl-CS"/>
        </w:rPr>
        <w:t xml:space="preserve"> – </w:t>
      </w:r>
      <w:r w:rsidRPr="00895819">
        <w:rPr>
          <w:lang w:val="sr-Cyrl-CS"/>
        </w:rPr>
        <w:t>Обелодањивање информација</w:t>
      </w:r>
      <w:bookmarkEnd w:id="146"/>
    </w:p>
    <w:p w14:paraId="56F6F6D5" w14:textId="69AC4754" w:rsidR="00B16F8D" w:rsidRPr="00895819" w:rsidRDefault="00B108B7" w:rsidP="00B108B7">
      <w:pPr>
        <w:pStyle w:val="AATitre4"/>
        <w:numPr>
          <w:ilvl w:val="0"/>
          <w:numId w:val="0"/>
        </w:numPr>
        <w:ind w:left="1440" w:hanging="720"/>
        <w:rPr>
          <w:lang w:val="sr-Cyrl-CS"/>
        </w:rPr>
      </w:pPr>
      <w:r w:rsidRPr="00895819">
        <w:rPr>
          <w:lang w:val="sr-Cyrl-CS"/>
        </w:rPr>
        <w:t>(а)</w:t>
      </w:r>
      <w:r w:rsidRPr="00895819">
        <w:rPr>
          <w:lang w:val="sr-Cyrl-CS"/>
        </w:rPr>
        <w:tab/>
      </w:r>
      <w:r w:rsidR="00210FE0" w:rsidRPr="00895819">
        <w:rPr>
          <w:lang w:val="sr-Cyrl-CS"/>
        </w:rPr>
        <w:t xml:space="preserve">Свака страна неће открити садржај овог </w:t>
      </w:r>
      <w:r w:rsidR="00892068" w:rsidRPr="00895819">
        <w:rPr>
          <w:lang w:val="sr-Cyrl-CS"/>
        </w:rPr>
        <w:t>у</w:t>
      </w:r>
      <w:r w:rsidR="00210FE0" w:rsidRPr="00895819">
        <w:rPr>
          <w:lang w:val="sr-Cyrl-CS"/>
        </w:rPr>
        <w:t>говора ниједној трећој страни без претходне сагласности друге Стране осим било ком лицу коме Страна има обавезу обелодањивања према било ком важећем закону, пропису или судској пресуди</w:t>
      </w:r>
      <w:r w:rsidR="00B16F8D" w:rsidRPr="00895819">
        <w:rPr>
          <w:lang w:val="sr-Cyrl-CS"/>
        </w:rPr>
        <w:t>.</w:t>
      </w:r>
    </w:p>
    <w:p w14:paraId="5B6820D2" w14:textId="701547E2" w:rsidR="00B16F8D" w:rsidRPr="00895819" w:rsidRDefault="00B108B7" w:rsidP="00B108B7">
      <w:pPr>
        <w:pStyle w:val="AATitre4"/>
        <w:numPr>
          <w:ilvl w:val="0"/>
          <w:numId w:val="0"/>
        </w:numPr>
        <w:ind w:left="1440" w:hanging="720"/>
        <w:rPr>
          <w:lang w:val="sr-Cyrl-CS"/>
        </w:rPr>
      </w:pPr>
      <w:r w:rsidRPr="00895819">
        <w:rPr>
          <w:lang w:val="sr-Cyrl-CS"/>
        </w:rPr>
        <w:t>(б)</w:t>
      </w:r>
      <w:r w:rsidRPr="00895819">
        <w:rPr>
          <w:lang w:val="sr-Cyrl-CS"/>
        </w:rPr>
        <w:tab/>
      </w:r>
      <w:r w:rsidR="00210FE0" w:rsidRPr="00895819">
        <w:rPr>
          <w:lang w:val="sr-Cyrl-CS"/>
        </w:rPr>
        <w:t>Поред тога, Зајмодавац може открити било какве информације или документе у вези са Операцијом</w:t>
      </w:r>
      <w:r w:rsidR="00B16F8D" w:rsidRPr="00895819">
        <w:rPr>
          <w:lang w:val="sr-Cyrl-CS"/>
        </w:rPr>
        <w:t xml:space="preserve">: (i) </w:t>
      </w:r>
      <w:r w:rsidR="00210FE0" w:rsidRPr="00895819">
        <w:rPr>
          <w:lang w:val="sr-Cyrl-CS"/>
        </w:rPr>
        <w:t>својим ревизорима, стручњацима, рејтинг агенцијама, правним саветницима или надзорним телима; (ii) било ком лицу или субјекту коме Зајмодавац може доделити или пренети сва или део својих права или обавеза према Уговору; и</w:t>
      </w:r>
      <w:r w:rsidR="00B16F8D" w:rsidRPr="00895819">
        <w:rPr>
          <w:lang w:val="sr-Cyrl-CS"/>
        </w:rPr>
        <w:t xml:space="preserve"> (iii) </w:t>
      </w:r>
      <w:r w:rsidR="00283F52" w:rsidRPr="00895819">
        <w:rPr>
          <w:lang w:val="sr-Cyrl-CS"/>
        </w:rPr>
        <w:t xml:space="preserve">било ком лицу или субјекту у циљу предузимања било каквих заштитних мера или очувања права Зајмодаваца према Уговору; </w:t>
      </w:r>
      <w:r w:rsidR="006716A4" w:rsidRPr="00895819">
        <w:rPr>
          <w:lang w:val="sr-Cyrl-CS"/>
        </w:rPr>
        <w:t>и</w:t>
      </w:r>
      <w:r w:rsidR="00B16F8D" w:rsidRPr="00895819">
        <w:rPr>
          <w:lang w:val="sr-Cyrl-CS"/>
        </w:rPr>
        <w:t xml:space="preserve"> (iv) </w:t>
      </w:r>
      <w:r w:rsidR="00283F52" w:rsidRPr="00895819">
        <w:rPr>
          <w:lang w:val="sr-Cyrl-CS"/>
        </w:rPr>
        <w:t>сваком Суфинансијеру</w:t>
      </w:r>
      <w:r w:rsidR="00B16F8D" w:rsidRPr="00895819">
        <w:rPr>
          <w:lang w:val="sr-Cyrl-CS"/>
        </w:rPr>
        <w:t>.</w:t>
      </w:r>
    </w:p>
    <w:p w14:paraId="44BFF127" w14:textId="295F5318" w:rsidR="00B16F8D" w:rsidRPr="00895819" w:rsidRDefault="00B108B7" w:rsidP="00B108B7">
      <w:pPr>
        <w:pStyle w:val="AATitre4"/>
        <w:numPr>
          <w:ilvl w:val="0"/>
          <w:numId w:val="0"/>
        </w:numPr>
        <w:ind w:left="1440" w:hanging="720"/>
        <w:rPr>
          <w:lang w:val="sr-Cyrl-CS"/>
        </w:rPr>
      </w:pPr>
      <w:r w:rsidRPr="00895819">
        <w:rPr>
          <w:lang w:val="sr-Cyrl-CS"/>
        </w:rPr>
        <w:t>(ц)</w:t>
      </w:r>
      <w:r w:rsidRPr="00895819">
        <w:rPr>
          <w:lang w:val="sr-Cyrl-CS"/>
        </w:rPr>
        <w:tab/>
      </w:r>
      <w:r w:rsidR="00283F52" w:rsidRPr="00895819">
        <w:rPr>
          <w:lang w:val="sr-Cyrl-CS"/>
        </w:rPr>
        <w:t>Поред тога, Зајмопримац овим изричито овлашћује Зајмодавац да</w:t>
      </w:r>
      <w:r w:rsidR="00B16F8D" w:rsidRPr="00895819">
        <w:rPr>
          <w:lang w:val="sr-Cyrl-CS"/>
        </w:rPr>
        <w:t>:</w:t>
      </w:r>
    </w:p>
    <w:p w14:paraId="12934F58" w14:textId="77777777" w:rsidR="00B16F8D" w:rsidRPr="00895819" w:rsidRDefault="00283F52" w:rsidP="00B16F8D">
      <w:pPr>
        <w:pStyle w:val="AATitre4"/>
        <w:numPr>
          <w:ilvl w:val="3"/>
          <w:numId w:val="39"/>
        </w:numPr>
        <w:tabs>
          <w:tab w:val="left" w:pos="1276"/>
          <w:tab w:val="left" w:pos="1843"/>
        </w:tabs>
        <w:ind w:left="1843" w:hanging="567"/>
        <w:rPr>
          <w:lang w:val="sr-Cyrl-CS"/>
        </w:rPr>
      </w:pPr>
      <w:r w:rsidRPr="00895819">
        <w:rPr>
          <w:lang w:val="sr-Cyrl-CS"/>
        </w:rPr>
        <w:t>размењује са Републиком Француском за потребе објављивања на интернет страници француске владе у складу са било којим захтевом Иницијативе за транспарентност међународне помоћи</w:t>
      </w:r>
      <w:r w:rsidR="00B16F8D" w:rsidRPr="00895819">
        <w:rPr>
          <w:lang w:val="sr-Cyrl-CS"/>
        </w:rPr>
        <w:t xml:space="preserve">; </w:t>
      </w:r>
      <w:r w:rsidR="00674DB7" w:rsidRPr="00895819">
        <w:rPr>
          <w:lang w:val="sr-Cyrl-CS"/>
        </w:rPr>
        <w:t>и</w:t>
      </w:r>
    </w:p>
    <w:p w14:paraId="3857A535" w14:textId="77777777" w:rsidR="00B16F8D" w:rsidRPr="00895819" w:rsidRDefault="00B16F8D" w:rsidP="00B16F8D">
      <w:pPr>
        <w:pStyle w:val="AltAATitre4"/>
        <w:tabs>
          <w:tab w:val="left" w:pos="1276"/>
          <w:tab w:val="left" w:pos="1843"/>
        </w:tabs>
        <w:ind w:left="1843" w:hanging="567"/>
        <w:rPr>
          <w:lang w:val="sr-Cyrl-CS"/>
        </w:rPr>
      </w:pPr>
      <w:r w:rsidRPr="00895819">
        <w:rPr>
          <w:lang w:val="sr-Cyrl-CS"/>
        </w:rPr>
        <w:t xml:space="preserve">(ii) </w:t>
      </w:r>
      <w:r w:rsidRPr="00895819">
        <w:rPr>
          <w:lang w:val="sr-Cyrl-CS"/>
        </w:rPr>
        <w:tab/>
      </w:r>
      <w:r w:rsidR="00674DB7" w:rsidRPr="00895819">
        <w:rPr>
          <w:lang w:val="sr-Cyrl-CS"/>
        </w:rPr>
        <w:t>објављује на интернет страници Зајмодавца</w:t>
      </w:r>
      <w:r w:rsidRPr="00895819">
        <w:rPr>
          <w:lang w:val="sr-Cyrl-CS"/>
        </w:rPr>
        <w:t>;</w:t>
      </w:r>
    </w:p>
    <w:p w14:paraId="1569AB9D" w14:textId="19579268" w:rsidR="00B16F8D" w:rsidRPr="00895819" w:rsidRDefault="00674DB7" w:rsidP="00B16F8D">
      <w:pPr>
        <w:pStyle w:val="AltAATitre4"/>
        <w:tabs>
          <w:tab w:val="left" w:pos="1276"/>
        </w:tabs>
        <w:ind w:left="1276"/>
        <w:rPr>
          <w:i/>
          <w:lang w:val="sr-Cyrl-CS"/>
        </w:rPr>
      </w:pPr>
      <w:r w:rsidRPr="00895819">
        <w:rPr>
          <w:lang w:val="sr-Cyrl-CS"/>
        </w:rPr>
        <w:t xml:space="preserve">информације које се односе на Операцију и њено финансирање као што је дато у Прилогу </w:t>
      </w:r>
      <w:r w:rsidR="00924CFD" w:rsidRPr="00895819">
        <w:rPr>
          <w:lang w:val="sr-Cyrl-CS"/>
        </w:rPr>
        <w:t>6</w:t>
      </w:r>
      <w:r w:rsidR="00B16F8D" w:rsidRPr="00895819">
        <w:rPr>
          <w:lang w:val="sr-Cyrl-CS"/>
        </w:rPr>
        <w:t xml:space="preserve"> (</w:t>
      </w:r>
      <w:r w:rsidRPr="00895819">
        <w:rPr>
          <w:i/>
          <w:lang w:val="sr-Cyrl-CS"/>
        </w:rPr>
        <w:t>Информације које се могу објавити на интернет страници</w:t>
      </w:r>
      <w:r w:rsidR="00B108B7" w:rsidRPr="00895819">
        <w:rPr>
          <w:i/>
          <w:lang w:val="sr-Cyrl-CS"/>
        </w:rPr>
        <w:t xml:space="preserve"> Владе Ф</w:t>
      </w:r>
      <w:r w:rsidRPr="00895819">
        <w:rPr>
          <w:i/>
          <w:lang w:val="sr-Cyrl-CS"/>
        </w:rPr>
        <w:t>ранцуске и интернет страници Зајмодавца</w:t>
      </w:r>
      <w:r w:rsidR="00B16F8D" w:rsidRPr="00895819">
        <w:rPr>
          <w:lang w:val="sr-Cyrl-CS"/>
        </w:rPr>
        <w:t>)</w:t>
      </w:r>
      <w:r w:rsidR="00B16F8D" w:rsidRPr="00895819">
        <w:rPr>
          <w:i/>
          <w:lang w:val="sr-Cyrl-CS"/>
        </w:rPr>
        <w:t>.</w:t>
      </w:r>
    </w:p>
    <w:p w14:paraId="11E952D8" w14:textId="77777777" w:rsidR="00B16F8D" w:rsidRPr="00895819" w:rsidRDefault="009869C1" w:rsidP="000F181A">
      <w:pPr>
        <w:pStyle w:val="AATitre2"/>
        <w:rPr>
          <w:lang w:val="sr-Cyrl-CS"/>
        </w:rPr>
      </w:pPr>
      <w:bookmarkStart w:id="147" w:name="_Toc135947223"/>
      <w:r w:rsidRPr="00895819">
        <w:rPr>
          <w:lang w:val="sr-Cyrl-CS"/>
        </w:rPr>
        <w:lastRenderedPageBreak/>
        <w:t>Застарелост</w:t>
      </w:r>
      <w:bookmarkEnd w:id="147"/>
      <w:r w:rsidR="00B16F8D" w:rsidRPr="00895819">
        <w:rPr>
          <w:lang w:val="sr-Cyrl-CS"/>
        </w:rPr>
        <w:t xml:space="preserve"> </w:t>
      </w:r>
    </w:p>
    <w:p w14:paraId="3F1BF3C6" w14:textId="053C7BED" w:rsidR="00B16F8D" w:rsidRPr="00895819" w:rsidRDefault="00674DB7" w:rsidP="00B16F8D">
      <w:pPr>
        <w:pStyle w:val="BodyText"/>
        <w:ind w:left="709"/>
        <w:rPr>
          <w:rFonts w:cs="Times New Roman"/>
          <w:bCs w:val="0"/>
          <w:color w:val="000000"/>
          <w:szCs w:val="22"/>
          <w:lang w:val="sr-Cyrl-CS"/>
        </w:rPr>
      </w:pPr>
      <w:r w:rsidRPr="00895819">
        <w:rPr>
          <w:rFonts w:cs="Times New Roman"/>
          <w:bCs w:val="0"/>
          <w:color w:val="000000"/>
          <w:szCs w:val="22"/>
          <w:lang w:val="sr-Cyrl-CS"/>
        </w:rPr>
        <w:t xml:space="preserve">Застара било ког потраживања по овом </w:t>
      </w:r>
      <w:r w:rsidR="00892068" w:rsidRPr="00895819">
        <w:rPr>
          <w:rFonts w:cs="Times New Roman"/>
          <w:bCs w:val="0"/>
          <w:color w:val="000000"/>
          <w:szCs w:val="22"/>
          <w:lang w:val="sr-Cyrl-CS"/>
        </w:rPr>
        <w:t>у</w:t>
      </w:r>
      <w:r w:rsidRPr="00895819">
        <w:rPr>
          <w:rFonts w:cs="Times New Roman"/>
          <w:bCs w:val="0"/>
          <w:color w:val="000000"/>
          <w:szCs w:val="22"/>
          <w:lang w:val="sr-Cyrl-CS"/>
        </w:rPr>
        <w:t xml:space="preserve">говору биће десет (10) година, осим сваког потраживања камате доспеле по овом </w:t>
      </w:r>
      <w:r w:rsidR="00892068" w:rsidRPr="00895819">
        <w:rPr>
          <w:rFonts w:cs="Times New Roman"/>
          <w:bCs w:val="0"/>
          <w:color w:val="000000"/>
          <w:szCs w:val="22"/>
          <w:lang w:val="sr-Cyrl-CS"/>
        </w:rPr>
        <w:t>у</w:t>
      </w:r>
      <w:r w:rsidRPr="00895819">
        <w:rPr>
          <w:rFonts w:cs="Times New Roman"/>
          <w:bCs w:val="0"/>
          <w:color w:val="000000"/>
          <w:szCs w:val="22"/>
          <w:lang w:val="sr-Cyrl-CS"/>
        </w:rPr>
        <w:t>говору</w:t>
      </w:r>
      <w:r w:rsidR="00B16F8D" w:rsidRPr="00895819">
        <w:rPr>
          <w:rFonts w:cs="Times New Roman"/>
          <w:bCs w:val="0"/>
          <w:color w:val="000000"/>
          <w:szCs w:val="22"/>
          <w:lang w:val="sr-Cyrl-CS"/>
        </w:rPr>
        <w:t>.</w:t>
      </w:r>
    </w:p>
    <w:p w14:paraId="2E63BB76" w14:textId="77777777" w:rsidR="00B16F8D" w:rsidRPr="00895819" w:rsidRDefault="00674DB7" w:rsidP="000F181A">
      <w:pPr>
        <w:pStyle w:val="AATitre2"/>
        <w:rPr>
          <w:lang w:val="sr-Cyrl-CS"/>
        </w:rPr>
      </w:pPr>
      <w:bookmarkStart w:id="148" w:name="_Toc135947224"/>
      <w:r w:rsidRPr="00895819">
        <w:rPr>
          <w:lang w:val="sr-Cyrl-CS"/>
        </w:rPr>
        <w:t>Промењене околности</w:t>
      </w:r>
      <w:bookmarkEnd w:id="148"/>
    </w:p>
    <w:p w14:paraId="431B711D" w14:textId="77777777" w:rsidR="00B16F8D" w:rsidRPr="00895819" w:rsidRDefault="00674DB7" w:rsidP="00B16F8D">
      <w:pPr>
        <w:pStyle w:val="BodyText"/>
        <w:ind w:left="709"/>
        <w:rPr>
          <w:rFonts w:cs="Times New Roman"/>
          <w:bCs w:val="0"/>
          <w:szCs w:val="22"/>
          <w:lang w:val="sr-Cyrl-CS"/>
        </w:rPr>
      </w:pPr>
      <w:r w:rsidRPr="00895819">
        <w:rPr>
          <w:lang w:val="sr-Cyrl-CS"/>
        </w:rPr>
        <w:t xml:space="preserve">Свака странка овим потврђује да се одредбе члана 1195 </w:t>
      </w:r>
      <w:bookmarkStart w:id="149" w:name="_Hlk60079774"/>
      <w:r w:rsidRPr="00895819">
        <w:rPr>
          <w:lang w:val="sr-Cyrl-CS"/>
        </w:rPr>
        <w:t>француског грађанског законика</w:t>
      </w:r>
      <w:bookmarkEnd w:id="149"/>
      <w:r w:rsidRPr="00895819">
        <w:rPr>
          <w:lang w:val="sr-Cyrl-CS"/>
        </w:rPr>
        <w:t xml:space="preserve"> неће примењивати на њу у погледу њених обавеза према Уговору и неће имати право да поднесе било какав захтев према члану 1195 француског грађанског законика</w:t>
      </w:r>
      <w:r w:rsidR="00B16F8D" w:rsidRPr="00895819">
        <w:rPr>
          <w:lang w:val="sr-Cyrl-CS"/>
        </w:rPr>
        <w:t xml:space="preserve">. </w:t>
      </w:r>
    </w:p>
    <w:p w14:paraId="0ECF37CF" w14:textId="77777777" w:rsidR="00B16F8D" w:rsidRPr="00895819" w:rsidRDefault="003E619A" w:rsidP="00A32298">
      <w:pPr>
        <w:pStyle w:val="AATitre1"/>
        <w:rPr>
          <w:lang w:val="sr-Cyrl-CS"/>
        </w:rPr>
      </w:pPr>
      <w:bookmarkStart w:id="150" w:name="_Toc135947225"/>
      <w:r w:rsidRPr="00895819">
        <w:rPr>
          <w:lang w:val="sr-Cyrl-CS"/>
        </w:rPr>
        <w:t>ОБАВЕШТЕЊА</w:t>
      </w:r>
      <w:bookmarkEnd w:id="150"/>
    </w:p>
    <w:p w14:paraId="3E9CC49C" w14:textId="77777777" w:rsidR="00B16F8D" w:rsidRPr="00895819" w:rsidRDefault="00E25B3E" w:rsidP="000F181A">
      <w:pPr>
        <w:pStyle w:val="AATitre2"/>
        <w:rPr>
          <w:u w:val="none"/>
          <w:lang w:val="sr-Cyrl-CS"/>
        </w:rPr>
      </w:pPr>
      <w:bookmarkStart w:id="151" w:name="_Toc135947226"/>
      <w:r w:rsidRPr="00895819">
        <w:rPr>
          <w:lang w:val="sr-Cyrl-CS"/>
        </w:rPr>
        <w:t>Пис</w:t>
      </w:r>
      <w:r w:rsidR="008E5ADB" w:rsidRPr="00895819">
        <w:rPr>
          <w:lang w:val="sr-Cyrl-CS"/>
        </w:rPr>
        <w:t>ме</w:t>
      </w:r>
      <w:r w:rsidRPr="00895819">
        <w:rPr>
          <w:lang w:val="sr-Cyrl-CS"/>
        </w:rPr>
        <w:t>на комуникација и адресе</w:t>
      </w:r>
      <w:bookmarkEnd w:id="151"/>
    </w:p>
    <w:p w14:paraId="1F2F684B" w14:textId="496DDC45" w:rsidR="00B16F8D" w:rsidRPr="00895819" w:rsidRDefault="00E25B3E" w:rsidP="00B16F8D">
      <w:pPr>
        <w:pStyle w:val="BodyText1"/>
        <w:rPr>
          <w:lang w:val="sr-Cyrl-CS"/>
        </w:rPr>
      </w:pPr>
      <w:r w:rsidRPr="00895819">
        <w:rPr>
          <w:lang w:val="sr-Cyrl-CS"/>
        </w:rPr>
        <w:t xml:space="preserve">Сва обавештења, захтеви и други дописи који се достављају или шаљу у складу или у вези са овим </w:t>
      </w:r>
      <w:r w:rsidR="00892068" w:rsidRPr="00895819">
        <w:rPr>
          <w:lang w:val="sr-Cyrl-CS"/>
        </w:rPr>
        <w:t>у</w:t>
      </w:r>
      <w:r w:rsidRPr="00895819">
        <w:rPr>
          <w:lang w:val="sr-Cyrl-CS"/>
        </w:rPr>
        <w:t>говором достављају се или шаљу у писменом облику и, осим ако није наведено другачије, могу се доставити или послати телефаксом или писмом послатим поштом на број односно адресу одговарајуће Стране из даљег текста</w:t>
      </w:r>
      <w:r w:rsidR="00B16F8D" w:rsidRPr="00895819">
        <w:rPr>
          <w:lang w:val="sr-Cyrl-CS"/>
        </w:rPr>
        <w:t>:</w:t>
      </w:r>
    </w:p>
    <w:p w14:paraId="78C0D3FE" w14:textId="77777777" w:rsidR="00B16F8D" w:rsidRPr="00895819" w:rsidRDefault="00E25B3E" w:rsidP="00B16F8D">
      <w:pPr>
        <w:pStyle w:val="BodyText1"/>
        <w:rPr>
          <w:lang w:val="sr-Cyrl-CS"/>
        </w:rPr>
      </w:pPr>
      <w:r w:rsidRPr="00895819">
        <w:rPr>
          <w:lang w:val="sr-Cyrl-CS"/>
        </w:rPr>
        <w:t>За Зајмопримца</w:t>
      </w:r>
      <w:r w:rsidR="00B16F8D" w:rsidRPr="00895819">
        <w:rPr>
          <w:lang w:val="sr-Cyrl-CS"/>
        </w:rPr>
        <w:t>:</w:t>
      </w:r>
    </w:p>
    <w:p w14:paraId="1891B3CF" w14:textId="77777777" w:rsidR="00B16F8D" w:rsidRPr="00895819" w:rsidRDefault="00E25B3E" w:rsidP="00B16F8D">
      <w:pPr>
        <w:pStyle w:val="BodyText1"/>
        <w:rPr>
          <w:lang w:val="sr-Cyrl-CS"/>
        </w:rPr>
      </w:pPr>
      <w:r w:rsidRPr="00895819">
        <w:rPr>
          <w:b/>
          <w:lang w:val="sr-Cyrl-CS"/>
        </w:rPr>
        <w:t>МИНИСТАРСТВО ФИНАНСИЈА</w:t>
      </w:r>
    </w:p>
    <w:p w14:paraId="28ABBB7B" w14:textId="77777777" w:rsidR="00B16F8D" w:rsidRPr="00895819" w:rsidRDefault="00E25B3E" w:rsidP="00B16F8D">
      <w:pPr>
        <w:pStyle w:val="BodyText1"/>
        <w:rPr>
          <w:lang w:val="sr-Cyrl-CS"/>
        </w:rPr>
      </w:pPr>
      <w:r w:rsidRPr="00895819">
        <w:rPr>
          <w:lang w:val="sr-Cyrl-CS"/>
        </w:rPr>
        <w:t xml:space="preserve">Адреса: </w:t>
      </w:r>
      <w:r w:rsidRPr="00895819">
        <w:rPr>
          <w:lang w:val="sr-Cyrl-CS"/>
        </w:rPr>
        <w:tab/>
        <w:t>Кнеза Милоша 20, 11000 Београд</w:t>
      </w:r>
    </w:p>
    <w:p w14:paraId="5F4428C3" w14:textId="77777777" w:rsidR="00B16F8D" w:rsidRPr="00895819" w:rsidRDefault="00E25B3E" w:rsidP="00B16F8D">
      <w:pPr>
        <w:pStyle w:val="BodyText1"/>
        <w:rPr>
          <w:lang w:val="sr-Cyrl-CS"/>
        </w:rPr>
      </w:pPr>
      <w:r w:rsidRPr="00895819">
        <w:rPr>
          <w:lang w:val="sr-Cyrl-CS"/>
        </w:rPr>
        <w:t>Телефон</w:t>
      </w:r>
      <w:r w:rsidR="00B16F8D" w:rsidRPr="00895819">
        <w:rPr>
          <w:lang w:val="sr-Cyrl-CS"/>
        </w:rPr>
        <w:t xml:space="preserve">: </w:t>
      </w:r>
      <w:r w:rsidR="00B16F8D" w:rsidRPr="00895819">
        <w:rPr>
          <w:lang w:val="sr-Cyrl-CS"/>
        </w:rPr>
        <w:tab/>
        <w:t xml:space="preserve">(381-11) </w:t>
      </w:r>
      <w:r w:rsidR="00AA1224" w:rsidRPr="00895819">
        <w:rPr>
          <w:lang w:val="sr-Cyrl-CS"/>
        </w:rPr>
        <w:t>765 2407</w:t>
      </w:r>
    </w:p>
    <w:p w14:paraId="54DC9AD4" w14:textId="77777777" w:rsidR="00B16F8D" w:rsidRPr="00895819" w:rsidRDefault="00E25B3E" w:rsidP="00B16F8D">
      <w:pPr>
        <w:pStyle w:val="BodyText1"/>
        <w:rPr>
          <w:lang w:val="sr-Cyrl-CS"/>
        </w:rPr>
      </w:pPr>
      <w:r w:rsidRPr="00895819">
        <w:rPr>
          <w:lang w:val="sr-Cyrl-CS"/>
        </w:rPr>
        <w:t>Телефакс</w:t>
      </w:r>
      <w:r w:rsidR="00B16F8D" w:rsidRPr="00895819">
        <w:rPr>
          <w:lang w:val="sr-Cyrl-CS"/>
        </w:rPr>
        <w:t xml:space="preserve">: </w:t>
      </w:r>
      <w:r w:rsidR="00B16F8D" w:rsidRPr="00895819">
        <w:rPr>
          <w:lang w:val="sr-Cyrl-CS"/>
        </w:rPr>
        <w:tab/>
        <w:t>(381-11) 3618-961</w:t>
      </w:r>
    </w:p>
    <w:p w14:paraId="2E2C96A0" w14:textId="77777777" w:rsidR="00B16F8D" w:rsidRPr="00895819" w:rsidRDefault="00E25B3E" w:rsidP="00B16F8D">
      <w:pPr>
        <w:pStyle w:val="BodyText1"/>
        <w:rPr>
          <w:lang w:val="sr-Cyrl-CS"/>
        </w:rPr>
      </w:pPr>
      <w:r w:rsidRPr="00895819">
        <w:rPr>
          <w:lang w:val="sr-Cyrl-CS"/>
        </w:rPr>
        <w:t>Електронска</w:t>
      </w:r>
      <w:r w:rsidRPr="00895819">
        <w:rPr>
          <w:lang w:val="sr-Cyrl-CS"/>
        </w:rPr>
        <w:br/>
        <w:t>пошта</w:t>
      </w:r>
      <w:r w:rsidR="00B16F8D" w:rsidRPr="00895819">
        <w:rPr>
          <w:lang w:val="sr-Cyrl-CS"/>
        </w:rPr>
        <w:t xml:space="preserve">: </w:t>
      </w:r>
      <w:r w:rsidRPr="00895819">
        <w:rPr>
          <w:lang w:val="sr-Cyrl-CS"/>
        </w:rPr>
        <w:tab/>
      </w:r>
      <w:r w:rsidR="00B16F8D" w:rsidRPr="00895819">
        <w:rPr>
          <w:lang w:val="sr-Cyrl-CS"/>
        </w:rPr>
        <w:t>kabinet@mfin.gov.rs</w:t>
      </w:r>
    </w:p>
    <w:p w14:paraId="7F9B4945" w14:textId="77777777" w:rsidR="00B16F8D" w:rsidRPr="00895819" w:rsidRDefault="00E25B3E" w:rsidP="00B16F8D">
      <w:pPr>
        <w:pStyle w:val="BodyText1"/>
        <w:rPr>
          <w:lang w:val="sr-Cyrl-CS"/>
        </w:rPr>
      </w:pPr>
      <w:r w:rsidRPr="00895819">
        <w:rPr>
          <w:lang w:val="sr-Cyrl-CS"/>
        </w:rPr>
        <w:t>На пажњу</w:t>
      </w:r>
      <w:r w:rsidR="00B16F8D" w:rsidRPr="00895819">
        <w:rPr>
          <w:lang w:val="sr-Cyrl-CS"/>
        </w:rPr>
        <w:t xml:space="preserve">: </w:t>
      </w:r>
      <w:r w:rsidR="00B16F8D" w:rsidRPr="00895819">
        <w:rPr>
          <w:lang w:val="sr-Cyrl-CS"/>
        </w:rPr>
        <w:tab/>
      </w:r>
      <w:r w:rsidRPr="00895819">
        <w:rPr>
          <w:lang w:val="sr-Cyrl-CS"/>
        </w:rPr>
        <w:t>Министар финансија</w:t>
      </w:r>
      <w:r w:rsidR="00B16F8D" w:rsidRPr="00895819">
        <w:rPr>
          <w:lang w:val="sr-Cyrl-CS"/>
        </w:rPr>
        <w:t xml:space="preserve"> </w:t>
      </w:r>
    </w:p>
    <w:p w14:paraId="0356D168" w14:textId="77777777" w:rsidR="00B16F8D" w:rsidRPr="00895819" w:rsidRDefault="00E25B3E" w:rsidP="00B16F8D">
      <w:pPr>
        <w:pStyle w:val="BodyText1"/>
        <w:rPr>
          <w:lang w:val="sr-Cyrl-CS"/>
        </w:rPr>
      </w:pPr>
      <w:r w:rsidRPr="00895819">
        <w:rPr>
          <w:lang w:val="sr-Cyrl-CS"/>
        </w:rPr>
        <w:t>За Зајмодавца</w:t>
      </w:r>
      <w:r w:rsidR="00B16F8D" w:rsidRPr="00895819">
        <w:rPr>
          <w:lang w:val="sr-Cyrl-CS"/>
        </w:rPr>
        <w:t>:</w:t>
      </w:r>
    </w:p>
    <w:p w14:paraId="34AC47A4" w14:textId="1FD67954" w:rsidR="00B16F8D" w:rsidRPr="00895819" w:rsidRDefault="00E25B3E" w:rsidP="00B16F8D">
      <w:pPr>
        <w:pStyle w:val="BodyText1"/>
        <w:rPr>
          <w:b/>
          <w:lang w:val="sr-Cyrl-CS"/>
        </w:rPr>
      </w:pPr>
      <w:r w:rsidRPr="00895819">
        <w:rPr>
          <w:b/>
          <w:caps/>
          <w:lang w:val="sr-Cyrl-CS"/>
        </w:rPr>
        <w:t>АФД</w:t>
      </w:r>
      <w:r w:rsidR="00B16F8D" w:rsidRPr="00895819">
        <w:rPr>
          <w:b/>
          <w:caps/>
          <w:lang w:val="sr-Cyrl-CS"/>
        </w:rPr>
        <w:t xml:space="preserve"> –</w:t>
      </w:r>
      <w:r w:rsidRPr="00895819">
        <w:rPr>
          <w:b/>
          <w:caps/>
          <w:lang w:val="sr-Cyrl-CS"/>
        </w:rPr>
        <w:t>РЕГИОНАЛНА КАНЦЕЛАРИЈА ЗА ЗАПАДНИ Б</w:t>
      </w:r>
      <w:r w:rsidR="009E5C1A">
        <w:rPr>
          <w:b/>
          <w:caps/>
          <w:lang w:val="sr-Cyrl-CS"/>
        </w:rPr>
        <w:t>АЛ</w:t>
      </w:r>
      <w:r w:rsidRPr="00895819">
        <w:rPr>
          <w:b/>
          <w:caps/>
          <w:lang w:val="sr-Cyrl-CS"/>
        </w:rPr>
        <w:t>КАН</w:t>
      </w:r>
    </w:p>
    <w:p w14:paraId="504535A5" w14:textId="77777777" w:rsidR="00B16F8D" w:rsidRPr="00895819" w:rsidRDefault="00373FC5" w:rsidP="00B16F8D">
      <w:pPr>
        <w:pStyle w:val="BodyText1"/>
        <w:rPr>
          <w:lang w:val="sr-Cyrl-CS"/>
        </w:rPr>
      </w:pPr>
      <w:r w:rsidRPr="00895819">
        <w:rPr>
          <w:lang w:val="sr-Cyrl-CS"/>
        </w:rPr>
        <w:t>Адреса</w:t>
      </w:r>
      <w:r w:rsidR="00B16F8D" w:rsidRPr="00895819">
        <w:rPr>
          <w:lang w:val="sr-Cyrl-CS"/>
        </w:rPr>
        <w:t xml:space="preserve">: </w:t>
      </w:r>
      <w:r w:rsidR="00B16F8D" w:rsidRPr="00895819">
        <w:rPr>
          <w:lang w:val="sr-Cyrl-CS"/>
        </w:rPr>
        <w:tab/>
      </w:r>
      <w:r w:rsidRPr="00895819">
        <w:rPr>
          <w:lang w:val="sr-Cyrl-CS"/>
        </w:rPr>
        <w:t>Змај Јовина 11, 11000 Београд, Република Србија</w:t>
      </w:r>
    </w:p>
    <w:p w14:paraId="0A27D755" w14:textId="4500A819" w:rsidR="00B16F8D" w:rsidRPr="00895819" w:rsidRDefault="00373FC5" w:rsidP="00B16F8D">
      <w:pPr>
        <w:pStyle w:val="BodyText1"/>
        <w:rPr>
          <w:lang w:val="sr-Cyrl-CS"/>
        </w:rPr>
      </w:pPr>
      <w:r w:rsidRPr="00895819">
        <w:rPr>
          <w:lang w:val="sr-Cyrl-CS"/>
        </w:rPr>
        <w:t>Телефон</w:t>
      </w:r>
      <w:r w:rsidR="00B16F8D" w:rsidRPr="00895819">
        <w:rPr>
          <w:lang w:val="sr-Cyrl-CS"/>
        </w:rPr>
        <w:t xml:space="preserve">: </w:t>
      </w:r>
      <w:r w:rsidR="00B16F8D" w:rsidRPr="00895819">
        <w:rPr>
          <w:lang w:val="sr-Cyrl-CS"/>
        </w:rPr>
        <w:tab/>
        <w:t>+(381) 11</w:t>
      </w:r>
      <w:r w:rsidR="009F481B" w:rsidRPr="00895819">
        <w:rPr>
          <w:lang w:val="sr-Cyrl-CS"/>
        </w:rPr>
        <w:t>.</w:t>
      </w:r>
      <w:r w:rsidR="00B16F8D" w:rsidRPr="00895819">
        <w:rPr>
          <w:lang w:val="sr-Cyrl-CS"/>
        </w:rPr>
        <w:t>78</w:t>
      </w:r>
      <w:r w:rsidR="009F481B" w:rsidRPr="00895819">
        <w:rPr>
          <w:lang w:val="sr-Cyrl-CS"/>
        </w:rPr>
        <w:t>.</w:t>
      </w:r>
      <w:r w:rsidR="00B16F8D" w:rsidRPr="00895819">
        <w:rPr>
          <w:lang w:val="sr-Cyrl-CS"/>
        </w:rPr>
        <w:t>58</w:t>
      </w:r>
      <w:r w:rsidR="009F481B" w:rsidRPr="00895819">
        <w:rPr>
          <w:lang w:val="sr-Cyrl-CS"/>
        </w:rPr>
        <w:t>.</w:t>
      </w:r>
      <w:r w:rsidR="00B16F8D" w:rsidRPr="00895819">
        <w:rPr>
          <w:lang w:val="sr-Cyrl-CS"/>
        </w:rPr>
        <w:t>830</w:t>
      </w:r>
    </w:p>
    <w:p w14:paraId="357C89EF" w14:textId="77777777" w:rsidR="00B16F8D" w:rsidRPr="00895819" w:rsidRDefault="00373FC5" w:rsidP="00B16F8D">
      <w:pPr>
        <w:pStyle w:val="BodyText1"/>
        <w:rPr>
          <w:lang w:val="sr-Cyrl-CS"/>
        </w:rPr>
      </w:pPr>
      <w:r w:rsidRPr="00895819">
        <w:rPr>
          <w:lang w:val="sr-Cyrl-CS"/>
        </w:rPr>
        <w:t>На пажњу</w:t>
      </w:r>
      <w:r w:rsidR="00B16F8D" w:rsidRPr="00895819">
        <w:rPr>
          <w:lang w:val="sr-Cyrl-CS"/>
        </w:rPr>
        <w:t xml:space="preserve">: </w:t>
      </w:r>
      <w:r w:rsidR="00B16F8D" w:rsidRPr="00895819">
        <w:rPr>
          <w:lang w:val="sr-Cyrl-CS"/>
        </w:rPr>
        <w:tab/>
      </w:r>
      <w:r w:rsidRPr="00895819">
        <w:rPr>
          <w:lang w:val="sr-Cyrl-CS"/>
        </w:rPr>
        <w:t>Директор Регионалне канцеларије за Западни Балкан</w:t>
      </w:r>
    </w:p>
    <w:p w14:paraId="05C45631" w14:textId="77777777" w:rsidR="00B16F8D" w:rsidRPr="00895819" w:rsidRDefault="00373FC5" w:rsidP="00B16F8D">
      <w:pPr>
        <w:pStyle w:val="BodyText1"/>
        <w:rPr>
          <w:lang w:val="sr-Cyrl-CS"/>
        </w:rPr>
      </w:pPr>
      <w:r w:rsidRPr="00895819">
        <w:rPr>
          <w:lang w:val="sr-Cyrl-CS"/>
        </w:rPr>
        <w:t>Примерак се доставља</w:t>
      </w:r>
      <w:r w:rsidR="00B16F8D" w:rsidRPr="00895819">
        <w:rPr>
          <w:lang w:val="sr-Cyrl-CS"/>
        </w:rPr>
        <w:t>:</w:t>
      </w:r>
    </w:p>
    <w:p w14:paraId="582B4A66" w14:textId="77777777" w:rsidR="00B16F8D" w:rsidRPr="00895819" w:rsidRDefault="00373FC5" w:rsidP="00B16F8D">
      <w:pPr>
        <w:pStyle w:val="BodyText1"/>
        <w:rPr>
          <w:lang w:val="sr-Cyrl-CS"/>
        </w:rPr>
      </w:pPr>
      <w:r w:rsidRPr="00895819">
        <w:rPr>
          <w:lang w:val="sr-Cyrl-CS"/>
        </w:rPr>
        <w:t>АФД – ДИРЕКЦИЈА У ПАРИЗУ</w:t>
      </w:r>
    </w:p>
    <w:p w14:paraId="0FD21887" w14:textId="77777777" w:rsidR="00B16F8D" w:rsidRPr="00895819" w:rsidRDefault="00373FC5" w:rsidP="00B16F8D">
      <w:pPr>
        <w:pStyle w:val="BodyText1"/>
        <w:rPr>
          <w:lang w:val="sr-Cyrl-CS"/>
        </w:rPr>
      </w:pPr>
      <w:r w:rsidRPr="00895819">
        <w:rPr>
          <w:lang w:val="sr-Cyrl-CS"/>
        </w:rPr>
        <w:t>Адреса</w:t>
      </w:r>
      <w:r w:rsidR="00B16F8D" w:rsidRPr="00895819">
        <w:rPr>
          <w:lang w:val="sr-Cyrl-CS"/>
        </w:rPr>
        <w:t>:</w:t>
      </w:r>
      <w:r w:rsidR="00B16F8D" w:rsidRPr="00895819">
        <w:rPr>
          <w:lang w:val="sr-Cyrl-CS"/>
        </w:rPr>
        <w:tab/>
        <w:t>5, rue Roland Barthes – 75598 Paris Cedex 12, France</w:t>
      </w:r>
    </w:p>
    <w:p w14:paraId="0A03B4FC" w14:textId="77777777" w:rsidR="00B16F8D" w:rsidRPr="00895819" w:rsidRDefault="00373FC5" w:rsidP="00B16F8D">
      <w:pPr>
        <w:pStyle w:val="BodyText1"/>
        <w:rPr>
          <w:lang w:val="sr-Cyrl-CS"/>
        </w:rPr>
      </w:pPr>
      <w:r w:rsidRPr="00895819">
        <w:rPr>
          <w:lang w:val="sr-Cyrl-CS"/>
        </w:rPr>
        <w:t>Телефон</w:t>
      </w:r>
      <w:r w:rsidR="00B16F8D" w:rsidRPr="00895819">
        <w:rPr>
          <w:lang w:val="sr-Cyrl-CS"/>
        </w:rPr>
        <w:t xml:space="preserve">: </w:t>
      </w:r>
      <w:r w:rsidR="00B16F8D" w:rsidRPr="00895819">
        <w:rPr>
          <w:lang w:val="sr-Cyrl-CS"/>
        </w:rPr>
        <w:tab/>
        <w:t>+ 33 1 53 44 31 31</w:t>
      </w:r>
    </w:p>
    <w:p w14:paraId="4B42D507" w14:textId="77777777" w:rsidR="00B16F8D" w:rsidRPr="00895819" w:rsidRDefault="00373FC5" w:rsidP="00B16F8D">
      <w:pPr>
        <w:pStyle w:val="BodyText1"/>
        <w:rPr>
          <w:lang w:val="sr-Cyrl-CS"/>
        </w:rPr>
      </w:pPr>
      <w:r w:rsidRPr="00895819">
        <w:rPr>
          <w:lang w:val="sr-Cyrl-CS"/>
        </w:rPr>
        <w:t>На пажњу</w:t>
      </w:r>
      <w:r w:rsidR="00B16F8D" w:rsidRPr="00895819">
        <w:rPr>
          <w:lang w:val="sr-Cyrl-CS"/>
        </w:rPr>
        <w:t xml:space="preserve">: </w:t>
      </w:r>
      <w:r w:rsidR="00B16F8D" w:rsidRPr="00895819">
        <w:rPr>
          <w:lang w:val="sr-Cyrl-CS"/>
        </w:rPr>
        <w:tab/>
      </w:r>
      <w:r w:rsidRPr="00895819">
        <w:rPr>
          <w:lang w:val="sr-Cyrl-CS"/>
        </w:rPr>
        <w:t>Директор Сектора за Европу, Блиски Исток и Азију</w:t>
      </w:r>
    </w:p>
    <w:p w14:paraId="5DF35132" w14:textId="77777777" w:rsidR="00B16F8D" w:rsidRPr="00895819" w:rsidRDefault="00373FC5" w:rsidP="00B16F8D">
      <w:pPr>
        <w:pStyle w:val="BodyText1"/>
        <w:rPr>
          <w:lang w:val="sr-Cyrl-CS"/>
        </w:rPr>
      </w:pPr>
      <w:r w:rsidRPr="00895819">
        <w:rPr>
          <w:lang w:val="sr-Cyrl-CS"/>
        </w:rPr>
        <w:lastRenderedPageBreak/>
        <w:t>или на другу адресу или број телефакса или другом сектору или службенику о коме једна Страна обавести другу Страну</w:t>
      </w:r>
      <w:r w:rsidR="00B16F8D" w:rsidRPr="00895819">
        <w:rPr>
          <w:lang w:val="sr-Cyrl-CS"/>
        </w:rPr>
        <w:t>.</w:t>
      </w:r>
    </w:p>
    <w:p w14:paraId="5A7EDB55" w14:textId="77777777" w:rsidR="00B16F8D" w:rsidRPr="00895819" w:rsidRDefault="00B16F8D" w:rsidP="000F181A">
      <w:pPr>
        <w:pStyle w:val="AATitre2"/>
        <w:rPr>
          <w:u w:val="none"/>
          <w:lang w:val="sr-Cyrl-CS"/>
        </w:rPr>
      </w:pPr>
      <w:r w:rsidRPr="00895819" w:rsidDel="00A407C5">
        <w:rPr>
          <w:b/>
          <w:lang w:val="sr-Cyrl-CS"/>
        </w:rPr>
        <w:t xml:space="preserve"> </w:t>
      </w:r>
      <w:bookmarkStart w:id="152" w:name="_Toc135947227"/>
      <w:r w:rsidR="00373FC5" w:rsidRPr="00895819">
        <w:rPr>
          <w:lang w:val="sr-Cyrl-CS"/>
        </w:rPr>
        <w:t>Достава</w:t>
      </w:r>
      <w:bookmarkEnd w:id="152"/>
    </w:p>
    <w:p w14:paraId="4FB1227F" w14:textId="77777777" w:rsidR="00B16F8D" w:rsidRPr="00895819" w:rsidRDefault="00373FC5" w:rsidP="00B16F8D">
      <w:pPr>
        <w:pStyle w:val="BodyText1"/>
        <w:rPr>
          <w:lang w:val="sr-Cyrl-CS"/>
        </w:rPr>
      </w:pPr>
      <w:r w:rsidRPr="00895819">
        <w:rPr>
          <w:lang w:val="sr-Cyrl-CS"/>
        </w:rPr>
        <w:t>Сва обавештења, захтеви и други дописи које једна Страна упућује Другој у вези са Оквирним споразумом производе дејство</w:t>
      </w:r>
      <w:r w:rsidR="00B16F8D" w:rsidRPr="00895819">
        <w:rPr>
          <w:lang w:val="sr-Cyrl-CS"/>
        </w:rPr>
        <w:t>:</w:t>
      </w:r>
    </w:p>
    <w:p w14:paraId="59853B13" w14:textId="06D9D287" w:rsidR="00B16F8D" w:rsidRPr="00895819" w:rsidRDefault="008F7725" w:rsidP="008F7725">
      <w:pPr>
        <w:pStyle w:val="AATitre4"/>
        <w:numPr>
          <w:ilvl w:val="0"/>
          <w:numId w:val="0"/>
        </w:numPr>
        <w:ind w:left="1440" w:hanging="720"/>
        <w:rPr>
          <w:lang w:val="sr-Cyrl-CS"/>
        </w:rPr>
      </w:pPr>
      <w:r w:rsidRPr="00895819">
        <w:rPr>
          <w:lang w:val="sr-Cyrl-CS"/>
        </w:rPr>
        <w:t>(а)</w:t>
      </w:r>
      <w:r w:rsidRPr="00895819">
        <w:rPr>
          <w:lang w:val="sr-Cyrl-CS"/>
        </w:rPr>
        <w:tab/>
      </w:r>
      <w:r w:rsidR="007539A3" w:rsidRPr="00895819">
        <w:rPr>
          <w:lang w:val="sr-Cyrl-CS"/>
        </w:rPr>
        <w:t>у случају да су послата телефаксом, ако се приме у читљивом облику; и</w:t>
      </w:r>
    </w:p>
    <w:p w14:paraId="6738390B" w14:textId="46773B0F" w:rsidR="00B16F8D" w:rsidRPr="00895819" w:rsidRDefault="008F7725" w:rsidP="008F7725">
      <w:pPr>
        <w:pStyle w:val="AATitre4"/>
        <w:numPr>
          <w:ilvl w:val="0"/>
          <w:numId w:val="0"/>
        </w:numPr>
        <w:ind w:left="1440" w:hanging="720"/>
        <w:rPr>
          <w:lang w:val="sr-Cyrl-CS"/>
        </w:rPr>
      </w:pPr>
      <w:r w:rsidRPr="00895819">
        <w:rPr>
          <w:lang w:val="sr-Cyrl-CS"/>
        </w:rPr>
        <w:t>(б)</w:t>
      </w:r>
      <w:r w:rsidRPr="00895819">
        <w:rPr>
          <w:lang w:val="sr-Cyrl-CS"/>
        </w:rPr>
        <w:tab/>
      </w:r>
      <w:r w:rsidR="007539A3" w:rsidRPr="00895819">
        <w:rPr>
          <w:lang w:val="sr-Cyrl-CS"/>
        </w:rPr>
        <w:t>у случају да су послата писмом путем поште, ако се испоруче на тачну адресу</w:t>
      </w:r>
      <w:r w:rsidR="00B16F8D" w:rsidRPr="00895819">
        <w:rPr>
          <w:lang w:val="sr-Cyrl-CS"/>
        </w:rPr>
        <w:t>,</w:t>
      </w:r>
    </w:p>
    <w:p w14:paraId="72F13F79" w14:textId="53C66802" w:rsidR="00B16F8D" w:rsidRPr="00895819" w:rsidRDefault="007539A3" w:rsidP="00B16F8D">
      <w:pPr>
        <w:pStyle w:val="BodyText1"/>
        <w:rPr>
          <w:lang w:val="sr-Cyrl-CS"/>
        </w:rPr>
      </w:pPr>
      <w:r w:rsidRPr="00895819">
        <w:rPr>
          <w:lang w:val="sr-Cyrl-CS"/>
        </w:rPr>
        <w:t>и</w:t>
      </w:r>
      <w:r w:rsidR="00B16F8D" w:rsidRPr="00895819">
        <w:rPr>
          <w:lang w:val="sr-Cyrl-CS"/>
        </w:rPr>
        <w:t xml:space="preserve">, </w:t>
      </w:r>
      <w:r w:rsidRPr="00895819">
        <w:rPr>
          <w:lang w:val="sr-Cyrl-CS"/>
        </w:rPr>
        <w:t>у с</w:t>
      </w:r>
      <w:r w:rsidR="008F7725" w:rsidRPr="00895819">
        <w:rPr>
          <w:lang w:val="sr-Cyrl-CS"/>
        </w:rPr>
        <w:t>лучају да је као део адресе из ч</w:t>
      </w:r>
      <w:r w:rsidRPr="00895819">
        <w:rPr>
          <w:lang w:val="sr-Cyrl-CS"/>
        </w:rPr>
        <w:t>лана</w:t>
      </w:r>
      <w:r w:rsidR="00CB733A" w:rsidRPr="00895819">
        <w:rPr>
          <w:lang w:val="sr-Cyrl-CS"/>
        </w:rPr>
        <w:t xml:space="preserve"> 16.1 (</w:t>
      </w:r>
      <w:r w:rsidRPr="00895819">
        <w:rPr>
          <w:i/>
          <w:lang w:val="sr-Cyrl-CS"/>
        </w:rPr>
        <w:t>Писана комуникација и адресе</w:t>
      </w:r>
      <w:r w:rsidR="00CB733A" w:rsidRPr="00895819">
        <w:rPr>
          <w:lang w:val="sr-Cyrl-CS"/>
        </w:rPr>
        <w:t>)</w:t>
      </w:r>
      <w:r w:rsidR="00B16F8D" w:rsidRPr="00895819">
        <w:rPr>
          <w:lang w:val="sr-Cyrl-CS"/>
        </w:rPr>
        <w:t xml:space="preserve">, </w:t>
      </w:r>
      <w:r w:rsidRPr="00895819">
        <w:rPr>
          <w:lang w:val="sr-Cyrl-CS"/>
        </w:rPr>
        <w:t>наведено одређено лице или сектор, ако је то обавештење, захтев или други допис адресиран на то лице или сектор</w:t>
      </w:r>
      <w:r w:rsidR="00B16F8D" w:rsidRPr="00895819">
        <w:rPr>
          <w:lang w:val="sr-Cyrl-CS"/>
        </w:rPr>
        <w:t>.</w:t>
      </w:r>
    </w:p>
    <w:p w14:paraId="2C1CF50D" w14:textId="77777777" w:rsidR="00B16F8D" w:rsidRPr="00895819" w:rsidRDefault="007539A3" w:rsidP="000F181A">
      <w:pPr>
        <w:pStyle w:val="AATitre2"/>
        <w:rPr>
          <w:u w:val="none"/>
          <w:lang w:val="sr-Cyrl-CS"/>
        </w:rPr>
      </w:pPr>
      <w:bookmarkStart w:id="153" w:name="_Toc135947228"/>
      <w:r w:rsidRPr="00895819">
        <w:rPr>
          <w:lang w:val="sr-Cyrl-CS"/>
        </w:rPr>
        <w:t>Електронска комуникација</w:t>
      </w:r>
      <w:bookmarkEnd w:id="153"/>
    </w:p>
    <w:p w14:paraId="6DF1C35E" w14:textId="09AB7550" w:rsidR="00B16F8D" w:rsidRPr="00895819" w:rsidRDefault="007539A3" w:rsidP="00B16F8D">
      <w:pPr>
        <w:pStyle w:val="AATitre9"/>
        <w:ind w:left="1276" w:hanging="567"/>
        <w:rPr>
          <w:lang w:val="sr-Cyrl-CS"/>
        </w:rPr>
      </w:pPr>
      <w:r w:rsidRPr="00895819">
        <w:rPr>
          <w:lang w:val="sr-Cyrl-CS"/>
        </w:rPr>
        <w:t xml:space="preserve">Сва комуникација коју једно лице упути другом у складу или у вези са овим </w:t>
      </w:r>
      <w:r w:rsidR="00892068" w:rsidRPr="00895819">
        <w:rPr>
          <w:lang w:val="sr-Cyrl-CS"/>
        </w:rPr>
        <w:t>у</w:t>
      </w:r>
      <w:r w:rsidRPr="00895819">
        <w:rPr>
          <w:lang w:val="sr-Cyrl-CS"/>
        </w:rPr>
        <w:t>говором може се упутити електронском поштом или другим електронским средствима ако Стране</w:t>
      </w:r>
      <w:r w:rsidR="00B16F8D" w:rsidRPr="00895819">
        <w:rPr>
          <w:lang w:val="sr-Cyrl-CS"/>
        </w:rPr>
        <w:t>:</w:t>
      </w:r>
    </w:p>
    <w:p w14:paraId="6EE0F092" w14:textId="77777777" w:rsidR="00B16F8D" w:rsidRPr="00895819" w:rsidRDefault="007539A3" w:rsidP="00B16F8D">
      <w:pPr>
        <w:pStyle w:val="AATitre7"/>
        <w:rPr>
          <w:lang w:val="sr-Cyrl-CS"/>
        </w:rPr>
      </w:pPr>
      <w:r w:rsidRPr="00895819">
        <w:rPr>
          <w:lang w:val="sr-Cyrl-CS"/>
        </w:rPr>
        <w:t>сагласе да</w:t>
      </w:r>
      <w:r w:rsidR="00CF4536" w:rsidRPr="00895819">
        <w:rPr>
          <w:lang w:val="sr-Cyrl-CS"/>
        </w:rPr>
        <w:t xml:space="preserve"> је то</w:t>
      </w:r>
      <w:r w:rsidRPr="00895819">
        <w:rPr>
          <w:lang w:val="sr-Cyrl-CS"/>
        </w:rPr>
        <w:t>, осим и док не приме супротно обавештење, прихваћен вид комуникације</w:t>
      </w:r>
      <w:r w:rsidR="00B16F8D" w:rsidRPr="00895819">
        <w:rPr>
          <w:lang w:val="sr-Cyrl-CS"/>
        </w:rPr>
        <w:t>;</w:t>
      </w:r>
    </w:p>
    <w:p w14:paraId="467A01F5" w14:textId="77777777" w:rsidR="00B16F8D" w:rsidRPr="00895819" w:rsidRDefault="007539A3" w:rsidP="00B16F8D">
      <w:pPr>
        <w:pStyle w:val="AATitre7"/>
        <w:rPr>
          <w:lang w:val="sr-Cyrl-CS"/>
        </w:rPr>
      </w:pPr>
      <w:r w:rsidRPr="00895819">
        <w:rPr>
          <w:lang w:val="sr-Cyrl-CS"/>
        </w:rPr>
        <w:t>обавесте писменим путем једна другу о својој адреси електронске поште и/или било којим другим информацијама неопходним за слање и пријем информација тим путем; и</w:t>
      </w:r>
    </w:p>
    <w:p w14:paraId="51A9E3A7" w14:textId="77777777" w:rsidR="00B16F8D" w:rsidRPr="00895819" w:rsidRDefault="007539A3" w:rsidP="00B16F8D">
      <w:pPr>
        <w:pStyle w:val="AATitre7"/>
        <w:rPr>
          <w:lang w:val="sr-Cyrl-CS"/>
        </w:rPr>
      </w:pPr>
      <w:r w:rsidRPr="00895819">
        <w:rPr>
          <w:lang w:val="sr-Cyrl-CS"/>
        </w:rPr>
        <w:t>обавесте једна другу о свакој промени своје адресе или других таквих информација које су размениле</w:t>
      </w:r>
      <w:r w:rsidR="00B16F8D" w:rsidRPr="00895819">
        <w:rPr>
          <w:lang w:val="sr-Cyrl-CS"/>
        </w:rPr>
        <w:t>.</w:t>
      </w:r>
    </w:p>
    <w:p w14:paraId="7D8F5ABA" w14:textId="193B8CBC" w:rsidR="00B16F8D" w:rsidRPr="00895819" w:rsidRDefault="008F7725" w:rsidP="008F7725">
      <w:pPr>
        <w:pStyle w:val="AATitre9"/>
        <w:numPr>
          <w:ilvl w:val="0"/>
          <w:numId w:val="0"/>
        </w:numPr>
        <w:ind w:left="1413" w:hanging="705"/>
        <w:rPr>
          <w:lang w:val="sr-Cyrl-CS"/>
        </w:rPr>
      </w:pPr>
      <w:r w:rsidRPr="00895819">
        <w:rPr>
          <w:lang w:val="sr-Cyrl-CS"/>
        </w:rPr>
        <w:t>(б)</w:t>
      </w:r>
      <w:r w:rsidRPr="00895819">
        <w:rPr>
          <w:lang w:val="sr-Cyrl-CS"/>
        </w:rPr>
        <w:tab/>
      </w:r>
      <w:r w:rsidR="007539A3" w:rsidRPr="00895819">
        <w:rPr>
          <w:lang w:val="sr-Cyrl-CS"/>
        </w:rPr>
        <w:t>Сва електронска комуникација између Страна производи дејство само ако су информације стварно примљене у читљивом облику</w:t>
      </w:r>
      <w:r w:rsidR="00B16F8D" w:rsidRPr="00895819">
        <w:rPr>
          <w:lang w:val="sr-Cyrl-CS"/>
        </w:rPr>
        <w:t>.</w:t>
      </w:r>
    </w:p>
    <w:p w14:paraId="7F988255" w14:textId="77777777" w:rsidR="00B16F8D" w:rsidRPr="00895819" w:rsidRDefault="007539A3" w:rsidP="00A32298">
      <w:pPr>
        <w:pStyle w:val="AATitre1"/>
        <w:rPr>
          <w:lang w:val="sr-Cyrl-CS"/>
        </w:rPr>
      </w:pPr>
      <w:bookmarkStart w:id="154" w:name="_Toc135947229"/>
      <w:r w:rsidRPr="00895819">
        <w:rPr>
          <w:lang w:val="sr-Cyrl-CS"/>
        </w:rPr>
        <w:t>МЕРОДАВНО ПРАВО, ИЗВРШЕЊЕ И ИЗБОР СЕДИШТА</w:t>
      </w:r>
      <w:bookmarkEnd w:id="154"/>
    </w:p>
    <w:p w14:paraId="18CD0552" w14:textId="77777777" w:rsidR="00B16F8D" w:rsidRPr="00895819" w:rsidRDefault="007539A3" w:rsidP="000F181A">
      <w:pPr>
        <w:pStyle w:val="AATitre2"/>
        <w:rPr>
          <w:u w:val="none"/>
          <w:lang w:val="sr-Cyrl-CS"/>
        </w:rPr>
      </w:pPr>
      <w:bookmarkStart w:id="155" w:name="_Toc135947230"/>
      <w:r w:rsidRPr="00895819">
        <w:rPr>
          <w:lang w:val="sr-Cyrl-CS"/>
        </w:rPr>
        <w:t>Меродавно право</w:t>
      </w:r>
      <w:bookmarkEnd w:id="155"/>
    </w:p>
    <w:p w14:paraId="0C51D9CF" w14:textId="0B885A9B" w:rsidR="00B16F8D" w:rsidRPr="00895819" w:rsidRDefault="007539A3" w:rsidP="00B16F8D">
      <w:pPr>
        <w:pStyle w:val="BodyText1"/>
        <w:rPr>
          <w:lang w:val="sr-Cyrl-CS"/>
        </w:rPr>
      </w:pPr>
      <w:r w:rsidRPr="00895819">
        <w:rPr>
          <w:lang w:val="sr-Cyrl-CS"/>
        </w:rPr>
        <w:t xml:space="preserve">На овај </w:t>
      </w:r>
      <w:r w:rsidR="00155BE5" w:rsidRPr="00895819">
        <w:rPr>
          <w:lang w:val="sr-Cyrl-CS"/>
        </w:rPr>
        <w:t>у</w:t>
      </w:r>
      <w:r w:rsidRPr="00895819">
        <w:rPr>
          <w:lang w:val="sr-Cyrl-CS"/>
        </w:rPr>
        <w:t>говор примењује се право Француске</w:t>
      </w:r>
      <w:r w:rsidR="00B16F8D" w:rsidRPr="00895819">
        <w:rPr>
          <w:lang w:val="sr-Cyrl-CS"/>
        </w:rPr>
        <w:t>.</w:t>
      </w:r>
    </w:p>
    <w:p w14:paraId="3B1D8476" w14:textId="77777777" w:rsidR="00B16F8D" w:rsidRPr="00895819" w:rsidRDefault="007539A3" w:rsidP="000F181A">
      <w:pPr>
        <w:pStyle w:val="AATitre2"/>
        <w:rPr>
          <w:u w:val="none"/>
          <w:lang w:val="sr-Cyrl-CS"/>
        </w:rPr>
      </w:pPr>
      <w:bookmarkStart w:id="156" w:name="_Toc135947231"/>
      <w:r w:rsidRPr="00895819">
        <w:rPr>
          <w:lang w:val="sr-Cyrl-CS"/>
        </w:rPr>
        <w:t>Арбитража</w:t>
      </w:r>
      <w:bookmarkEnd w:id="156"/>
    </w:p>
    <w:p w14:paraId="766F676C" w14:textId="0B870A48" w:rsidR="00B16F8D" w:rsidRPr="00895819" w:rsidRDefault="009361D8" w:rsidP="00B16F8D">
      <w:pPr>
        <w:pStyle w:val="BodyText1"/>
        <w:rPr>
          <w:lang w:val="sr-Cyrl-CS"/>
        </w:rPr>
      </w:pPr>
      <w:r w:rsidRPr="00895819">
        <w:rPr>
          <w:lang w:val="sr-Cyrl-CS"/>
        </w:rPr>
        <w:t xml:space="preserve">Сваки спор који настане поводом или у вези са овим </w:t>
      </w:r>
      <w:r w:rsidR="00892068" w:rsidRPr="00895819">
        <w:rPr>
          <w:lang w:val="sr-Cyrl-CS"/>
        </w:rPr>
        <w:t>у</w:t>
      </w:r>
      <w:r w:rsidRPr="00895819">
        <w:rPr>
          <w:lang w:val="sr-Cyrl-CS"/>
        </w:rPr>
        <w:t>говором упућује се на арбитражу и коначно решава тим путем у складу са Арбитражним правилима Међународне привредне коморе која се примењују на дан почетка арбитражног поступка, и то од стране једног или више арбитара који ће бити именовани у складу са тим Правилима</w:t>
      </w:r>
      <w:r w:rsidR="00B16F8D" w:rsidRPr="00895819">
        <w:rPr>
          <w:lang w:val="sr-Cyrl-CS"/>
        </w:rPr>
        <w:t xml:space="preserve">. </w:t>
      </w:r>
    </w:p>
    <w:p w14:paraId="2ADFA228" w14:textId="77777777" w:rsidR="00B16F8D" w:rsidRPr="00895819" w:rsidRDefault="009361D8" w:rsidP="00B16F8D">
      <w:pPr>
        <w:pStyle w:val="BodyText1"/>
        <w:rPr>
          <w:lang w:val="sr-Cyrl-CS"/>
        </w:rPr>
      </w:pPr>
      <w:r w:rsidRPr="00895819">
        <w:rPr>
          <w:lang w:val="sr-Cyrl-CS"/>
        </w:rPr>
        <w:t>Седиште арбитраже је у Паризу а језик арбитраже је енглески</w:t>
      </w:r>
      <w:r w:rsidR="00B16F8D" w:rsidRPr="00895819">
        <w:rPr>
          <w:lang w:val="sr-Cyrl-CS"/>
        </w:rPr>
        <w:t>.</w:t>
      </w:r>
    </w:p>
    <w:p w14:paraId="605C9F30" w14:textId="645B851F" w:rsidR="00B16F8D" w:rsidRPr="00895819" w:rsidRDefault="009361D8" w:rsidP="00B16F8D">
      <w:pPr>
        <w:pStyle w:val="BodyText1"/>
        <w:rPr>
          <w:lang w:val="sr-Cyrl-CS"/>
        </w:rPr>
      </w:pPr>
      <w:r w:rsidRPr="00895819">
        <w:rPr>
          <w:lang w:val="sr-Cyrl-CS"/>
        </w:rPr>
        <w:t xml:space="preserve">Ова одредба о арбитражи остаје на снази и примењује се у потпуности ако се овај </w:t>
      </w:r>
      <w:r w:rsidR="00155BE5" w:rsidRPr="00895819">
        <w:rPr>
          <w:lang w:val="sr-Cyrl-CS"/>
        </w:rPr>
        <w:t>у</w:t>
      </w:r>
      <w:r w:rsidRPr="00895819">
        <w:rPr>
          <w:lang w:val="sr-Cyrl-CS"/>
        </w:rPr>
        <w:t xml:space="preserve">говор прогласи ништавним или раскине или откаже и након истека овог </w:t>
      </w:r>
      <w:r w:rsidR="00155BE5" w:rsidRPr="00895819">
        <w:rPr>
          <w:lang w:val="sr-Cyrl-CS"/>
        </w:rPr>
        <w:t>у</w:t>
      </w:r>
      <w:r w:rsidRPr="00895819">
        <w:rPr>
          <w:lang w:val="sr-Cyrl-CS"/>
        </w:rPr>
        <w:t>говора</w:t>
      </w:r>
      <w:r w:rsidR="00B16F8D" w:rsidRPr="00895819">
        <w:rPr>
          <w:lang w:val="sr-Cyrl-CS"/>
        </w:rPr>
        <w:t xml:space="preserve">. </w:t>
      </w:r>
      <w:r w:rsidRPr="00895819">
        <w:rPr>
          <w:lang w:val="sr-Cyrl-CS"/>
        </w:rPr>
        <w:t>Уговорне о</w:t>
      </w:r>
      <w:r w:rsidR="00155BE5" w:rsidRPr="00895819">
        <w:rPr>
          <w:lang w:val="sr-Cyrl-CS"/>
        </w:rPr>
        <w:t>бавезе Страна у складу са овим у</w:t>
      </w:r>
      <w:r w:rsidRPr="00895819">
        <w:rPr>
          <w:lang w:val="sr-Cyrl-CS"/>
        </w:rPr>
        <w:t>говором не престају да важе ако једна Страна покрене судски поступак против друге Стране</w:t>
      </w:r>
      <w:r w:rsidR="00B16F8D" w:rsidRPr="00895819">
        <w:rPr>
          <w:lang w:val="sr-Cyrl-CS"/>
        </w:rPr>
        <w:t>.</w:t>
      </w:r>
    </w:p>
    <w:p w14:paraId="5C53D94A" w14:textId="1D372281" w:rsidR="00B16F8D" w:rsidRPr="00895819" w:rsidRDefault="009361D8" w:rsidP="00B16F8D">
      <w:pPr>
        <w:pStyle w:val="BodyText1"/>
        <w:rPr>
          <w:lang w:val="sr-Cyrl-CS"/>
        </w:rPr>
      </w:pPr>
      <w:r w:rsidRPr="00895819">
        <w:rPr>
          <w:lang w:val="sr-Cyrl-CS"/>
        </w:rPr>
        <w:lastRenderedPageBreak/>
        <w:t xml:space="preserve">Стране изражавају изричиту сагласност да се, потписивањем овог </w:t>
      </w:r>
      <w:r w:rsidR="00892068" w:rsidRPr="00895819">
        <w:rPr>
          <w:lang w:val="sr-Cyrl-CS"/>
        </w:rPr>
        <w:t>у</w:t>
      </w:r>
      <w:r w:rsidRPr="00895819">
        <w:rPr>
          <w:lang w:val="sr-Cyrl-CS"/>
        </w:rPr>
        <w:t>говора Зајмопримац неопозиво одриче свих права на имунитет у погледу јурисдикције или извршења на који би иначе могао да се позове</w:t>
      </w:r>
      <w:r w:rsidR="00B16F8D" w:rsidRPr="00895819">
        <w:rPr>
          <w:lang w:val="sr-Cyrl-CS"/>
        </w:rPr>
        <w:t>.</w:t>
      </w:r>
    </w:p>
    <w:p w14:paraId="17C3D875" w14:textId="77777777" w:rsidR="00B16F8D" w:rsidRPr="00895819" w:rsidRDefault="009361D8" w:rsidP="00B16F8D">
      <w:pPr>
        <w:pStyle w:val="BodyText1"/>
        <w:rPr>
          <w:lang w:val="sr-Cyrl-CS"/>
        </w:rPr>
      </w:pPr>
      <w:r w:rsidRPr="00895819">
        <w:rPr>
          <w:lang w:val="sr-Cyrl-CS"/>
        </w:rPr>
        <w:t>Да би се избегла свака сумња, ово одрицање обухвата одрицање од имунитета од</w:t>
      </w:r>
      <w:r w:rsidR="00B16F8D" w:rsidRPr="00895819">
        <w:rPr>
          <w:lang w:val="sr-Cyrl-CS"/>
        </w:rPr>
        <w:t>:</w:t>
      </w:r>
    </w:p>
    <w:p w14:paraId="4F53BB8C" w14:textId="06A70D94" w:rsidR="00B16F8D" w:rsidRPr="00895819" w:rsidRDefault="009361D8" w:rsidP="00B16F8D">
      <w:pPr>
        <w:pStyle w:val="Corpsdetexte21"/>
        <w:numPr>
          <w:ilvl w:val="0"/>
          <w:numId w:val="41"/>
        </w:numPr>
        <w:rPr>
          <w:lang w:val="sr-Cyrl-CS"/>
        </w:rPr>
      </w:pPr>
      <w:r w:rsidRPr="00895819">
        <w:rPr>
          <w:lang w:val="sr-Cyrl-CS"/>
        </w:rPr>
        <w:t xml:space="preserve">било какве тужбе или правног, судског или арбитражног процеса који проистиче из овог </w:t>
      </w:r>
      <w:r w:rsidR="00892068" w:rsidRPr="00895819">
        <w:rPr>
          <w:lang w:val="sr-Cyrl-CS"/>
        </w:rPr>
        <w:t>у</w:t>
      </w:r>
      <w:r w:rsidRPr="00895819">
        <w:rPr>
          <w:lang w:val="sr-Cyrl-CS"/>
        </w:rPr>
        <w:t>говора или је везан за њега или се односи на њега</w:t>
      </w:r>
      <w:r w:rsidR="00B16F8D" w:rsidRPr="00895819">
        <w:rPr>
          <w:lang w:val="sr-Cyrl-CS"/>
        </w:rPr>
        <w:t>;</w:t>
      </w:r>
    </w:p>
    <w:p w14:paraId="5A4EC8CB" w14:textId="77777777" w:rsidR="00B16F8D" w:rsidRPr="00895819" w:rsidRDefault="009361D8" w:rsidP="00B16F8D">
      <w:pPr>
        <w:pStyle w:val="Corpsdetexte21"/>
        <w:numPr>
          <w:ilvl w:val="0"/>
          <w:numId w:val="41"/>
        </w:numPr>
        <w:rPr>
          <w:lang w:val="sr-Cyrl-CS"/>
        </w:rPr>
      </w:pPr>
      <w:r w:rsidRPr="00895819">
        <w:rPr>
          <w:lang w:val="sr-Cyrl-CS"/>
        </w:rPr>
        <w:t>изрицања заштитних мера или судског налога ради извршавања одређене радње или повраћаја имовине или прихода</w:t>
      </w:r>
      <w:r w:rsidR="00B16F8D" w:rsidRPr="00895819">
        <w:rPr>
          <w:lang w:val="sr-Cyrl-CS"/>
        </w:rPr>
        <w:t>;</w:t>
      </w:r>
    </w:p>
    <w:p w14:paraId="1B79F2E8" w14:textId="77777777" w:rsidR="00B16F8D" w:rsidRPr="00895819" w:rsidRDefault="009361D8" w:rsidP="00B16F8D">
      <w:pPr>
        <w:pStyle w:val="Corpsdetexte21"/>
        <w:numPr>
          <w:ilvl w:val="0"/>
          <w:numId w:val="41"/>
        </w:numPr>
        <w:rPr>
          <w:lang w:val="sr-Cyrl-CS"/>
        </w:rPr>
      </w:pPr>
      <w:r w:rsidRPr="00895819">
        <w:rPr>
          <w:lang w:val="sr-Cyrl-CS"/>
        </w:rPr>
        <w:t>било које радње у циљу потврђивања, признавања, извршења или спровођења било какве одлуке, намирења, досуђења, извршног решења или, у случају стварне тужбе, било које радње у циљу пленидбе, одузимања или продаје било које његове имовине и прихода који проистичу из арбитраже или било ког правног, судског или управног поступка</w:t>
      </w:r>
      <w:r w:rsidR="00B16F8D" w:rsidRPr="00895819">
        <w:rPr>
          <w:lang w:val="sr-Cyrl-CS"/>
        </w:rPr>
        <w:t xml:space="preserve">. </w:t>
      </w:r>
    </w:p>
    <w:p w14:paraId="30687BFC" w14:textId="373184C8" w:rsidR="00B16F8D" w:rsidRPr="00895819" w:rsidRDefault="009361D8" w:rsidP="00B16F8D">
      <w:pPr>
        <w:pStyle w:val="BodyText1"/>
        <w:rPr>
          <w:lang w:val="sr-Cyrl-CS"/>
        </w:rPr>
      </w:pPr>
      <w:r w:rsidRPr="00895819">
        <w:rPr>
          <w:lang w:val="sr-Cyrl-CS"/>
        </w:rPr>
        <w:t>Зајмопримац се не одриче било каквог имунитета у погледу било којих садашњих или будућих (i) „просторија мисије</w:t>
      </w:r>
      <w:r w:rsidR="003963A8" w:rsidRPr="00895819">
        <w:rPr>
          <w:lang w:val="sr-Cyrl-CS"/>
        </w:rPr>
        <w:t>”</w:t>
      </w:r>
      <w:r w:rsidRPr="00895819">
        <w:rPr>
          <w:lang w:val="sr-Cyrl-CS"/>
        </w:rPr>
        <w:t xml:space="preserve"> у складу са дефиницијом из Бечке конвенције о дипломатским односима из 1961, (ii) „конзуларних просторија</w:t>
      </w:r>
      <w:r w:rsidR="003963A8" w:rsidRPr="00895819">
        <w:rPr>
          <w:lang w:val="sr-Cyrl-CS"/>
        </w:rPr>
        <w:t>”</w:t>
      </w:r>
      <w:r w:rsidRPr="00895819">
        <w:rPr>
          <w:lang w:val="sr-Cyrl-CS"/>
        </w:rPr>
        <w:t xml:space="preserve"> у складу са дефиницијом из Бечке конвенције о конзуларним односима из 1963, (iii) имовине која није предмет правног промета, (iv) војне имовине и објеката, оружја и опреме намењених одбрани и државној и јавној безбедности, (v) потраживања чији је пренос ограничен законом, (vi) природних богатстава, добара у општој употреби, мрежа у јавној својини, водног земљишта и водних објеката у јавној својини, заштићених природних добара у јавној својини, културних добара у јавној својини, </w:t>
      </w:r>
      <w:r w:rsidR="008F7725" w:rsidRPr="00895819">
        <w:rPr>
          <w:lang w:val="sr-Cyrl-CS"/>
        </w:rPr>
        <w:t xml:space="preserve">(vii) </w:t>
      </w:r>
      <w:r w:rsidRPr="00895819">
        <w:rPr>
          <w:lang w:val="sr-Cyrl-CS"/>
        </w:rPr>
        <w:t xml:space="preserve">непокретности у јавној својини које, у целини или делимично, користе органи Републике Србије, аутономне покрајине и јединице локалне самоуправе за остваривање </w:t>
      </w:r>
      <w:r w:rsidR="00AB5263" w:rsidRPr="00895819">
        <w:rPr>
          <w:lang w:val="sr-Cyrl-CS"/>
        </w:rPr>
        <w:t>својих</w:t>
      </w:r>
      <w:r w:rsidRPr="00895819">
        <w:rPr>
          <w:lang w:val="sr-Cyrl-CS"/>
        </w:rPr>
        <w:t xml:space="preserve"> права и дужности; (viii) удела односно акција које јавна предузећа и привредна друштва чији је власник Република Србија, аутономна покрајина или јединица локалне самоуправе имају у привредним друштвима, осим уколико постоји сагласност Републике Србије, аутономне покрајине или јединице локалне самоуправе на успостављање залоге на тим уделима, односно акцијама; (ix) покретних и непокретних ствари које користе здравствене установе, осим у случајевима у којима је хипотека заснована на основу одлуке Владе; (x) новчаних средстава и финансијских инструмената који су утврђени као средство обезбеђења у складу са законом којим се уређује финансијско обезбеђење, укључујући новчана средства и финансијске инструменте на којима је установљено заложно право у складу са тим законом; или (xi) других права и ствари који су међународним правом или међународним уговором изузети од извршења</w:t>
      </w:r>
      <w:r w:rsidR="00B16F8D" w:rsidRPr="00895819">
        <w:rPr>
          <w:lang w:val="sr-Cyrl-CS"/>
        </w:rPr>
        <w:t>.</w:t>
      </w:r>
    </w:p>
    <w:p w14:paraId="336933E3" w14:textId="77777777" w:rsidR="00B16F8D" w:rsidRPr="00895819" w:rsidRDefault="009361D8" w:rsidP="000F181A">
      <w:pPr>
        <w:pStyle w:val="AATitre2"/>
        <w:rPr>
          <w:u w:val="none"/>
          <w:lang w:val="sr-Cyrl-CS"/>
        </w:rPr>
      </w:pPr>
      <w:bookmarkStart w:id="157" w:name="_Toc135947232"/>
      <w:r w:rsidRPr="00895819">
        <w:rPr>
          <w:lang w:val="sr-Cyrl-CS"/>
        </w:rPr>
        <w:t>Уручење</w:t>
      </w:r>
      <w:bookmarkEnd w:id="157"/>
    </w:p>
    <w:p w14:paraId="65F84DED" w14:textId="15667A8A" w:rsidR="00B16F8D" w:rsidRPr="00895819" w:rsidRDefault="009361D8" w:rsidP="00B16F8D">
      <w:pPr>
        <w:pStyle w:val="BodyText1"/>
        <w:rPr>
          <w:lang w:val="sr-Cyrl-CS"/>
        </w:rPr>
      </w:pPr>
      <w:r w:rsidRPr="00895819">
        <w:rPr>
          <w:lang w:val="sr-Cyrl-CS"/>
        </w:rPr>
        <w:t xml:space="preserve">Не доводећи у питање било који важећи закон, за потребе достављања судских и вансудских докумената везаних за било коју горе поменуту радњу или поступак, Зајмопримац неопозиво бира своју назначену канцеларију на датум овог </w:t>
      </w:r>
      <w:r w:rsidR="00892068" w:rsidRPr="00895819">
        <w:rPr>
          <w:lang w:val="sr-Cyrl-CS"/>
        </w:rPr>
        <w:t>у</w:t>
      </w:r>
      <w:r w:rsidRPr="00895819">
        <w:rPr>
          <w:lang w:val="sr-Cyrl-CS"/>
        </w:rPr>
        <w:t>говора на адреси дефинисаној у члану 16 (</w:t>
      </w:r>
      <w:r w:rsidRPr="00895819">
        <w:rPr>
          <w:i/>
          <w:lang w:val="sr-Cyrl-CS"/>
        </w:rPr>
        <w:t>Обавештења</w:t>
      </w:r>
      <w:r w:rsidRPr="00895819">
        <w:rPr>
          <w:lang w:val="sr-Cyrl-CS"/>
        </w:rPr>
        <w:t xml:space="preserve">) за потребе уручења и Зајмодавац бира адресу </w:t>
      </w:r>
      <w:r w:rsidR="00892068" w:rsidRPr="00895819">
        <w:rPr>
          <w:lang w:val="sr-Cyrl-CS"/>
        </w:rPr>
        <w:t>„</w:t>
      </w:r>
      <w:r w:rsidRPr="00895819">
        <w:rPr>
          <w:lang w:val="sr-Cyrl-CS"/>
        </w:rPr>
        <w:t xml:space="preserve">AFD </w:t>
      </w:r>
      <w:r w:rsidR="00022989" w:rsidRPr="00895819">
        <w:rPr>
          <w:lang w:val="sr-Cyrl-CS"/>
        </w:rPr>
        <w:t>SIEGE</w:t>
      </w:r>
      <w:r w:rsidRPr="00895819">
        <w:rPr>
          <w:lang w:val="sr-Cyrl-CS"/>
        </w:rPr>
        <w:t>” дефинисану у члану 16 (</w:t>
      </w:r>
      <w:r w:rsidRPr="00895819">
        <w:rPr>
          <w:i/>
          <w:lang w:val="sr-Cyrl-CS"/>
        </w:rPr>
        <w:t>Обавештења</w:t>
      </w:r>
      <w:r w:rsidRPr="00895819">
        <w:rPr>
          <w:lang w:val="sr-Cyrl-CS"/>
        </w:rPr>
        <w:t>) за потребе уручења</w:t>
      </w:r>
      <w:r w:rsidR="00B16F8D" w:rsidRPr="00895819">
        <w:rPr>
          <w:lang w:val="sr-Cyrl-CS"/>
        </w:rPr>
        <w:t>.</w:t>
      </w:r>
    </w:p>
    <w:p w14:paraId="01D25B5D" w14:textId="77777777" w:rsidR="00B16F8D" w:rsidRPr="00895819" w:rsidRDefault="009361D8" w:rsidP="00A32298">
      <w:pPr>
        <w:pStyle w:val="AATitre1"/>
        <w:rPr>
          <w:lang w:val="sr-Cyrl-CS"/>
        </w:rPr>
      </w:pPr>
      <w:bookmarkStart w:id="158" w:name="_Toc135947233"/>
      <w:r w:rsidRPr="00895819">
        <w:rPr>
          <w:lang w:val="sr-Cyrl-CS"/>
        </w:rPr>
        <w:t>ТРАЈАЊЕ</w:t>
      </w:r>
      <w:bookmarkEnd w:id="158"/>
    </w:p>
    <w:p w14:paraId="7E079F3A" w14:textId="7B5302AB" w:rsidR="00B16F8D" w:rsidRPr="00895819" w:rsidRDefault="00155BE5" w:rsidP="00B16F8D">
      <w:pPr>
        <w:pStyle w:val="BodyTexteNiveau1"/>
        <w:ind w:left="709"/>
        <w:rPr>
          <w:lang w:val="sr-Cyrl-CS"/>
        </w:rPr>
      </w:pPr>
      <w:r w:rsidRPr="00895819">
        <w:rPr>
          <w:lang w:val="sr-Cyrl-CS"/>
        </w:rPr>
        <w:t>Овај у</w:t>
      </w:r>
      <w:r w:rsidR="009361D8" w:rsidRPr="00895819">
        <w:rPr>
          <w:lang w:val="sr-Cyrl-CS"/>
        </w:rPr>
        <w:t xml:space="preserve">говор ступа на снагу на Датум ступања на снагу и остаје на снази све док је било који износ неизмирен према овом </w:t>
      </w:r>
      <w:r w:rsidR="00892068" w:rsidRPr="00895819">
        <w:rPr>
          <w:lang w:val="sr-Cyrl-CS"/>
        </w:rPr>
        <w:t>у</w:t>
      </w:r>
      <w:r w:rsidR="009361D8" w:rsidRPr="00895819">
        <w:rPr>
          <w:lang w:val="sr-Cyrl-CS"/>
        </w:rPr>
        <w:t>говору</w:t>
      </w:r>
      <w:r w:rsidR="00B16F8D" w:rsidRPr="00895819">
        <w:rPr>
          <w:lang w:val="sr-Cyrl-CS"/>
        </w:rPr>
        <w:t>.</w:t>
      </w:r>
    </w:p>
    <w:p w14:paraId="057466DE" w14:textId="77777777" w:rsidR="00B16F8D" w:rsidRPr="00895819" w:rsidRDefault="00877679" w:rsidP="00B16F8D">
      <w:pPr>
        <w:pStyle w:val="BodyTexteNiveau1"/>
        <w:ind w:left="709"/>
        <w:rPr>
          <w:bCs/>
          <w:color w:val="auto"/>
          <w:lang w:val="sr-Cyrl-CS"/>
        </w:rPr>
      </w:pPr>
      <w:r w:rsidRPr="00895819">
        <w:rPr>
          <w:lang w:val="sr-Cyrl-CS"/>
        </w:rPr>
        <w:lastRenderedPageBreak/>
        <w:t xml:space="preserve">Не доводећи у питање горе наведено, обавезе према члану </w:t>
      </w:r>
      <w:r w:rsidR="00CB733A" w:rsidRPr="00895819">
        <w:rPr>
          <w:lang w:val="sr-Cyrl-CS"/>
        </w:rPr>
        <w:t>15.9 (</w:t>
      </w:r>
      <w:r w:rsidRPr="00895819">
        <w:rPr>
          <w:i/>
          <w:lang w:val="sr-Cyrl-CS"/>
        </w:rPr>
        <w:t>Поверљивост</w:t>
      </w:r>
      <w:r w:rsidR="00CB733A" w:rsidRPr="00895819">
        <w:rPr>
          <w:i/>
          <w:lang w:val="sr-Cyrl-CS"/>
        </w:rPr>
        <w:t xml:space="preserve"> – </w:t>
      </w:r>
      <w:r w:rsidRPr="00895819">
        <w:rPr>
          <w:i/>
          <w:lang w:val="sr-Cyrl-CS"/>
        </w:rPr>
        <w:t>Обелодањивање информација</w:t>
      </w:r>
      <w:r w:rsidR="00CB733A" w:rsidRPr="00895819">
        <w:rPr>
          <w:lang w:val="sr-Cyrl-CS"/>
        </w:rPr>
        <w:t>)</w:t>
      </w:r>
      <w:r w:rsidR="00B16F8D" w:rsidRPr="00895819">
        <w:rPr>
          <w:i/>
          <w:lang w:val="sr-Cyrl-CS"/>
        </w:rPr>
        <w:t xml:space="preserve"> </w:t>
      </w:r>
      <w:r w:rsidRPr="00895819">
        <w:rPr>
          <w:lang w:val="sr-Cyrl-CS"/>
        </w:rPr>
        <w:t>опстају и остају на снази и дејству током периода од</w:t>
      </w:r>
      <w:r w:rsidR="00B16F8D" w:rsidRPr="00895819">
        <w:rPr>
          <w:lang w:val="sr-Cyrl-CS"/>
        </w:rPr>
        <w:t xml:space="preserve"> [</w:t>
      </w:r>
      <w:r w:rsidRPr="00895819">
        <w:rPr>
          <w:lang w:val="sr-Cyrl-CS"/>
        </w:rPr>
        <w:t>пет</w:t>
      </w:r>
      <w:r w:rsidR="00B16F8D" w:rsidRPr="00895819">
        <w:rPr>
          <w:lang w:val="sr-Cyrl-CS"/>
        </w:rPr>
        <w:t xml:space="preserve">] </w:t>
      </w:r>
      <w:r w:rsidRPr="00895819">
        <w:rPr>
          <w:lang w:val="sr-Cyrl-CS"/>
        </w:rPr>
        <w:t>година након последњег Датума плаћања</w:t>
      </w:r>
      <w:r w:rsidR="00B16F8D" w:rsidRPr="00895819">
        <w:rPr>
          <w:color w:val="auto"/>
          <w:lang w:val="sr-Cyrl-CS"/>
        </w:rPr>
        <w:t xml:space="preserve">; </w:t>
      </w:r>
      <w:r w:rsidRPr="00895819">
        <w:rPr>
          <w:color w:val="auto"/>
          <w:lang w:val="sr-Cyrl-CS"/>
        </w:rPr>
        <w:t xml:space="preserve">одредбе члана </w:t>
      </w:r>
      <w:r w:rsidR="00CB733A" w:rsidRPr="00895819">
        <w:rPr>
          <w:bCs/>
          <w:color w:val="auto"/>
          <w:lang w:val="sr-Cyrl-CS"/>
        </w:rPr>
        <w:t>11.5.2 (</w:t>
      </w:r>
      <w:r w:rsidRPr="00895819">
        <w:rPr>
          <w:bCs/>
          <w:i/>
          <w:color w:val="auto"/>
          <w:lang w:val="sr-Cyrl-CS"/>
        </w:rPr>
        <w:t xml:space="preserve">Управљање жалбама из области животне средине и социјалних питања) </w:t>
      </w:r>
      <w:r w:rsidRPr="00895819">
        <w:rPr>
          <w:bCs/>
          <w:color w:val="auto"/>
          <w:lang w:val="sr-Cyrl-CS"/>
        </w:rPr>
        <w:t xml:space="preserve">остаће на снази све док се било која жалба поднета у складу са Правилником о раду Механизма за управљање жалбама </w:t>
      </w:r>
      <w:r w:rsidR="00AB5263" w:rsidRPr="00895819">
        <w:rPr>
          <w:bCs/>
          <w:color w:val="auto"/>
          <w:lang w:val="sr-Cyrl-CS"/>
        </w:rPr>
        <w:t>у области животне средине и социјалних питања</w:t>
      </w:r>
      <w:r w:rsidRPr="00895819">
        <w:rPr>
          <w:bCs/>
          <w:color w:val="auto"/>
          <w:lang w:val="sr-Cyrl-CS"/>
        </w:rPr>
        <w:t xml:space="preserve"> и даље обрађује или прати</w:t>
      </w:r>
      <w:r w:rsidR="00B16F8D" w:rsidRPr="00895819">
        <w:rPr>
          <w:bCs/>
          <w:color w:val="auto"/>
          <w:lang w:val="sr-Cyrl-CS"/>
        </w:rPr>
        <w:t>.</w:t>
      </w:r>
    </w:p>
    <w:p w14:paraId="5D9B0154" w14:textId="77777777" w:rsidR="00B16F8D" w:rsidRPr="00895819" w:rsidRDefault="00B16F8D" w:rsidP="00B16F8D">
      <w:pPr>
        <w:jc w:val="left"/>
        <w:rPr>
          <w:bCs/>
          <w:lang w:val="sr-Cyrl-CS"/>
        </w:rPr>
      </w:pPr>
      <w:r w:rsidRPr="00895819">
        <w:rPr>
          <w:lang w:val="sr-Cyrl-CS"/>
        </w:rPr>
        <w:br w:type="page"/>
      </w:r>
    </w:p>
    <w:p w14:paraId="1E8ED393" w14:textId="79A7AA7F" w:rsidR="00B16F8D" w:rsidRPr="00895819" w:rsidRDefault="00155BE5" w:rsidP="00B16F8D">
      <w:pPr>
        <w:pStyle w:val="BodyText"/>
        <w:rPr>
          <w:rFonts w:cs="Times New Roman"/>
          <w:lang w:val="sr-Cyrl-CS"/>
        </w:rPr>
      </w:pPr>
      <w:r w:rsidRPr="00895819">
        <w:rPr>
          <w:rFonts w:cs="Times New Roman"/>
          <w:lang w:val="sr-Cyrl-CS"/>
        </w:rPr>
        <w:lastRenderedPageBreak/>
        <w:t>Потписано</w:t>
      </w:r>
      <w:r w:rsidR="00877679" w:rsidRPr="00895819">
        <w:rPr>
          <w:rFonts w:cs="Times New Roman"/>
          <w:lang w:val="sr-Cyrl-CS"/>
        </w:rPr>
        <w:t xml:space="preserve"> у три (3) </w:t>
      </w:r>
      <w:r w:rsidRPr="00895819">
        <w:rPr>
          <w:rFonts w:cs="Times New Roman"/>
          <w:lang w:val="sr-Cyrl-CS"/>
        </w:rPr>
        <w:t>оригинална</w:t>
      </w:r>
      <w:r w:rsidR="00877679" w:rsidRPr="00895819">
        <w:rPr>
          <w:rFonts w:cs="Times New Roman"/>
          <w:lang w:val="sr-Cyrl-CS"/>
        </w:rPr>
        <w:t xml:space="preserve"> примерка, један (1)</w:t>
      </w:r>
      <w:r w:rsidRPr="00895819">
        <w:rPr>
          <w:rFonts w:cs="Times New Roman"/>
          <w:lang w:val="sr-Cyrl-CS"/>
        </w:rPr>
        <w:t xml:space="preserve"> примерак</w:t>
      </w:r>
      <w:r w:rsidR="00877679" w:rsidRPr="00895819">
        <w:rPr>
          <w:rFonts w:cs="Times New Roman"/>
          <w:lang w:val="sr-Cyrl-CS"/>
        </w:rPr>
        <w:t xml:space="preserve"> за Зајмодавца и два (2) </w:t>
      </w:r>
      <w:r w:rsidRPr="00895819">
        <w:rPr>
          <w:rFonts w:cs="Times New Roman"/>
          <w:lang w:val="sr-Cyrl-CS"/>
        </w:rPr>
        <w:t xml:space="preserve">примерка </w:t>
      </w:r>
      <w:r w:rsidR="00877679" w:rsidRPr="00895819">
        <w:rPr>
          <w:rFonts w:cs="Times New Roman"/>
          <w:lang w:val="sr-Cyrl-CS"/>
        </w:rPr>
        <w:t>за Зајмопримца, у Београду, Република Србија</w:t>
      </w:r>
      <w:r w:rsidRPr="00895819">
        <w:rPr>
          <w:rFonts w:cs="Times New Roman"/>
          <w:lang w:val="sr-Cyrl-CS"/>
        </w:rPr>
        <w:t>, дана 26. јуна 2023. године</w:t>
      </w:r>
      <w:r w:rsidR="00B16F8D" w:rsidRPr="00895819">
        <w:rPr>
          <w:rFonts w:cs="Times New Roman"/>
          <w:lang w:val="sr-Cyrl-CS"/>
        </w:rPr>
        <w:t>.</w:t>
      </w:r>
    </w:p>
    <w:p w14:paraId="685782FF" w14:textId="77777777" w:rsidR="00B16F8D" w:rsidRPr="00895819" w:rsidRDefault="00B16F8D" w:rsidP="00B16F8D">
      <w:pPr>
        <w:pStyle w:val="BodyText"/>
        <w:rPr>
          <w:rFonts w:cs="Times New Roman"/>
          <w:lang w:val="sr-Cyrl-CS"/>
        </w:rPr>
      </w:pPr>
    </w:p>
    <w:tbl>
      <w:tblPr>
        <w:tblW w:w="5000" w:type="pct"/>
        <w:tblLayout w:type="fixed"/>
        <w:tblCellMar>
          <w:left w:w="115" w:type="dxa"/>
          <w:right w:w="115" w:type="dxa"/>
        </w:tblCellMar>
        <w:tblLook w:val="04A0" w:firstRow="1" w:lastRow="0" w:firstColumn="1" w:lastColumn="0" w:noHBand="0" w:noVBand="1"/>
      </w:tblPr>
      <w:tblGrid>
        <w:gridCol w:w="9070"/>
      </w:tblGrid>
      <w:tr w:rsidR="00B16F8D" w:rsidRPr="00895819" w14:paraId="17255736" w14:textId="77777777" w:rsidTr="00485361">
        <w:tc>
          <w:tcPr>
            <w:tcW w:w="5000" w:type="pct"/>
            <w:shd w:val="clear" w:color="auto" w:fill="auto"/>
          </w:tcPr>
          <w:p w14:paraId="00494D41" w14:textId="77777777" w:rsidR="00B16F8D" w:rsidRPr="00895819" w:rsidRDefault="00877679" w:rsidP="00485361">
            <w:pPr>
              <w:pStyle w:val="BodyText"/>
              <w:rPr>
                <w:rFonts w:cs="Times New Roman"/>
                <w:b/>
                <w:lang w:val="sr-Cyrl-CS"/>
              </w:rPr>
            </w:pPr>
            <w:r w:rsidRPr="00895819">
              <w:rPr>
                <w:rFonts w:cs="Times New Roman"/>
                <w:b/>
                <w:lang w:val="sr-Cyrl-CS"/>
              </w:rPr>
              <w:t>ЗАЈМОПРИМАЦ</w:t>
            </w:r>
          </w:p>
        </w:tc>
      </w:tr>
      <w:tr w:rsidR="00B16F8D" w:rsidRPr="00895819" w14:paraId="3E3C7308" w14:textId="77777777" w:rsidTr="00485361">
        <w:tc>
          <w:tcPr>
            <w:tcW w:w="5000" w:type="pct"/>
            <w:shd w:val="clear" w:color="auto" w:fill="auto"/>
          </w:tcPr>
          <w:p w14:paraId="0E8F669F" w14:textId="77777777" w:rsidR="00B16F8D" w:rsidRPr="00895819" w:rsidRDefault="00877679" w:rsidP="00485361">
            <w:pPr>
              <w:pStyle w:val="BodyText"/>
              <w:rPr>
                <w:rFonts w:cs="Times New Roman"/>
                <w:lang w:val="sr-Cyrl-CS"/>
              </w:rPr>
            </w:pPr>
            <w:r w:rsidRPr="00895819">
              <w:rPr>
                <w:rFonts w:cs="Times New Roman"/>
                <w:b/>
                <w:lang w:val="sr-Cyrl-CS"/>
              </w:rPr>
              <w:t>РЕПУБЛИКА СРБИЈА</w:t>
            </w:r>
          </w:p>
          <w:p w14:paraId="2E60A5DB" w14:textId="77777777" w:rsidR="00B16F8D" w:rsidRPr="00895819" w:rsidRDefault="00B16F8D" w:rsidP="00485361">
            <w:pPr>
              <w:pStyle w:val="BodyText"/>
              <w:tabs>
                <w:tab w:val="right" w:leader="underscore" w:pos="3960"/>
              </w:tabs>
              <w:rPr>
                <w:rFonts w:cs="Times New Roman"/>
                <w:szCs w:val="22"/>
                <w:lang w:val="sr-Cyrl-CS"/>
              </w:rPr>
            </w:pPr>
          </w:p>
          <w:p w14:paraId="4CC78227" w14:textId="77777777" w:rsidR="00B16F8D" w:rsidRPr="00895819" w:rsidRDefault="00B16F8D" w:rsidP="00485361">
            <w:pPr>
              <w:pStyle w:val="BodyText"/>
              <w:tabs>
                <w:tab w:val="right" w:leader="underscore" w:pos="3960"/>
              </w:tabs>
              <w:rPr>
                <w:rFonts w:cs="Times New Roman"/>
                <w:szCs w:val="22"/>
                <w:lang w:val="sr-Cyrl-CS"/>
              </w:rPr>
            </w:pPr>
            <w:r w:rsidRPr="00895819">
              <w:rPr>
                <w:rFonts w:cs="Times New Roman"/>
                <w:szCs w:val="22"/>
                <w:lang w:val="sr-Cyrl-CS"/>
              </w:rPr>
              <w:tab/>
            </w:r>
          </w:p>
          <w:p w14:paraId="1CD8FC0B" w14:textId="77777777" w:rsidR="00B16F8D" w:rsidRPr="00895819" w:rsidRDefault="00877679" w:rsidP="00485361">
            <w:pPr>
              <w:pStyle w:val="BodyText"/>
              <w:rPr>
                <w:rFonts w:cs="Times New Roman"/>
                <w:szCs w:val="22"/>
                <w:lang w:val="sr-Cyrl-CS"/>
              </w:rPr>
            </w:pPr>
            <w:r w:rsidRPr="00895819">
              <w:rPr>
                <w:rFonts w:cs="Times New Roman"/>
                <w:szCs w:val="22"/>
                <w:lang w:val="sr-Cyrl-CS"/>
              </w:rPr>
              <w:t>Коју заступа</w:t>
            </w:r>
            <w:r w:rsidR="00B16F8D" w:rsidRPr="00895819">
              <w:rPr>
                <w:rFonts w:cs="Times New Roman"/>
                <w:szCs w:val="22"/>
                <w:lang w:val="sr-Cyrl-CS"/>
              </w:rPr>
              <w:t>:</w:t>
            </w:r>
          </w:p>
          <w:p w14:paraId="4B49FEB9" w14:textId="5B2FB0A1" w:rsidR="00B16F8D" w:rsidRPr="00895819" w:rsidRDefault="00877679" w:rsidP="00485361">
            <w:pPr>
              <w:pStyle w:val="BodyText"/>
              <w:spacing w:after="0"/>
              <w:rPr>
                <w:rFonts w:cs="Times New Roman"/>
                <w:szCs w:val="22"/>
                <w:lang w:val="sr-Cyrl-CS"/>
              </w:rPr>
            </w:pPr>
            <w:r w:rsidRPr="00895819">
              <w:rPr>
                <w:rFonts w:cs="Times New Roman"/>
                <w:b/>
                <w:szCs w:val="22"/>
                <w:lang w:val="sr-Cyrl-CS"/>
              </w:rPr>
              <w:t>Име и презиме</w:t>
            </w:r>
            <w:r w:rsidR="00B16F8D" w:rsidRPr="00895819">
              <w:rPr>
                <w:rFonts w:cs="Times New Roman"/>
                <w:b/>
                <w:szCs w:val="22"/>
                <w:lang w:val="sr-Cyrl-CS"/>
              </w:rPr>
              <w:t xml:space="preserve">: </w:t>
            </w:r>
            <w:r w:rsidR="00155BE5" w:rsidRPr="00895819">
              <w:rPr>
                <w:rFonts w:cs="Times New Roman"/>
                <w:b/>
                <w:color w:val="000000"/>
                <w:lang w:val="sr-Cyrl-CS"/>
              </w:rPr>
              <w:t>Синиша Мали</w:t>
            </w:r>
          </w:p>
          <w:p w14:paraId="70BDD90B" w14:textId="5D1EC93E" w:rsidR="00B16F8D" w:rsidRPr="00895819" w:rsidRDefault="00877679" w:rsidP="00155BE5">
            <w:pPr>
              <w:pStyle w:val="BodyText"/>
              <w:rPr>
                <w:rFonts w:cs="Times New Roman"/>
                <w:szCs w:val="22"/>
                <w:lang w:val="sr-Cyrl-CS"/>
              </w:rPr>
            </w:pPr>
            <w:r w:rsidRPr="00895819">
              <w:rPr>
                <w:rFonts w:cs="Times New Roman"/>
                <w:b/>
                <w:szCs w:val="22"/>
                <w:lang w:val="sr-Cyrl-CS"/>
              </w:rPr>
              <w:t>У својству</w:t>
            </w:r>
            <w:r w:rsidR="00B16F8D" w:rsidRPr="00895819">
              <w:rPr>
                <w:rFonts w:cs="Times New Roman"/>
                <w:b/>
                <w:szCs w:val="22"/>
                <w:lang w:val="sr-Cyrl-CS"/>
              </w:rPr>
              <w:t xml:space="preserve">: </w:t>
            </w:r>
            <w:r w:rsidR="00155BE5" w:rsidRPr="00895819">
              <w:rPr>
                <w:rFonts w:cs="Times New Roman"/>
                <w:b/>
                <w:color w:val="000000"/>
                <w:lang w:val="sr-Cyrl-CS"/>
              </w:rPr>
              <w:t>Потпредседник Владе и министар финансија</w:t>
            </w:r>
          </w:p>
        </w:tc>
      </w:tr>
      <w:tr w:rsidR="00B16F8D" w:rsidRPr="00895819" w14:paraId="505D9893" w14:textId="77777777" w:rsidTr="00485361">
        <w:tc>
          <w:tcPr>
            <w:tcW w:w="5000" w:type="pct"/>
            <w:shd w:val="clear" w:color="auto" w:fill="auto"/>
          </w:tcPr>
          <w:p w14:paraId="3015D372" w14:textId="77777777" w:rsidR="00B16F8D" w:rsidRPr="00895819" w:rsidRDefault="00B16F8D" w:rsidP="00485361">
            <w:pPr>
              <w:pStyle w:val="BodyText"/>
              <w:rPr>
                <w:rFonts w:cs="Times New Roman"/>
                <w:szCs w:val="22"/>
                <w:lang w:val="sr-Cyrl-CS"/>
              </w:rPr>
            </w:pPr>
          </w:p>
        </w:tc>
      </w:tr>
      <w:tr w:rsidR="00B16F8D" w:rsidRPr="00895819" w14:paraId="41435585" w14:textId="77777777" w:rsidTr="00485361">
        <w:tc>
          <w:tcPr>
            <w:tcW w:w="5000" w:type="pct"/>
            <w:shd w:val="clear" w:color="auto" w:fill="auto"/>
          </w:tcPr>
          <w:p w14:paraId="31B32947" w14:textId="77777777" w:rsidR="00B16F8D" w:rsidRPr="00895819" w:rsidRDefault="00877679" w:rsidP="00485361">
            <w:pPr>
              <w:pStyle w:val="BodyText"/>
              <w:rPr>
                <w:rFonts w:cs="Times New Roman"/>
                <w:b/>
                <w:szCs w:val="22"/>
                <w:lang w:val="sr-Cyrl-CS"/>
              </w:rPr>
            </w:pPr>
            <w:r w:rsidRPr="00895819">
              <w:rPr>
                <w:rFonts w:cs="Times New Roman"/>
                <w:b/>
                <w:szCs w:val="22"/>
                <w:lang w:val="sr-Cyrl-CS"/>
              </w:rPr>
              <w:t>ЗАЈМОДАВАЦ</w:t>
            </w:r>
          </w:p>
        </w:tc>
      </w:tr>
      <w:tr w:rsidR="00B16F8D" w:rsidRPr="00895819" w14:paraId="305A9A4F" w14:textId="77777777" w:rsidTr="00485361">
        <w:tc>
          <w:tcPr>
            <w:tcW w:w="5000" w:type="pct"/>
            <w:shd w:val="clear" w:color="auto" w:fill="auto"/>
          </w:tcPr>
          <w:p w14:paraId="4F34A928" w14:textId="77777777" w:rsidR="00B16F8D" w:rsidRPr="00895819" w:rsidRDefault="00877679" w:rsidP="00485361">
            <w:pPr>
              <w:pStyle w:val="BodyText"/>
              <w:rPr>
                <w:rFonts w:cs="Times New Roman"/>
                <w:szCs w:val="22"/>
                <w:lang w:val="sr-Cyrl-CS"/>
              </w:rPr>
            </w:pPr>
            <w:r w:rsidRPr="00895819">
              <w:rPr>
                <w:rFonts w:cs="Times New Roman"/>
                <w:b/>
                <w:szCs w:val="22"/>
                <w:lang w:val="sr-Cyrl-CS"/>
              </w:rPr>
              <w:t>ФРАНЦУСКА АГЕНЦИЈА ЗА РАЗВОЈ</w:t>
            </w:r>
          </w:p>
          <w:p w14:paraId="324A3534" w14:textId="77777777" w:rsidR="00B16F8D" w:rsidRPr="00895819" w:rsidRDefault="00B16F8D" w:rsidP="00485361">
            <w:pPr>
              <w:pStyle w:val="BodyText"/>
              <w:tabs>
                <w:tab w:val="right" w:leader="underscore" w:pos="3960"/>
              </w:tabs>
              <w:rPr>
                <w:rFonts w:cs="Times New Roman"/>
                <w:szCs w:val="22"/>
                <w:lang w:val="sr-Cyrl-CS"/>
              </w:rPr>
            </w:pPr>
          </w:p>
          <w:p w14:paraId="63E7E547" w14:textId="77777777" w:rsidR="00B16F8D" w:rsidRPr="00895819" w:rsidRDefault="00B16F8D" w:rsidP="00485361">
            <w:pPr>
              <w:pStyle w:val="BodyText"/>
              <w:tabs>
                <w:tab w:val="right" w:leader="underscore" w:pos="3960"/>
              </w:tabs>
              <w:rPr>
                <w:rFonts w:cs="Times New Roman"/>
                <w:szCs w:val="22"/>
                <w:lang w:val="sr-Cyrl-CS"/>
              </w:rPr>
            </w:pPr>
            <w:r w:rsidRPr="00895819">
              <w:rPr>
                <w:rFonts w:cs="Times New Roman"/>
                <w:szCs w:val="22"/>
                <w:lang w:val="sr-Cyrl-CS"/>
              </w:rPr>
              <w:tab/>
            </w:r>
          </w:p>
          <w:p w14:paraId="5253C961" w14:textId="77777777" w:rsidR="00B16F8D" w:rsidRPr="00895819" w:rsidRDefault="00B16F8D" w:rsidP="00485361">
            <w:pPr>
              <w:pStyle w:val="BodyText"/>
              <w:rPr>
                <w:rFonts w:cs="Times New Roman"/>
                <w:szCs w:val="22"/>
                <w:lang w:val="sr-Cyrl-CS"/>
              </w:rPr>
            </w:pPr>
          </w:p>
          <w:p w14:paraId="7361805A" w14:textId="77777777" w:rsidR="00B16F8D" w:rsidRPr="00895819" w:rsidRDefault="00877679" w:rsidP="00485361">
            <w:pPr>
              <w:pStyle w:val="BodyText"/>
              <w:rPr>
                <w:rFonts w:cs="Times New Roman"/>
                <w:szCs w:val="22"/>
                <w:lang w:val="sr-Cyrl-CS"/>
              </w:rPr>
            </w:pPr>
            <w:r w:rsidRPr="00895819">
              <w:rPr>
                <w:rFonts w:cs="Times New Roman"/>
                <w:szCs w:val="22"/>
                <w:lang w:val="sr-Cyrl-CS"/>
              </w:rPr>
              <w:t>Коју заступа</w:t>
            </w:r>
            <w:r w:rsidR="00B16F8D" w:rsidRPr="00895819">
              <w:rPr>
                <w:rFonts w:cs="Times New Roman"/>
                <w:szCs w:val="22"/>
                <w:lang w:val="sr-Cyrl-CS"/>
              </w:rPr>
              <w:t xml:space="preserve">: </w:t>
            </w:r>
          </w:p>
          <w:p w14:paraId="7E85EF08" w14:textId="3B627DFA" w:rsidR="00B16F8D" w:rsidRPr="00895819" w:rsidRDefault="00877679" w:rsidP="00485361">
            <w:pPr>
              <w:pStyle w:val="BodyText"/>
              <w:spacing w:after="0"/>
              <w:rPr>
                <w:rFonts w:cs="Times New Roman"/>
                <w:szCs w:val="22"/>
                <w:lang w:val="sr-Cyrl-CS"/>
              </w:rPr>
            </w:pPr>
            <w:r w:rsidRPr="00895819">
              <w:rPr>
                <w:rFonts w:cs="Times New Roman"/>
                <w:b/>
                <w:szCs w:val="22"/>
                <w:lang w:val="sr-Cyrl-CS"/>
              </w:rPr>
              <w:t>Име и презиме</w:t>
            </w:r>
            <w:r w:rsidR="00B16F8D" w:rsidRPr="00895819">
              <w:rPr>
                <w:rFonts w:cs="Times New Roman"/>
                <w:b/>
                <w:szCs w:val="22"/>
                <w:lang w:val="sr-Cyrl-CS"/>
              </w:rPr>
              <w:t xml:space="preserve">: </w:t>
            </w:r>
            <w:r w:rsidR="00155BE5" w:rsidRPr="00895819">
              <w:rPr>
                <w:rFonts w:cs="Times New Roman"/>
                <w:b/>
                <w:color w:val="000000"/>
                <w:lang w:val="sr-Cyrl-CS"/>
              </w:rPr>
              <w:t>Dominique Hautbergue</w:t>
            </w:r>
          </w:p>
          <w:p w14:paraId="3F6D83B9" w14:textId="77777777" w:rsidR="00B16F8D" w:rsidRPr="00895819" w:rsidRDefault="00877679" w:rsidP="00485361">
            <w:pPr>
              <w:pStyle w:val="BodyText"/>
              <w:tabs>
                <w:tab w:val="right" w:leader="underscore" w:pos="3960"/>
              </w:tabs>
              <w:rPr>
                <w:rFonts w:cs="Times New Roman"/>
                <w:szCs w:val="22"/>
                <w:lang w:val="sr-Cyrl-CS"/>
              </w:rPr>
            </w:pPr>
            <w:r w:rsidRPr="00895819">
              <w:rPr>
                <w:rFonts w:cs="Times New Roman"/>
                <w:b/>
                <w:szCs w:val="22"/>
                <w:lang w:val="sr-Cyrl-CS"/>
              </w:rPr>
              <w:t>У својству</w:t>
            </w:r>
            <w:r w:rsidR="00B16F8D" w:rsidRPr="00895819">
              <w:rPr>
                <w:rFonts w:cs="Times New Roman"/>
                <w:b/>
                <w:szCs w:val="22"/>
                <w:lang w:val="sr-Cyrl-CS"/>
              </w:rPr>
              <w:t xml:space="preserve">: </w:t>
            </w:r>
            <w:r w:rsidR="00155BE5" w:rsidRPr="00895819">
              <w:rPr>
                <w:b/>
                <w:lang w:val="sr-Cyrl-CS"/>
              </w:rPr>
              <w:t>Директор регионалне канцеларије за Западни Балкан</w:t>
            </w:r>
            <w:r w:rsidR="00155BE5" w:rsidRPr="00895819">
              <w:rPr>
                <w:rFonts w:cs="Times New Roman"/>
                <w:szCs w:val="22"/>
                <w:lang w:val="sr-Cyrl-CS"/>
              </w:rPr>
              <w:t xml:space="preserve"> </w:t>
            </w:r>
          </w:p>
          <w:p w14:paraId="157B2582" w14:textId="35D17475" w:rsidR="00155BE5" w:rsidRPr="00895819" w:rsidRDefault="00155BE5" w:rsidP="00485361">
            <w:pPr>
              <w:pStyle w:val="BodyText"/>
              <w:tabs>
                <w:tab w:val="right" w:leader="underscore" w:pos="3960"/>
              </w:tabs>
              <w:rPr>
                <w:rFonts w:cs="Times New Roman"/>
                <w:szCs w:val="22"/>
                <w:lang w:val="sr-Cyrl-CS"/>
              </w:rPr>
            </w:pPr>
          </w:p>
        </w:tc>
      </w:tr>
      <w:tr w:rsidR="00B16F8D" w:rsidRPr="00895819" w14:paraId="389C6B84" w14:textId="77777777" w:rsidTr="00485361">
        <w:tc>
          <w:tcPr>
            <w:tcW w:w="5000" w:type="pct"/>
            <w:shd w:val="clear" w:color="auto" w:fill="auto"/>
          </w:tcPr>
          <w:p w14:paraId="1EDE9760" w14:textId="77777777" w:rsidR="00B16F8D" w:rsidRPr="00895819" w:rsidRDefault="00877679" w:rsidP="00485361">
            <w:pPr>
              <w:pStyle w:val="BodyText"/>
              <w:tabs>
                <w:tab w:val="right" w:leader="underscore" w:pos="3960"/>
              </w:tabs>
              <w:rPr>
                <w:rFonts w:cs="Times New Roman"/>
                <w:b/>
                <w:szCs w:val="22"/>
                <w:lang w:val="sr-Cyrl-CS"/>
              </w:rPr>
            </w:pPr>
            <w:r w:rsidRPr="00895819">
              <w:rPr>
                <w:rFonts w:cs="Times New Roman"/>
                <w:b/>
                <w:szCs w:val="22"/>
                <w:lang w:val="sr-Cyrl-CS"/>
              </w:rPr>
              <w:t>Супотписник, његова екселенција Пјер Кошар, амбасадор Француске</w:t>
            </w:r>
          </w:p>
          <w:p w14:paraId="5C620D13" w14:textId="77777777" w:rsidR="00B16F8D" w:rsidRPr="00895819" w:rsidRDefault="00B16F8D" w:rsidP="00485361">
            <w:pPr>
              <w:pStyle w:val="BodyText"/>
              <w:rPr>
                <w:rFonts w:cs="Times New Roman"/>
                <w:szCs w:val="22"/>
                <w:lang w:val="sr-Cyrl-CS"/>
              </w:rPr>
            </w:pPr>
          </w:p>
        </w:tc>
      </w:tr>
    </w:tbl>
    <w:p w14:paraId="63D58A15" w14:textId="77777777" w:rsidR="00B16F8D" w:rsidRPr="00895819" w:rsidRDefault="00B16F8D" w:rsidP="00B16F8D">
      <w:pPr>
        <w:pStyle w:val="BodyText"/>
        <w:rPr>
          <w:rFonts w:cs="Times New Roman"/>
          <w:lang w:val="sr-Cyrl-CS"/>
        </w:rPr>
      </w:pPr>
    </w:p>
    <w:p w14:paraId="121F2D62" w14:textId="77777777" w:rsidR="00B16F8D" w:rsidRPr="00895819" w:rsidRDefault="001357FA" w:rsidP="00B16F8D">
      <w:pPr>
        <w:pStyle w:val="Schhead"/>
        <w:outlineLvl w:val="0"/>
        <w:rPr>
          <w:rFonts w:ascii="Times New Roman" w:hAnsi="Times New Roman"/>
          <w:lang w:val="sr-Cyrl-CS"/>
        </w:rPr>
      </w:pPr>
      <w:bookmarkStart w:id="159" w:name="_Toc129873699"/>
      <w:r w:rsidRPr="00895819">
        <w:rPr>
          <w:rFonts w:ascii="Times New Roman" w:hAnsi="Times New Roman"/>
          <w:lang w:val="sr-Cyrl-CS"/>
        </w:rPr>
        <w:lastRenderedPageBreak/>
        <w:t>ПРИЛОГ</w:t>
      </w:r>
      <w:r w:rsidR="00B16F8D" w:rsidRPr="00895819">
        <w:rPr>
          <w:rFonts w:ascii="Times New Roman" w:hAnsi="Times New Roman"/>
          <w:lang w:val="sr-Cyrl-CS"/>
        </w:rPr>
        <w:t xml:space="preserve"> 1A – </w:t>
      </w:r>
      <w:r w:rsidRPr="00895819">
        <w:rPr>
          <w:rFonts w:ascii="Times New Roman" w:hAnsi="Times New Roman"/>
          <w:lang w:val="sr-Cyrl-CS"/>
        </w:rPr>
        <w:t>ДЕФИНИЦИЈЕ</w:t>
      </w:r>
      <w:bookmarkEnd w:id="159"/>
    </w:p>
    <w:p w14:paraId="511CD5B4" w14:textId="77777777" w:rsidR="00B16F8D" w:rsidRPr="00895819" w:rsidRDefault="00B16F8D" w:rsidP="00B16F8D">
      <w:pPr>
        <w:pStyle w:val="BodyText"/>
        <w:rPr>
          <w:rFonts w:cs="Times New Roman"/>
          <w:lang w:val="sr-Cyrl-CS"/>
        </w:rPr>
      </w:pPr>
    </w:p>
    <w:tbl>
      <w:tblPr>
        <w:tblW w:w="4498" w:type="pct"/>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901"/>
        <w:gridCol w:w="5249"/>
      </w:tblGrid>
      <w:tr w:rsidR="00B16F8D" w:rsidRPr="00895819" w14:paraId="314A2586" w14:textId="77777777" w:rsidTr="00485361">
        <w:tc>
          <w:tcPr>
            <w:tcW w:w="1780" w:type="pct"/>
          </w:tcPr>
          <w:p w14:paraId="5A3F30B5" w14:textId="77777777" w:rsidR="00B16F8D" w:rsidRPr="00895819" w:rsidRDefault="001357FA" w:rsidP="00485361">
            <w:pPr>
              <w:pStyle w:val="BodyText"/>
              <w:spacing w:after="0"/>
              <w:rPr>
                <w:rFonts w:cs="Times New Roman"/>
                <w:b/>
                <w:lang w:val="sr-Cyrl-CS"/>
              </w:rPr>
            </w:pPr>
            <w:r w:rsidRPr="00895819">
              <w:rPr>
                <w:rFonts w:cs="Times New Roman"/>
                <w:b/>
                <w:lang w:val="sr-Cyrl-CS"/>
              </w:rPr>
              <w:t>Коруптивна радња</w:t>
            </w:r>
            <w:r w:rsidR="00B16F8D" w:rsidRPr="00895819">
              <w:rPr>
                <w:rFonts w:cs="Times New Roman"/>
                <w:b/>
                <w:lang w:val="sr-Cyrl-CS"/>
              </w:rPr>
              <w:t xml:space="preserve"> </w:t>
            </w:r>
          </w:p>
        </w:tc>
        <w:tc>
          <w:tcPr>
            <w:tcW w:w="3220" w:type="pct"/>
          </w:tcPr>
          <w:p w14:paraId="453C732F" w14:textId="77777777" w:rsidR="00B16F8D" w:rsidRPr="00895819" w:rsidRDefault="001357FA" w:rsidP="00485361">
            <w:pPr>
              <w:pStyle w:val="BodyText"/>
              <w:spacing w:after="0"/>
              <w:rPr>
                <w:rFonts w:cs="Times New Roman"/>
                <w:lang w:val="sr-Cyrl-CS"/>
              </w:rPr>
            </w:pPr>
            <w:r w:rsidRPr="00895819">
              <w:rPr>
                <w:rFonts w:cs="Times New Roman"/>
                <w:lang w:val="sr-Cyrl-CS"/>
              </w:rPr>
              <w:t>Означава било шта од следећег</w:t>
            </w:r>
            <w:r w:rsidR="00B16F8D" w:rsidRPr="00895819">
              <w:rPr>
                <w:rFonts w:cs="Times New Roman"/>
                <w:lang w:val="sr-Cyrl-CS"/>
              </w:rPr>
              <w:t>:</w:t>
            </w:r>
          </w:p>
          <w:p w14:paraId="3B1BAD56" w14:textId="0ADF555B" w:rsidR="00B16F8D" w:rsidRPr="00895819" w:rsidRDefault="00331309" w:rsidP="00331309">
            <w:pPr>
              <w:pStyle w:val="Num4"/>
              <w:numPr>
                <w:ilvl w:val="0"/>
                <w:numId w:val="0"/>
              </w:numPr>
              <w:spacing w:after="0"/>
              <w:ind w:left="601" w:hanging="601"/>
              <w:rPr>
                <w:snapToGrid w:val="0"/>
                <w:lang w:val="sr-Cyrl-CS"/>
              </w:rPr>
            </w:pPr>
            <w:r w:rsidRPr="00895819">
              <w:rPr>
                <w:snapToGrid w:val="0"/>
                <w:lang w:val="sr-Cyrl-CS"/>
              </w:rPr>
              <w:t>(a)</w:t>
            </w:r>
            <w:r w:rsidRPr="00895819">
              <w:rPr>
                <w:snapToGrid w:val="0"/>
                <w:lang w:val="sr-Cyrl-CS"/>
              </w:rPr>
              <w:tab/>
            </w:r>
            <w:r w:rsidR="001357FA" w:rsidRPr="00895819">
              <w:rPr>
                <w:snapToGrid w:val="0"/>
                <w:lang w:val="sr-Cyrl-CS"/>
              </w:rPr>
              <w:t>чин обећања, нуђења или давања, директно или индиректно, Јавном службенику или било којој особи која руководи или ради, у било ком својству, за субјект приватног сектора, непримерену предност било које природе за саму релевантну особу или за друго лице или субјект, како би се то лице понашало или се уздржало од поступања кршећи законске, уговорне или професионалне обавезе, тиме утичући на њене или његове радње или радње друге особе или субјекта; или</w:t>
            </w:r>
          </w:p>
          <w:p w14:paraId="2FD59F39" w14:textId="0E617D16" w:rsidR="00B16F8D" w:rsidRPr="00895819" w:rsidRDefault="00331309" w:rsidP="00331309">
            <w:pPr>
              <w:pStyle w:val="Num4"/>
              <w:numPr>
                <w:ilvl w:val="0"/>
                <w:numId w:val="0"/>
              </w:numPr>
              <w:spacing w:after="0"/>
              <w:ind w:left="601" w:hanging="601"/>
              <w:rPr>
                <w:lang w:val="sr-Cyrl-CS"/>
              </w:rPr>
            </w:pPr>
            <w:r w:rsidRPr="00895819">
              <w:rPr>
                <w:snapToGrid w:val="0"/>
                <w:lang w:val="sr-Cyrl-CS"/>
              </w:rPr>
              <w:t>(б)</w:t>
            </w:r>
            <w:r w:rsidRPr="00895819">
              <w:rPr>
                <w:snapToGrid w:val="0"/>
                <w:lang w:val="sr-Cyrl-CS"/>
              </w:rPr>
              <w:tab/>
            </w:r>
            <w:r w:rsidR="001357FA" w:rsidRPr="00895819">
              <w:rPr>
                <w:snapToGrid w:val="0"/>
                <w:lang w:val="sr-Cyrl-CS"/>
              </w:rPr>
              <w:t>радњ</w:t>
            </w:r>
            <w:r w:rsidR="00436EC8" w:rsidRPr="00895819">
              <w:rPr>
                <w:snapToGrid w:val="0"/>
                <w:lang w:val="sr-Cyrl-CS"/>
              </w:rPr>
              <w:t>у</w:t>
            </w:r>
            <w:r w:rsidR="001357FA" w:rsidRPr="00895819">
              <w:rPr>
                <w:snapToGrid w:val="0"/>
                <w:lang w:val="sr-Cyrl-CS"/>
              </w:rPr>
              <w:t xml:space="preserve"> Јавног службеника или било ког лица које руководи или ради у било ком својству за субјекат приватног сектора, и тражи или прихвата, директно или индиректно, непримерену предност било које природе, за себе или друго лице или субјекат, како би ово лице поступало или се уздржавало од поступања кршећи законске, уговорне или професионалне обавезе, тиме утичући на њене или његове радње или радње друге особе или субјекта</w:t>
            </w:r>
            <w:r w:rsidR="00B16F8D" w:rsidRPr="00895819">
              <w:rPr>
                <w:snapToGrid w:val="0"/>
                <w:lang w:val="sr-Cyrl-CS"/>
              </w:rPr>
              <w:t>.</w:t>
            </w:r>
          </w:p>
        </w:tc>
      </w:tr>
      <w:tr w:rsidR="00B16F8D" w:rsidRPr="00895819" w14:paraId="644D0417" w14:textId="77777777" w:rsidTr="00485361">
        <w:tc>
          <w:tcPr>
            <w:tcW w:w="1780" w:type="pct"/>
          </w:tcPr>
          <w:p w14:paraId="048E5B07" w14:textId="11501453" w:rsidR="00B16F8D" w:rsidRPr="00895819" w:rsidRDefault="00196F18" w:rsidP="00485361">
            <w:pPr>
              <w:pStyle w:val="BodyText"/>
              <w:spacing w:after="0"/>
              <w:rPr>
                <w:rFonts w:cs="Times New Roman"/>
                <w:b/>
                <w:lang w:val="sr-Cyrl-CS"/>
              </w:rPr>
            </w:pPr>
            <w:r w:rsidRPr="00895819">
              <w:rPr>
                <w:rFonts w:cs="Times New Roman"/>
                <w:b/>
                <w:lang w:val="sr-Cyrl-CS"/>
              </w:rPr>
              <w:t>Терористички акт</w:t>
            </w:r>
            <w:r w:rsidR="00331309" w:rsidRPr="00895819">
              <w:rPr>
                <w:rFonts w:cs="Times New Roman"/>
                <w:b/>
                <w:lang w:val="sr-Cyrl-CS"/>
              </w:rPr>
              <w:t>(и)</w:t>
            </w:r>
          </w:p>
        </w:tc>
        <w:tc>
          <w:tcPr>
            <w:tcW w:w="3220" w:type="pct"/>
          </w:tcPr>
          <w:p w14:paraId="6446CABF" w14:textId="77777777" w:rsidR="00B16F8D" w:rsidRPr="00895819" w:rsidRDefault="00196F18" w:rsidP="00485361">
            <w:pPr>
              <w:widowControl w:val="0"/>
              <w:spacing w:line="240" w:lineRule="atLeast"/>
              <w:rPr>
                <w:rFonts w:eastAsia="Calibri"/>
                <w:snapToGrid w:val="0"/>
                <w:szCs w:val="22"/>
                <w:lang w:val="sr-Cyrl-CS" w:eastAsia="en-US"/>
              </w:rPr>
            </w:pPr>
            <w:r w:rsidRPr="00895819">
              <w:rPr>
                <w:rFonts w:eastAsia="Calibri"/>
                <w:snapToGrid w:val="0"/>
                <w:szCs w:val="22"/>
                <w:lang w:val="sr-Cyrl-CS" w:eastAsia="en-US"/>
              </w:rPr>
              <w:t>означава</w:t>
            </w:r>
            <w:r w:rsidR="00B16F8D" w:rsidRPr="00895819">
              <w:rPr>
                <w:rFonts w:eastAsia="Calibri"/>
                <w:snapToGrid w:val="0"/>
                <w:szCs w:val="22"/>
                <w:lang w:val="sr-Cyrl-CS" w:eastAsia="en-US"/>
              </w:rPr>
              <w:t xml:space="preserve">: </w:t>
            </w:r>
          </w:p>
          <w:p w14:paraId="0ADCEBDD" w14:textId="77777777" w:rsidR="00B16F8D" w:rsidRPr="00895819" w:rsidRDefault="00436EC8" w:rsidP="00B16F8D">
            <w:pPr>
              <w:pStyle w:val="ListParagraph"/>
              <w:widowControl w:val="0"/>
              <w:numPr>
                <w:ilvl w:val="0"/>
                <w:numId w:val="33"/>
              </w:numPr>
              <w:spacing w:line="240" w:lineRule="atLeast"/>
              <w:contextualSpacing/>
              <w:rPr>
                <w:snapToGrid w:val="0"/>
                <w:lang w:val="sr-Cyrl-CS"/>
              </w:rPr>
            </w:pPr>
            <w:r w:rsidRPr="00895819">
              <w:rPr>
                <w:snapToGrid w:val="0"/>
                <w:lang w:val="sr-Cyrl-CS"/>
              </w:rPr>
              <w:t>с</w:t>
            </w:r>
            <w:r w:rsidR="00196F18" w:rsidRPr="00895819">
              <w:rPr>
                <w:snapToGrid w:val="0"/>
                <w:lang w:val="sr-Cyrl-CS"/>
              </w:rPr>
              <w:t xml:space="preserve">ваки чин забрањен конвенцијама и протоколима Уједињених нација у вези са борбом против тероризма (који се могу консултовати на следећој </w:t>
            </w:r>
            <w:r w:rsidRPr="00895819">
              <w:rPr>
                <w:snapToGrid w:val="0"/>
                <w:lang w:val="sr-Cyrl-CS"/>
              </w:rPr>
              <w:t>интернет</w:t>
            </w:r>
            <w:r w:rsidR="00196F18" w:rsidRPr="00895819">
              <w:rPr>
                <w:snapToGrid w:val="0"/>
                <w:lang w:val="sr-Cyrl-CS"/>
              </w:rPr>
              <w:t xml:space="preserve"> страници</w:t>
            </w:r>
            <w:r w:rsidR="00B16F8D" w:rsidRPr="00895819">
              <w:rPr>
                <w:snapToGrid w:val="0"/>
                <w:lang w:val="sr-Cyrl-CS"/>
              </w:rPr>
              <w:t xml:space="preserve">: </w:t>
            </w:r>
            <w:r w:rsidR="009005C1" w:rsidRPr="00895819">
              <w:rPr>
                <w:snapToGrid w:val="0"/>
                <w:lang w:val="sr-Cyrl-CS"/>
              </w:rPr>
              <w:t>https://legal.un.org/ola/Default.aspx</w:t>
            </w:r>
            <w:r w:rsidR="00B16F8D" w:rsidRPr="00895819">
              <w:rPr>
                <w:snapToGrid w:val="0"/>
                <w:lang w:val="sr-Cyrl-CS"/>
              </w:rPr>
              <w:t xml:space="preserve">); </w:t>
            </w:r>
          </w:p>
          <w:p w14:paraId="58513508" w14:textId="77777777" w:rsidR="00B16F8D" w:rsidRPr="00895819" w:rsidRDefault="00B16F8D" w:rsidP="00485361">
            <w:pPr>
              <w:pStyle w:val="ListParagraph"/>
              <w:widowControl w:val="0"/>
              <w:spacing w:line="240" w:lineRule="atLeast"/>
              <w:contextualSpacing/>
              <w:rPr>
                <w:snapToGrid w:val="0"/>
                <w:lang w:val="sr-Cyrl-CS"/>
              </w:rPr>
            </w:pPr>
          </w:p>
          <w:p w14:paraId="3E6C5324" w14:textId="543F6A9F" w:rsidR="00B16F8D" w:rsidRPr="00895819" w:rsidRDefault="00196F18" w:rsidP="00B16F8D">
            <w:pPr>
              <w:pStyle w:val="ListParagraph"/>
              <w:widowControl w:val="0"/>
              <w:numPr>
                <w:ilvl w:val="0"/>
                <w:numId w:val="33"/>
              </w:numPr>
              <w:spacing w:line="240" w:lineRule="atLeast"/>
              <w:contextualSpacing/>
              <w:rPr>
                <w:snapToGrid w:val="0"/>
                <w:lang w:val="sr-Cyrl-CS"/>
              </w:rPr>
            </w:pPr>
            <w:r w:rsidRPr="00895819">
              <w:rPr>
                <w:snapToGrid w:val="0"/>
                <w:lang w:val="sr-Cyrl-CS"/>
              </w:rPr>
              <w:t>било које од кривичних дела наведених у члановима 3 до 10 Директиве (ЕУ) 2017/541 Европског парламента од 15. марта 2017.</w:t>
            </w:r>
            <w:r w:rsidR="00651601" w:rsidRPr="00895819">
              <w:rPr>
                <w:snapToGrid w:val="0"/>
                <w:lang w:val="sr-Cyrl-CS"/>
              </w:rPr>
              <w:t xml:space="preserve"> године</w:t>
            </w:r>
            <w:r w:rsidRPr="00895819">
              <w:rPr>
                <w:snapToGrid w:val="0"/>
                <w:lang w:val="sr-Cyrl-CS"/>
              </w:rPr>
              <w:t xml:space="preserve"> о борби против тероризма</w:t>
            </w:r>
            <w:r w:rsidR="00B16F8D" w:rsidRPr="00895819">
              <w:rPr>
                <w:snapToGrid w:val="0"/>
                <w:lang w:val="sr-Cyrl-CS"/>
              </w:rPr>
              <w:t xml:space="preserve">; </w:t>
            </w:r>
            <w:r w:rsidRPr="00895819">
              <w:rPr>
                <w:snapToGrid w:val="0"/>
                <w:lang w:val="sr-Cyrl-CS"/>
              </w:rPr>
              <w:t>или</w:t>
            </w:r>
          </w:p>
          <w:p w14:paraId="5CBE60BF" w14:textId="77777777" w:rsidR="00B16F8D" w:rsidRPr="00895819" w:rsidRDefault="00B16F8D" w:rsidP="00485361">
            <w:pPr>
              <w:pStyle w:val="ListParagraph"/>
              <w:widowControl w:val="0"/>
              <w:spacing w:line="240" w:lineRule="atLeast"/>
              <w:contextualSpacing/>
              <w:rPr>
                <w:snapToGrid w:val="0"/>
                <w:lang w:val="sr-Cyrl-CS"/>
              </w:rPr>
            </w:pPr>
          </w:p>
          <w:p w14:paraId="06A43334" w14:textId="7A51F72E" w:rsidR="00B16F8D" w:rsidRPr="00895819" w:rsidRDefault="00452F8F" w:rsidP="00F43459">
            <w:pPr>
              <w:pStyle w:val="ListParagraph"/>
              <w:widowControl w:val="0"/>
              <w:numPr>
                <w:ilvl w:val="0"/>
                <w:numId w:val="33"/>
              </w:numPr>
              <w:spacing w:line="240" w:lineRule="atLeast"/>
              <w:contextualSpacing/>
              <w:rPr>
                <w:snapToGrid w:val="0"/>
                <w:lang w:val="sr-Cyrl-CS"/>
              </w:rPr>
            </w:pPr>
            <w:r w:rsidRPr="00895819">
              <w:rPr>
                <w:snapToGrid w:val="0"/>
                <w:lang w:val="sr-Cyrl-CS"/>
              </w:rPr>
              <w:t xml:space="preserve">било које друго дело које има за циљ да изазове смрт или тешку телесну повреду цивилу, или било којој другој особи која не учествује активно у </w:t>
            </w:r>
            <w:r w:rsidR="00F43459" w:rsidRPr="00895819">
              <w:rPr>
                <w:snapToGrid w:val="0"/>
                <w:lang w:val="sr-Cyrl-CS"/>
              </w:rPr>
              <w:t xml:space="preserve">сукобима </w:t>
            </w:r>
            <w:r w:rsidRPr="00895819">
              <w:rPr>
                <w:snapToGrid w:val="0"/>
                <w:lang w:val="sr-Cyrl-CS"/>
              </w:rPr>
              <w:t>у ситуацији оружаног сукоба, када је сврха таквог дела, по својој природи или контексту, застрашивање становништва, или приморавање владе или међународне организације да учини или се уздржи од било какве радње</w:t>
            </w:r>
            <w:r w:rsidR="00B16F8D" w:rsidRPr="00895819">
              <w:rPr>
                <w:snapToGrid w:val="0"/>
                <w:lang w:val="sr-Cyrl-CS"/>
              </w:rPr>
              <w:t>.</w:t>
            </w:r>
          </w:p>
        </w:tc>
      </w:tr>
      <w:tr w:rsidR="00B16F8D" w:rsidRPr="00895819" w14:paraId="144872FE" w14:textId="77777777" w:rsidTr="00485361">
        <w:tc>
          <w:tcPr>
            <w:tcW w:w="1780" w:type="pct"/>
          </w:tcPr>
          <w:p w14:paraId="79A2DB04" w14:textId="77777777" w:rsidR="00B16F8D" w:rsidRPr="00895819" w:rsidRDefault="003F253E" w:rsidP="00485361">
            <w:pPr>
              <w:pStyle w:val="BodyText"/>
              <w:spacing w:after="0"/>
              <w:rPr>
                <w:rFonts w:cs="Times New Roman"/>
                <w:b/>
                <w:lang w:val="sr-Cyrl-CS"/>
              </w:rPr>
            </w:pPr>
            <w:r w:rsidRPr="00895819">
              <w:rPr>
                <w:rFonts w:cs="Times New Roman"/>
                <w:b/>
                <w:lang w:val="sr-Cyrl-CS"/>
              </w:rPr>
              <w:t>Авансно плаћање</w:t>
            </w:r>
          </w:p>
        </w:tc>
        <w:tc>
          <w:tcPr>
            <w:tcW w:w="3220" w:type="pct"/>
          </w:tcPr>
          <w:p w14:paraId="77B92189" w14:textId="4E5BE0DF" w:rsidR="00B16F8D" w:rsidRPr="00895819" w:rsidRDefault="003F253E" w:rsidP="00FF5F25">
            <w:pPr>
              <w:pStyle w:val="BodyText"/>
              <w:spacing w:after="0"/>
              <w:rPr>
                <w:rFonts w:cs="Times New Roman"/>
                <w:lang w:val="sr-Cyrl-CS"/>
              </w:rPr>
            </w:pPr>
            <w:r w:rsidRPr="00895819">
              <w:rPr>
                <w:rFonts w:cs="Times New Roman"/>
                <w:lang w:val="sr-Cyrl-CS"/>
              </w:rPr>
              <w:t xml:space="preserve">има значење дато у члану </w:t>
            </w:r>
            <w:r w:rsidR="00CB733A" w:rsidRPr="00895819">
              <w:rPr>
                <w:rFonts w:cs="Times New Roman"/>
                <w:lang w:val="sr-Cyrl-CS"/>
              </w:rPr>
              <w:t>3.4 (</w:t>
            </w:r>
            <w:r w:rsidRPr="00895819">
              <w:rPr>
                <w:rFonts w:cs="Times New Roman"/>
                <w:i/>
                <w:iCs/>
                <w:lang w:val="sr-Cyrl-CS"/>
              </w:rPr>
              <w:t xml:space="preserve">Методе </w:t>
            </w:r>
            <w:r w:rsidR="00FF5F25" w:rsidRPr="00895819">
              <w:rPr>
                <w:rFonts w:cs="Times New Roman"/>
                <w:i/>
                <w:iCs/>
                <w:lang w:val="sr-Cyrl-CS"/>
              </w:rPr>
              <w:t>исплате</w:t>
            </w:r>
            <w:r w:rsidR="00CB733A" w:rsidRPr="00895819">
              <w:rPr>
                <w:rFonts w:cs="Times New Roman"/>
                <w:lang w:val="sr-Cyrl-CS"/>
              </w:rPr>
              <w:t>).</w:t>
            </w:r>
          </w:p>
        </w:tc>
      </w:tr>
      <w:tr w:rsidR="00B16F8D" w:rsidRPr="00895819" w14:paraId="7F7095B0" w14:textId="77777777" w:rsidTr="00485361">
        <w:tc>
          <w:tcPr>
            <w:tcW w:w="1780" w:type="pct"/>
          </w:tcPr>
          <w:p w14:paraId="3A70353E" w14:textId="77777777" w:rsidR="00B16F8D" w:rsidRPr="00895819" w:rsidRDefault="009178C6" w:rsidP="00485361">
            <w:pPr>
              <w:pStyle w:val="BodyText"/>
              <w:spacing w:after="0"/>
              <w:rPr>
                <w:rFonts w:cs="Times New Roman"/>
                <w:b/>
                <w:lang w:val="sr-Cyrl-CS"/>
              </w:rPr>
            </w:pPr>
            <w:r w:rsidRPr="00895819">
              <w:rPr>
                <w:rFonts w:cs="Times New Roman"/>
                <w:b/>
                <w:lang w:val="sr-Cyrl-CS"/>
              </w:rPr>
              <w:t xml:space="preserve">Изјава о интегритету АФД-а </w:t>
            </w:r>
          </w:p>
        </w:tc>
        <w:tc>
          <w:tcPr>
            <w:tcW w:w="3220" w:type="pct"/>
          </w:tcPr>
          <w:p w14:paraId="7DB7637C" w14:textId="04EDCBEC" w:rsidR="00B16F8D" w:rsidRPr="00895819" w:rsidRDefault="001357FA" w:rsidP="00485361">
            <w:pPr>
              <w:pStyle w:val="BodyText"/>
              <w:spacing w:after="0"/>
              <w:rPr>
                <w:rFonts w:cs="Times New Roman"/>
                <w:lang w:val="sr-Cyrl-CS"/>
              </w:rPr>
            </w:pPr>
            <w:r w:rsidRPr="00895819">
              <w:rPr>
                <w:rFonts w:cs="Times New Roman"/>
                <w:lang w:val="sr-Cyrl-CS"/>
              </w:rPr>
              <w:t xml:space="preserve">Означава изјаву коју потписује сваки Извођач, као што се наводи у Прилогу </w:t>
            </w:r>
            <w:r w:rsidR="00B16F8D" w:rsidRPr="00895819">
              <w:rPr>
                <w:rFonts w:cs="Times New Roman"/>
                <w:lang w:val="sr-Cyrl-CS"/>
              </w:rPr>
              <w:t>8 (</w:t>
            </w:r>
            <w:r w:rsidR="00B24C30" w:rsidRPr="00895819">
              <w:rPr>
                <w:rFonts w:cs="Times New Roman"/>
                <w:i/>
                <w:iCs/>
                <w:lang w:val="sr-Cyrl-CS"/>
              </w:rPr>
              <w:t>Изјава о интегритету А</w:t>
            </w:r>
            <w:r w:rsidR="00A94D0F" w:rsidRPr="00895819">
              <w:rPr>
                <w:rFonts w:cs="Times New Roman"/>
                <w:i/>
                <w:iCs/>
                <w:lang w:val="sr-Cyrl-CS"/>
              </w:rPr>
              <w:t>Ф</w:t>
            </w:r>
            <w:r w:rsidR="00B24C30" w:rsidRPr="00895819">
              <w:rPr>
                <w:rFonts w:cs="Times New Roman"/>
                <w:i/>
                <w:iCs/>
                <w:lang w:val="sr-Cyrl-CS"/>
              </w:rPr>
              <w:t>Д-а</w:t>
            </w:r>
            <w:r w:rsidR="00B16F8D" w:rsidRPr="00895819">
              <w:rPr>
                <w:rFonts w:cs="Times New Roman"/>
                <w:lang w:val="sr-Cyrl-CS"/>
              </w:rPr>
              <w:t>)</w:t>
            </w:r>
            <w:r w:rsidR="009D655D" w:rsidRPr="00895819">
              <w:rPr>
                <w:rFonts w:cs="Times New Roman"/>
                <w:lang w:val="sr-Cyrl-CS"/>
              </w:rPr>
              <w:t xml:space="preserve"> и чији садржај Зајмодавац може ажурирати с времена на време</w:t>
            </w:r>
            <w:r w:rsidR="00B16F8D" w:rsidRPr="00895819">
              <w:rPr>
                <w:rFonts w:cs="Times New Roman"/>
                <w:lang w:val="sr-Cyrl-CS"/>
              </w:rPr>
              <w:t>.</w:t>
            </w:r>
          </w:p>
        </w:tc>
      </w:tr>
      <w:tr w:rsidR="00B16F8D" w:rsidRPr="00895819" w14:paraId="678ABC28" w14:textId="77777777" w:rsidTr="00485361">
        <w:tc>
          <w:tcPr>
            <w:tcW w:w="1780" w:type="pct"/>
          </w:tcPr>
          <w:p w14:paraId="1D2B74B4" w14:textId="77777777" w:rsidR="00B16F8D" w:rsidRPr="00895819" w:rsidRDefault="009D655D" w:rsidP="00485361">
            <w:pPr>
              <w:pStyle w:val="BodyText"/>
              <w:spacing w:after="0"/>
              <w:rPr>
                <w:rFonts w:cs="Times New Roman"/>
                <w:lang w:val="sr-Cyrl-CS"/>
              </w:rPr>
            </w:pPr>
            <w:r w:rsidRPr="00895819">
              <w:rPr>
                <w:rFonts w:cs="Times New Roman"/>
                <w:b/>
                <w:lang w:val="sr-Cyrl-CS"/>
              </w:rPr>
              <w:lastRenderedPageBreak/>
              <w:t>Уговор</w:t>
            </w:r>
          </w:p>
        </w:tc>
        <w:tc>
          <w:tcPr>
            <w:tcW w:w="3220" w:type="pct"/>
          </w:tcPr>
          <w:p w14:paraId="2728E94B" w14:textId="77777777" w:rsidR="00B16F8D" w:rsidRPr="00895819" w:rsidRDefault="009D655D" w:rsidP="00485361">
            <w:pPr>
              <w:pStyle w:val="BodyText"/>
              <w:spacing w:after="0"/>
              <w:rPr>
                <w:rFonts w:cs="Times New Roman"/>
                <w:i/>
                <w:lang w:val="sr-Cyrl-CS"/>
              </w:rPr>
            </w:pPr>
            <w:r w:rsidRPr="00895819">
              <w:rPr>
                <w:rFonts w:cs="Times New Roman"/>
                <w:lang w:val="sr-Cyrl-CS"/>
              </w:rPr>
              <w:t>означава овај уговор о кредит</w:t>
            </w:r>
            <w:r w:rsidR="00C74008" w:rsidRPr="00895819">
              <w:rPr>
                <w:rFonts w:cs="Times New Roman"/>
                <w:lang w:val="sr-Cyrl-CS"/>
              </w:rPr>
              <w:t>у</w:t>
            </w:r>
            <w:r w:rsidRPr="00895819">
              <w:rPr>
                <w:rFonts w:cs="Times New Roman"/>
                <w:lang w:val="sr-Cyrl-CS"/>
              </w:rPr>
              <w:t>, укључујући његове уводне одредбе, Прилоге и, ако је применљиво, све измене и допуне учињене у писаној форми</w:t>
            </w:r>
            <w:r w:rsidR="00B16F8D" w:rsidRPr="00895819">
              <w:rPr>
                <w:rFonts w:cs="Times New Roman"/>
                <w:lang w:val="sr-Cyrl-CS"/>
              </w:rPr>
              <w:t>.</w:t>
            </w:r>
          </w:p>
        </w:tc>
      </w:tr>
      <w:tr w:rsidR="004D639C" w:rsidRPr="00895819" w14:paraId="5042683B" w14:textId="77777777" w:rsidTr="00485361">
        <w:tc>
          <w:tcPr>
            <w:tcW w:w="1780" w:type="pct"/>
          </w:tcPr>
          <w:p w14:paraId="50614989" w14:textId="77777777" w:rsidR="004D639C" w:rsidRPr="00895819" w:rsidRDefault="009D655D" w:rsidP="00485361">
            <w:pPr>
              <w:pStyle w:val="BodyText"/>
              <w:spacing w:after="0"/>
              <w:rPr>
                <w:rFonts w:cs="Times New Roman"/>
                <w:b/>
                <w:lang w:val="sr-Cyrl-CS"/>
              </w:rPr>
            </w:pPr>
            <w:r w:rsidRPr="00895819">
              <w:rPr>
                <w:rFonts w:cs="Times New Roman"/>
                <w:b/>
                <w:lang w:val="sr-Cyrl-CS"/>
              </w:rPr>
              <w:t xml:space="preserve">УЗПРО </w:t>
            </w:r>
          </w:p>
        </w:tc>
        <w:tc>
          <w:tcPr>
            <w:tcW w:w="3220" w:type="pct"/>
          </w:tcPr>
          <w:p w14:paraId="3F4EE20A" w14:textId="77777777" w:rsidR="004D639C" w:rsidRPr="00895819" w:rsidRDefault="00297781" w:rsidP="004D639C">
            <w:pPr>
              <w:pStyle w:val="BodyText"/>
              <w:spacing w:after="0"/>
              <w:rPr>
                <w:rFonts w:cs="Times New Roman"/>
                <w:lang w:val="sr-Cyrl-CS"/>
              </w:rPr>
            </w:pPr>
            <w:r w:rsidRPr="00895819">
              <w:rPr>
                <w:lang w:val="sr-Cyrl-CS"/>
              </w:rPr>
              <w:t>о</w:t>
            </w:r>
            <w:r w:rsidR="009D655D" w:rsidRPr="00895819">
              <w:rPr>
                <w:lang w:val="sr-Cyrl-CS"/>
              </w:rPr>
              <w:t xml:space="preserve">значава Управу за заједничке послове републичких органа или </w:t>
            </w:r>
            <w:r w:rsidR="00962583" w:rsidRPr="00895819">
              <w:rPr>
                <w:lang w:val="sr-Cyrl-CS"/>
              </w:rPr>
              <w:t xml:space="preserve">било ког </w:t>
            </w:r>
            <w:r w:rsidR="009D655D" w:rsidRPr="00895819">
              <w:rPr>
                <w:lang w:val="sr-Cyrl-CS"/>
              </w:rPr>
              <w:t xml:space="preserve">његовог </w:t>
            </w:r>
            <w:r w:rsidR="00962583" w:rsidRPr="00895819">
              <w:rPr>
                <w:lang w:val="sr-Cyrl-CS"/>
              </w:rPr>
              <w:t>правног следбеника</w:t>
            </w:r>
            <w:r w:rsidR="004D639C" w:rsidRPr="00895819">
              <w:rPr>
                <w:lang w:val="sr-Cyrl-CS"/>
              </w:rPr>
              <w:t>.</w:t>
            </w:r>
          </w:p>
        </w:tc>
      </w:tr>
      <w:tr w:rsidR="00B16F8D" w:rsidRPr="00895819" w14:paraId="4BD707E5" w14:textId="77777777" w:rsidTr="00485361">
        <w:tc>
          <w:tcPr>
            <w:tcW w:w="1780" w:type="pct"/>
          </w:tcPr>
          <w:p w14:paraId="1EA58E08" w14:textId="77777777" w:rsidR="00B16F8D" w:rsidRPr="00895819" w:rsidRDefault="009D655D" w:rsidP="00485361">
            <w:pPr>
              <w:pStyle w:val="BodyText"/>
              <w:spacing w:after="0"/>
              <w:rPr>
                <w:rFonts w:cs="Times New Roman"/>
                <w:b/>
                <w:lang w:val="sr-Cyrl-CS"/>
              </w:rPr>
            </w:pPr>
            <w:r w:rsidRPr="00895819">
              <w:rPr>
                <w:rFonts w:cs="Times New Roman"/>
                <w:b/>
                <w:lang w:val="sr-Cyrl-CS"/>
              </w:rPr>
              <w:t>Нелојална пракса</w:t>
            </w:r>
          </w:p>
        </w:tc>
        <w:tc>
          <w:tcPr>
            <w:tcW w:w="3220" w:type="pct"/>
          </w:tcPr>
          <w:p w14:paraId="50468047" w14:textId="77777777" w:rsidR="00B16F8D" w:rsidRPr="00895819" w:rsidRDefault="009D655D" w:rsidP="00485361">
            <w:pPr>
              <w:pStyle w:val="BodyText"/>
              <w:spacing w:after="0"/>
              <w:rPr>
                <w:rFonts w:cs="Times New Roman"/>
                <w:lang w:val="sr-Cyrl-CS"/>
              </w:rPr>
            </w:pPr>
            <w:r w:rsidRPr="00895819">
              <w:rPr>
                <w:rFonts w:cs="Times New Roman"/>
                <w:lang w:val="sr-Cyrl-CS"/>
              </w:rPr>
              <w:t>означава</w:t>
            </w:r>
            <w:r w:rsidR="00B16F8D" w:rsidRPr="00895819">
              <w:rPr>
                <w:rFonts w:cs="Times New Roman"/>
                <w:lang w:val="sr-Cyrl-CS"/>
              </w:rPr>
              <w:t xml:space="preserve">: </w:t>
            </w:r>
          </w:p>
          <w:p w14:paraId="3BB4068D" w14:textId="7BB98578" w:rsidR="00B16F8D" w:rsidRPr="00895819" w:rsidRDefault="00A94D0F" w:rsidP="00A94D0F">
            <w:pPr>
              <w:pStyle w:val="Num4"/>
              <w:numPr>
                <w:ilvl w:val="0"/>
                <w:numId w:val="0"/>
              </w:numPr>
              <w:spacing w:after="0"/>
              <w:ind w:left="511" w:hanging="511"/>
              <w:rPr>
                <w:lang w:val="sr-Cyrl-CS"/>
              </w:rPr>
            </w:pPr>
            <w:r w:rsidRPr="00895819">
              <w:rPr>
                <w:lang w:val="sr-Cyrl-CS"/>
              </w:rPr>
              <w:t>(а)</w:t>
            </w:r>
            <w:r w:rsidRPr="00895819">
              <w:rPr>
                <w:lang w:val="sr-Cyrl-CS"/>
              </w:rPr>
              <w:tab/>
            </w:r>
            <w:r w:rsidR="009D655D" w:rsidRPr="00895819">
              <w:rPr>
                <w:lang w:val="sr-Cyrl-CS"/>
              </w:rPr>
              <w:t>било које усаглашене или имплициране радње чији је циљ и/или ефекат да ометају, ограниче или наруше фер конкуренцију на тржишту, укључујући али не ограничавајући се на следеће</w:t>
            </w:r>
            <w:r w:rsidR="00B16F8D" w:rsidRPr="00895819">
              <w:rPr>
                <w:lang w:val="sr-Cyrl-CS"/>
              </w:rPr>
              <w:t xml:space="preserve">: (i) </w:t>
            </w:r>
            <w:r w:rsidR="009D655D" w:rsidRPr="00895819">
              <w:rPr>
                <w:lang w:val="sr-Cyrl-CS"/>
              </w:rPr>
              <w:t>ограничавање приступа тржишту или слободног вршења конкуренције од стране других компанија; (ii) спречавање слободног формирања цена на тржишту вештачким фаворизовањем повећања или смањења таквих цена; (iii) ограничавање или контролу било које производње, тржишта, инвестиција или техничког напретка; или (iv) поделу тржишта или извора снабдевања</w:t>
            </w:r>
            <w:r w:rsidR="00B16F8D" w:rsidRPr="00895819">
              <w:rPr>
                <w:lang w:val="sr-Cyrl-CS"/>
              </w:rPr>
              <w:t xml:space="preserve">; </w:t>
            </w:r>
          </w:p>
          <w:p w14:paraId="046C1223" w14:textId="41B448CC" w:rsidR="00B16F8D" w:rsidRPr="00895819" w:rsidRDefault="00A94D0F" w:rsidP="00A94D0F">
            <w:pPr>
              <w:pStyle w:val="Num4"/>
              <w:numPr>
                <w:ilvl w:val="0"/>
                <w:numId w:val="0"/>
              </w:numPr>
              <w:spacing w:after="0"/>
              <w:ind w:left="511" w:hanging="511"/>
              <w:rPr>
                <w:lang w:val="sr-Cyrl-CS"/>
              </w:rPr>
            </w:pPr>
            <w:r w:rsidRPr="00895819">
              <w:rPr>
                <w:lang w:val="sr-Cyrl-CS"/>
              </w:rPr>
              <w:t>(б)</w:t>
            </w:r>
            <w:r w:rsidRPr="00895819">
              <w:rPr>
                <w:lang w:val="sr-Cyrl-CS"/>
              </w:rPr>
              <w:tab/>
            </w:r>
            <w:r w:rsidR="009D655D" w:rsidRPr="00895819">
              <w:rPr>
                <w:lang w:val="sr-Cyrl-CS"/>
              </w:rPr>
              <w:t xml:space="preserve">сваку злоупотребу доминантног положаја компаније или групе компанија на домаћем тржишту или на његовом значајном делу; или </w:t>
            </w:r>
          </w:p>
          <w:p w14:paraId="4100840F" w14:textId="3CAA1561" w:rsidR="00B16F8D" w:rsidRPr="00895819" w:rsidRDefault="00A94D0F" w:rsidP="00A94D0F">
            <w:pPr>
              <w:pStyle w:val="Num4"/>
              <w:numPr>
                <w:ilvl w:val="0"/>
                <w:numId w:val="0"/>
              </w:numPr>
              <w:spacing w:after="0"/>
              <w:ind w:left="511" w:hanging="511"/>
              <w:rPr>
                <w:lang w:val="sr-Cyrl-CS"/>
              </w:rPr>
            </w:pPr>
            <w:r w:rsidRPr="00895819">
              <w:rPr>
                <w:lang w:val="sr-Cyrl-CS"/>
              </w:rPr>
              <w:t>(ц)</w:t>
            </w:r>
            <w:r w:rsidRPr="00895819">
              <w:rPr>
                <w:lang w:val="sr-Cyrl-CS"/>
              </w:rPr>
              <w:tab/>
            </w:r>
            <w:r w:rsidR="009D655D" w:rsidRPr="00895819">
              <w:rPr>
                <w:lang w:val="sr-Cyrl-CS"/>
              </w:rPr>
              <w:t>било коју понуду или предаторске цене чији је циљ/ефекат елиминисање са тржишта или спречавање предузећа или једног од његових производа да приступе тржишту</w:t>
            </w:r>
            <w:r w:rsidR="00B16F8D" w:rsidRPr="00895819">
              <w:rPr>
                <w:lang w:val="sr-Cyrl-CS"/>
              </w:rPr>
              <w:t>.</w:t>
            </w:r>
          </w:p>
        </w:tc>
      </w:tr>
      <w:tr w:rsidR="00B16F8D" w:rsidRPr="00895819" w14:paraId="5249BF72" w14:textId="77777777" w:rsidTr="00485361">
        <w:tc>
          <w:tcPr>
            <w:tcW w:w="1780" w:type="pct"/>
          </w:tcPr>
          <w:p w14:paraId="1356AADF" w14:textId="77777777" w:rsidR="00B16F8D" w:rsidRPr="00895819" w:rsidRDefault="009D655D" w:rsidP="00E116CD">
            <w:pPr>
              <w:pStyle w:val="BodyText"/>
              <w:spacing w:after="0"/>
              <w:rPr>
                <w:rFonts w:cs="Times New Roman"/>
                <w:b/>
                <w:lang w:val="sr-Cyrl-CS"/>
              </w:rPr>
            </w:pPr>
            <w:r w:rsidRPr="00895819">
              <w:rPr>
                <w:rFonts w:cs="Times New Roman"/>
                <w:b/>
                <w:lang w:val="sr-Cyrl-CS"/>
              </w:rPr>
              <w:t xml:space="preserve">Важећи прописи о набавкама </w:t>
            </w:r>
          </w:p>
        </w:tc>
        <w:tc>
          <w:tcPr>
            <w:tcW w:w="3220" w:type="pct"/>
          </w:tcPr>
          <w:p w14:paraId="7EE5D5D8" w14:textId="1831D558" w:rsidR="00B16F8D" w:rsidRPr="00895819" w:rsidRDefault="00D77DF1" w:rsidP="00485361">
            <w:pPr>
              <w:pStyle w:val="BodyText"/>
              <w:spacing w:after="0"/>
              <w:rPr>
                <w:rFonts w:cs="Times New Roman"/>
                <w:lang w:val="sr-Cyrl-CS"/>
              </w:rPr>
            </w:pPr>
            <w:r w:rsidRPr="00895819">
              <w:rPr>
                <w:rFonts w:cs="Times New Roman"/>
                <w:lang w:val="sr-Cyrl-CS"/>
              </w:rPr>
              <w:t xml:space="preserve">означава </w:t>
            </w:r>
            <w:r w:rsidR="00E42638" w:rsidRPr="00895819">
              <w:rPr>
                <w:rFonts w:cs="Times New Roman"/>
                <w:lang w:val="sr-Cyrl-CS"/>
              </w:rPr>
              <w:t>уговорне одредбе садржане у процедурама које се односе на набавке које финансира Суфинансијер</w:t>
            </w:r>
            <w:r w:rsidR="00CF57E2" w:rsidRPr="00895819">
              <w:rPr>
                <w:rFonts w:cs="Times New Roman"/>
                <w:lang w:val="sr-Cyrl-CS"/>
              </w:rPr>
              <w:t xml:space="preserve"> (</w:t>
            </w:r>
            <w:r w:rsidR="00E42638" w:rsidRPr="00895819">
              <w:rPr>
                <w:rFonts w:cs="Times New Roman"/>
                <w:lang w:val="sr-Cyrl-CS"/>
              </w:rPr>
              <w:t>посебно „</w:t>
            </w:r>
            <w:r w:rsidR="00962583" w:rsidRPr="00895819">
              <w:rPr>
                <w:rFonts w:cs="Times New Roman"/>
                <w:lang w:val="sr-Cyrl-CS"/>
              </w:rPr>
              <w:t>Правилник о финан</w:t>
            </w:r>
            <w:r w:rsidR="00A94D0F" w:rsidRPr="00895819">
              <w:rPr>
                <w:rFonts w:cs="Times New Roman"/>
                <w:lang w:val="sr-Cyrl-CS"/>
              </w:rPr>
              <w:t>сирању инвестиционих пројеката З</w:t>
            </w:r>
            <w:r w:rsidR="00962583" w:rsidRPr="00895819">
              <w:rPr>
                <w:rFonts w:cs="Times New Roman"/>
                <w:lang w:val="sr-Cyrl-CS"/>
              </w:rPr>
              <w:t>ајмопримаца</w:t>
            </w:r>
            <w:r w:rsidR="00CF57E2" w:rsidRPr="00895819">
              <w:rPr>
                <w:rFonts w:cs="Times New Roman"/>
                <w:lang w:val="sr-Cyrl-CS"/>
              </w:rPr>
              <w:t xml:space="preserve">”) </w:t>
            </w:r>
            <w:r w:rsidR="00E42638" w:rsidRPr="00895819">
              <w:rPr>
                <w:rFonts w:cs="Times New Roman"/>
                <w:lang w:val="sr-Cyrl-CS"/>
              </w:rPr>
              <w:t xml:space="preserve">и имају пуну снагу и дејство на дан овог </w:t>
            </w:r>
            <w:r w:rsidR="00892068" w:rsidRPr="00895819">
              <w:rPr>
                <w:rFonts w:cs="Times New Roman"/>
                <w:lang w:val="sr-Cyrl-CS"/>
              </w:rPr>
              <w:t>у</w:t>
            </w:r>
            <w:r w:rsidR="00E42638" w:rsidRPr="00895819">
              <w:rPr>
                <w:rFonts w:cs="Times New Roman"/>
                <w:lang w:val="sr-Cyrl-CS"/>
              </w:rPr>
              <w:t>говора, чији примерак је доступан на интернет страници Суфинансијера</w:t>
            </w:r>
            <w:r w:rsidR="00CF57E2" w:rsidRPr="00895819">
              <w:rPr>
                <w:rFonts w:cs="Times New Roman"/>
                <w:lang w:val="sr-Cyrl-CS"/>
              </w:rPr>
              <w:t>.</w:t>
            </w:r>
          </w:p>
        </w:tc>
      </w:tr>
      <w:tr w:rsidR="00B16F8D" w:rsidRPr="00895819" w14:paraId="103B6981" w14:textId="77777777" w:rsidTr="00485361">
        <w:tc>
          <w:tcPr>
            <w:tcW w:w="1780" w:type="pct"/>
          </w:tcPr>
          <w:p w14:paraId="72425B8B" w14:textId="14D53EF8" w:rsidR="00B16F8D" w:rsidRPr="00895819" w:rsidRDefault="00B60503" w:rsidP="00485361">
            <w:pPr>
              <w:pStyle w:val="BodyText"/>
              <w:spacing w:after="0"/>
              <w:rPr>
                <w:rFonts w:cs="Times New Roman"/>
                <w:b/>
                <w:lang w:val="sr-Cyrl-CS"/>
              </w:rPr>
            </w:pPr>
            <w:r w:rsidRPr="00895819">
              <w:rPr>
                <w:rFonts w:cs="Times New Roman"/>
                <w:b/>
                <w:lang w:val="sr-Cyrl-CS"/>
              </w:rPr>
              <w:t>Овлашћење</w:t>
            </w:r>
            <w:r w:rsidR="00A94D0F" w:rsidRPr="00895819">
              <w:rPr>
                <w:rFonts w:cs="Times New Roman"/>
                <w:b/>
                <w:lang w:val="sr-Cyrl-CS"/>
              </w:rPr>
              <w:t>(а)</w:t>
            </w:r>
          </w:p>
        </w:tc>
        <w:tc>
          <w:tcPr>
            <w:tcW w:w="3220" w:type="pct"/>
          </w:tcPr>
          <w:p w14:paraId="76BEC93F" w14:textId="77777777" w:rsidR="00B16F8D" w:rsidRPr="00895819" w:rsidRDefault="00E42638" w:rsidP="00485361">
            <w:pPr>
              <w:pStyle w:val="BodyText"/>
              <w:spacing w:after="0"/>
              <w:rPr>
                <w:rFonts w:cs="Times New Roman"/>
                <w:snapToGrid w:val="0"/>
                <w:lang w:val="sr-Cyrl-CS"/>
              </w:rPr>
            </w:pPr>
            <w:r w:rsidRPr="00895819">
              <w:rPr>
                <w:rFonts w:cs="Times New Roman"/>
                <w:lang w:val="sr-Cyrl-CS"/>
              </w:rPr>
              <w:t xml:space="preserve">означава свако одобрење, сагласност, пристанак, резолуцију, дозволу, лиценцу, изузеће, документацију, оверу или регистрацију, или било које изузеће у вези са тим, добијено или обезбеђено од стране </w:t>
            </w:r>
            <w:r w:rsidR="00962583" w:rsidRPr="00895819">
              <w:rPr>
                <w:rFonts w:cs="Times New Roman"/>
                <w:lang w:val="sr-Cyrl-CS"/>
              </w:rPr>
              <w:t>Државних органа</w:t>
            </w:r>
            <w:r w:rsidRPr="00895819">
              <w:rPr>
                <w:rFonts w:cs="Times New Roman"/>
                <w:lang w:val="sr-Cyrl-CS"/>
              </w:rPr>
              <w:t>, било да је дато актом или се сматра датим ако се одговор не добије у дефинисаном року, као и свако одобрење и сагласност поверилаца Зајмопримца</w:t>
            </w:r>
            <w:r w:rsidR="00B16F8D" w:rsidRPr="00895819">
              <w:rPr>
                <w:rFonts w:cs="Times New Roman"/>
                <w:lang w:val="sr-Cyrl-CS"/>
              </w:rPr>
              <w:t>.</w:t>
            </w:r>
          </w:p>
        </w:tc>
      </w:tr>
      <w:tr w:rsidR="00B16F8D" w:rsidRPr="00895819" w14:paraId="48BF49E0" w14:textId="77777777" w:rsidTr="00485361">
        <w:tc>
          <w:tcPr>
            <w:tcW w:w="1780" w:type="pct"/>
          </w:tcPr>
          <w:p w14:paraId="524B37D4" w14:textId="77777777" w:rsidR="00B16F8D" w:rsidRPr="00895819" w:rsidRDefault="008E5ADB" w:rsidP="00485361">
            <w:pPr>
              <w:pStyle w:val="BodyText"/>
              <w:spacing w:after="0"/>
              <w:rPr>
                <w:rFonts w:cs="Times New Roman"/>
                <w:lang w:val="sr-Cyrl-CS"/>
              </w:rPr>
            </w:pPr>
            <w:r w:rsidRPr="00895819">
              <w:rPr>
                <w:rFonts w:cs="Times New Roman"/>
                <w:b/>
                <w:lang w:val="sr-Cyrl-CS"/>
              </w:rPr>
              <w:t>Државни о</w:t>
            </w:r>
            <w:r w:rsidR="003109E1" w:rsidRPr="00895819">
              <w:rPr>
                <w:rFonts w:cs="Times New Roman"/>
                <w:b/>
                <w:lang w:val="sr-Cyrl-CS"/>
              </w:rPr>
              <w:t>рган</w:t>
            </w:r>
            <w:r w:rsidR="00B16F8D" w:rsidRPr="00895819">
              <w:rPr>
                <w:rFonts w:cs="Times New Roman"/>
                <w:b/>
                <w:lang w:val="sr-Cyrl-CS"/>
              </w:rPr>
              <w:t>(</w:t>
            </w:r>
            <w:r w:rsidR="003109E1" w:rsidRPr="00895819">
              <w:rPr>
                <w:rFonts w:cs="Times New Roman"/>
                <w:b/>
                <w:lang w:val="sr-Cyrl-CS"/>
              </w:rPr>
              <w:t>и</w:t>
            </w:r>
            <w:r w:rsidR="00B16F8D" w:rsidRPr="00895819">
              <w:rPr>
                <w:rFonts w:cs="Times New Roman"/>
                <w:b/>
                <w:lang w:val="sr-Cyrl-CS"/>
              </w:rPr>
              <w:t>)</w:t>
            </w:r>
          </w:p>
        </w:tc>
        <w:tc>
          <w:tcPr>
            <w:tcW w:w="3220" w:type="pct"/>
          </w:tcPr>
          <w:p w14:paraId="2AA9A22C" w14:textId="77777777" w:rsidR="00B16F8D" w:rsidRPr="00895819" w:rsidRDefault="00962583" w:rsidP="00485361">
            <w:pPr>
              <w:pStyle w:val="BodyText"/>
              <w:spacing w:after="0"/>
              <w:rPr>
                <w:rFonts w:cs="Times New Roman"/>
                <w:lang w:val="sr-Cyrl-CS"/>
              </w:rPr>
            </w:pPr>
            <w:r w:rsidRPr="00895819">
              <w:rPr>
                <w:rFonts w:cs="Times New Roman"/>
                <w:lang w:val="sr-Cyrl-CS"/>
              </w:rPr>
              <w:t>означава</w:t>
            </w:r>
            <w:r w:rsidR="003109E1" w:rsidRPr="00895819">
              <w:rPr>
                <w:rFonts w:cs="Times New Roman"/>
                <w:lang w:val="sr-Cyrl-CS"/>
              </w:rPr>
              <w:t xml:space="preserve"> сваки државни или надлежни орган, сектор или комисију, која врши јавна овлашћења, или било који административни, судски орган или Државу, или било који државни, административни, порески или судски орган</w:t>
            </w:r>
            <w:r w:rsidR="00B16F8D" w:rsidRPr="00895819">
              <w:rPr>
                <w:rFonts w:cs="Times New Roman"/>
                <w:lang w:val="sr-Cyrl-CS"/>
              </w:rPr>
              <w:t>.</w:t>
            </w:r>
          </w:p>
        </w:tc>
      </w:tr>
      <w:tr w:rsidR="00B16F8D" w:rsidRPr="00895819" w14:paraId="424F6986" w14:textId="77777777" w:rsidTr="00485361">
        <w:trPr>
          <w:trHeight w:val="820"/>
        </w:trPr>
        <w:tc>
          <w:tcPr>
            <w:tcW w:w="1780" w:type="pct"/>
          </w:tcPr>
          <w:p w14:paraId="6D81F2AF" w14:textId="77777777" w:rsidR="00B16F8D" w:rsidRPr="00895819" w:rsidRDefault="003109E1" w:rsidP="00485361">
            <w:pPr>
              <w:pStyle w:val="BodyText"/>
              <w:spacing w:after="0"/>
              <w:rPr>
                <w:rFonts w:cs="Times New Roman"/>
                <w:lang w:val="sr-Cyrl-CS"/>
              </w:rPr>
            </w:pPr>
            <w:r w:rsidRPr="00895819">
              <w:rPr>
                <w:rFonts w:cs="Times New Roman"/>
                <w:b/>
                <w:lang w:val="sr-Cyrl-CS"/>
              </w:rPr>
              <w:t>Период расположивости</w:t>
            </w:r>
            <w:r w:rsidR="00B16F8D" w:rsidRPr="00895819">
              <w:rPr>
                <w:rFonts w:cs="Times New Roman"/>
                <w:b/>
                <w:lang w:val="sr-Cyrl-CS"/>
              </w:rPr>
              <w:t xml:space="preserve"> </w:t>
            </w:r>
          </w:p>
        </w:tc>
        <w:tc>
          <w:tcPr>
            <w:tcW w:w="3220" w:type="pct"/>
          </w:tcPr>
          <w:p w14:paraId="2D481B63" w14:textId="77777777" w:rsidR="00B16F8D" w:rsidRPr="00895819" w:rsidRDefault="003109E1" w:rsidP="00485361">
            <w:pPr>
              <w:pStyle w:val="BodyText"/>
              <w:spacing w:after="0"/>
              <w:rPr>
                <w:rFonts w:cs="Times New Roman"/>
                <w:lang w:val="sr-Cyrl-CS"/>
              </w:rPr>
            </w:pPr>
            <w:r w:rsidRPr="00895819">
              <w:rPr>
                <w:rFonts w:cs="Times New Roman"/>
                <w:lang w:val="sr-Cyrl-CS"/>
              </w:rPr>
              <w:t>означава период од Датума потписивања, укључујући и тај дан до Рока за повлачење средстава</w:t>
            </w:r>
            <w:r w:rsidR="00B16F8D" w:rsidRPr="00895819">
              <w:rPr>
                <w:rFonts w:cs="Times New Roman"/>
                <w:lang w:val="sr-Cyrl-CS"/>
              </w:rPr>
              <w:t>.</w:t>
            </w:r>
          </w:p>
        </w:tc>
      </w:tr>
      <w:tr w:rsidR="00B16F8D" w:rsidRPr="00895819" w14:paraId="3DEAEEC6" w14:textId="77777777" w:rsidTr="00485361">
        <w:tc>
          <w:tcPr>
            <w:tcW w:w="1780" w:type="pct"/>
          </w:tcPr>
          <w:p w14:paraId="7B901B3C" w14:textId="77777777" w:rsidR="00B16F8D" w:rsidRPr="00895819" w:rsidRDefault="003109E1" w:rsidP="00485361">
            <w:pPr>
              <w:pStyle w:val="BodyText"/>
              <w:spacing w:after="0"/>
              <w:rPr>
                <w:rFonts w:cs="Times New Roman"/>
                <w:lang w:val="sr-Cyrl-CS"/>
              </w:rPr>
            </w:pPr>
            <w:r w:rsidRPr="00895819">
              <w:rPr>
                <w:rFonts w:cs="Times New Roman"/>
                <w:b/>
                <w:lang w:val="sr-Cyrl-CS"/>
              </w:rPr>
              <w:t>Расположиви кредит</w:t>
            </w:r>
          </w:p>
        </w:tc>
        <w:tc>
          <w:tcPr>
            <w:tcW w:w="3220" w:type="pct"/>
          </w:tcPr>
          <w:p w14:paraId="6271B9AA" w14:textId="232AC45E" w:rsidR="00B16F8D" w:rsidRPr="00895819" w:rsidRDefault="00EA59F1" w:rsidP="00485361">
            <w:pPr>
              <w:pStyle w:val="BodyText"/>
              <w:spacing w:after="0"/>
              <w:rPr>
                <w:rFonts w:cs="Times New Roman"/>
                <w:lang w:val="sr-Cyrl-CS"/>
              </w:rPr>
            </w:pPr>
            <w:r w:rsidRPr="00895819">
              <w:rPr>
                <w:rFonts w:cs="Times New Roman"/>
                <w:lang w:val="sr-Cyrl-CS"/>
              </w:rPr>
              <w:t>означава</w:t>
            </w:r>
            <w:r w:rsidR="00284DB4" w:rsidRPr="00895819">
              <w:rPr>
                <w:rFonts w:cs="Times New Roman"/>
                <w:lang w:val="sr-Cyrl-CS"/>
              </w:rPr>
              <w:t xml:space="preserve">, у било ком тренутку, максимални износ главнице наведен у </w:t>
            </w:r>
            <w:r w:rsidR="00832984" w:rsidRPr="00895819">
              <w:rPr>
                <w:rFonts w:cs="Times New Roman"/>
                <w:lang w:val="sr-Cyrl-CS"/>
              </w:rPr>
              <w:t>ч</w:t>
            </w:r>
            <w:r w:rsidR="00284DB4" w:rsidRPr="00895819">
              <w:rPr>
                <w:rFonts w:cs="Times New Roman"/>
                <w:lang w:val="sr-Cyrl-CS"/>
              </w:rPr>
              <w:t>лану 2.1 (</w:t>
            </w:r>
            <w:r w:rsidR="00A94D0F" w:rsidRPr="00895819">
              <w:rPr>
                <w:rFonts w:cs="Times New Roman"/>
                <w:i/>
                <w:lang w:val="sr-Cyrl-CS"/>
              </w:rPr>
              <w:t>Кредит</w:t>
            </w:r>
            <w:r w:rsidR="00284DB4" w:rsidRPr="00895819">
              <w:rPr>
                <w:rFonts w:cs="Times New Roman"/>
                <w:lang w:val="sr-Cyrl-CS"/>
              </w:rPr>
              <w:t>) умањен за</w:t>
            </w:r>
            <w:r w:rsidR="00B16F8D" w:rsidRPr="00895819">
              <w:rPr>
                <w:rFonts w:cs="Times New Roman"/>
                <w:lang w:val="sr-Cyrl-CS"/>
              </w:rPr>
              <w:t>:</w:t>
            </w:r>
          </w:p>
          <w:p w14:paraId="3FECAC1D" w14:textId="77777777" w:rsidR="00B16F8D" w:rsidRPr="00895819" w:rsidRDefault="00284DB4" w:rsidP="00B16F8D">
            <w:pPr>
              <w:pStyle w:val="BodyText"/>
              <w:numPr>
                <w:ilvl w:val="0"/>
                <w:numId w:val="20"/>
              </w:numPr>
              <w:spacing w:after="0"/>
              <w:ind w:left="453" w:hanging="426"/>
              <w:rPr>
                <w:rFonts w:cs="Times New Roman"/>
                <w:lang w:val="sr-Cyrl-CS"/>
              </w:rPr>
            </w:pPr>
            <w:r w:rsidRPr="00895819">
              <w:rPr>
                <w:rFonts w:cs="Times New Roman"/>
                <w:lang w:val="sr-Cyrl-CS"/>
              </w:rPr>
              <w:t>укупан износ свих Повлачења средстава које је повукао Зајмопримац</w:t>
            </w:r>
            <w:r w:rsidR="00B16F8D" w:rsidRPr="00895819">
              <w:rPr>
                <w:rFonts w:cs="Times New Roman"/>
                <w:lang w:val="sr-Cyrl-CS"/>
              </w:rPr>
              <w:t xml:space="preserve">; </w:t>
            </w:r>
          </w:p>
          <w:p w14:paraId="7593A9F3" w14:textId="77777777" w:rsidR="00B16F8D" w:rsidRPr="00895819" w:rsidRDefault="00EE3A99" w:rsidP="00B16F8D">
            <w:pPr>
              <w:pStyle w:val="BodyText"/>
              <w:numPr>
                <w:ilvl w:val="0"/>
                <w:numId w:val="20"/>
              </w:numPr>
              <w:spacing w:after="0"/>
              <w:ind w:left="453" w:hanging="426"/>
              <w:rPr>
                <w:rFonts w:cs="Times New Roman"/>
                <w:lang w:val="sr-Cyrl-CS"/>
              </w:rPr>
            </w:pPr>
            <w:r w:rsidRPr="00895819">
              <w:rPr>
                <w:rFonts w:cs="Times New Roman"/>
                <w:lang w:val="sr-Cyrl-CS"/>
              </w:rPr>
              <w:lastRenderedPageBreak/>
              <w:t>износ било ког Повлачења средстава који треба да се изврши у складу са било којим Захтевом за повлачење средстава на чекању; и</w:t>
            </w:r>
            <w:r w:rsidR="00B16F8D" w:rsidRPr="00895819">
              <w:rPr>
                <w:rFonts w:cs="Times New Roman"/>
                <w:lang w:val="sr-Cyrl-CS"/>
              </w:rPr>
              <w:t xml:space="preserve"> </w:t>
            </w:r>
          </w:p>
          <w:p w14:paraId="3CEBD22D" w14:textId="77777777" w:rsidR="00B16F8D" w:rsidRPr="00895819" w:rsidRDefault="00EE3A99" w:rsidP="00CB733A">
            <w:pPr>
              <w:pStyle w:val="BodyText"/>
              <w:numPr>
                <w:ilvl w:val="0"/>
                <w:numId w:val="20"/>
              </w:numPr>
              <w:spacing w:after="0"/>
              <w:ind w:left="453" w:hanging="426"/>
              <w:rPr>
                <w:rFonts w:cs="Times New Roman"/>
                <w:lang w:val="sr-Cyrl-CS"/>
              </w:rPr>
            </w:pPr>
            <w:r w:rsidRPr="00895819">
              <w:rPr>
                <w:rFonts w:cs="Times New Roman"/>
                <w:lang w:val="sr-Cyrl-CS"/>
              </w:rPr>
              <w:t>било који део Кредита који је отказан у складу са члановима 8.3 (</w:t>
            </w:r>
            <w:r w:rsidRPr="00895819">
              <w:rPr>
                <w:rFonts w:cs="Times New Roman"/>
                <w:i/>
                <w:lang w:val="sr-Cyrl-CS"/>
              </w:rPr>
              <w:t>Отказивање од стране Зајмопримца</w:t>
            </w:r>
            <w:r w:rsidRPr="00895819">
              <w:rPr>
                <w:rFonts w:cs="Times New Roman"/>
                <w:lang w:val="sr-Cyrl-CS"/>
              </w:rPr>
              <w:t>) и/или 8.4 (</w:t>
            </w:r>
            <w:r w:rsidRPr="00895819">
              <w:rPr>
                <w:rFonts w:cs="Times New Roman"/>
                <w:i/>
                <w:lang w:val="sr-Cyrl-CS"/>
              </w:rPr>
              <w:t>Отказивање од стране Зајмодавца</w:t>
            </w:r>
            <w:r w:rsidR="00CB733A" w:rsidRPr="00895819">
              <w:rPr>
                <w:rFonts w:cs="Times New Roman"/>
                <w:lang w:val="sr-Cyrl-CS"/>
              </w:rPr>
              <w:t>).</w:t>
            </w:r>
          </w:p>
        </w:tc>
      </w:tr>
      <w:tr w:rsidR="007C2CB2" w:rsidRPr="00895819" w14:paraId="71C4BE25" w14:textId="77777777" w:rsidTr="00485361">
        <w:tc>
          <w:tcPr>
            <w:tcW w:w="1780" w:type="pct"/>
          </w:tcPr>
          <w:p w14:paraId="070D429E" w14:textId="23BF89D1" w:rsidR="007C2CB2" w:rsidRPr="00895819" w:rsidRDefault="007C2CB2" w:rsidP="00485361">
            <w:pPr>
              <w:pStyle w:val="BodyText"/>
              <w:spacing w:after="0"/>
              <w:rPr>
                <w:rFonts w:cs="Times New Roman"/>
                <w:b/>
                <w:lang w:val="sr-Cyrl-CS"/>
              </w:rPr>
            </w:pPr>
            <w:r w:rsidRPr="00895819">
              <w:rPr>
                <w:rFonts w:cs="Times New Roman"/>
                <w:b/>
                <w:lang w:val="sr-Cyrl-CS"/>
              </w:rPr>
              <w:lastRenderedPageBreak/>
              <w:t>ГПРБ</w:t>
            </w:r>
          </w:p>
        </w:tc>
        <w:tc>
          <w:tcPr>
            <w:tcW w:w="3220" w:type="pct"/>
          </w:tcPr>
          <w:p w14:paraId="22C16ECF" w14:textId="0616D63E" w:rsidR="007C2CB2" w:rsidRPr="00895819" w:rsidRDefault="007C2CB2" w:rsidP="00485361">
            <w:pPr>
              <w:pStyle w:val="BodyText"/>
              <w:spacing w:after="0"/>
              <w:rPr>
                <w:rFonts w:cs="Times New Roman"/>
                <w:lang w:val="sr-Cyrl-CS"/>
              </w:rPr>
            </w:pPr>
            <w:r w:rsidRPr="00895819">
              <w:rPr>
                <w:rFonts w:cs="Times New Roman"/>
                <w:lang w:val="sr-Cyrl-CS"/>
              </w:rPr>
              <w:t>Годишњи план рада и буџет</w:t>
            </w:r>
          </w:p>
        </w:tc>
      </w:tr>
      <w:tr w:rsidR="00AF2B27" w:rsidRPr="00895819" w14:paraId="641DC8AD" w14:textId="77777777" w:rsidTr="00485361">
        <w:tc>
          <w:tcPr>
            <w:tcW w:w="1780" w:type="pct"/>
          </w:tcPr>
          <w:p w14:paraId="78D70761" w14:textId="77777777" w:rsidR="00AF2B27" w:rsidRPr="00895819" w:rsidRDefault="003B11EB" w:rsidP="00485361">
            <w:pPr>
              <w:pStyle w:val="BodyText"/>
              <w:spacing w:after="0"/>
              <w:rPr>
                <w:rFonts w:cs="Times New Roman"/>
                <w:b/>
                <w:lang w:val="sr-Cyrl-CS"/>
              </w:rPr>
            </w:pPr>
            <w:r w:rsidRPr="00895819">
              <w:rPr>
                <w:rFonts w:cs="Times New Roman"/>
                <w:b/>
                <w:lang w:val="sr-Cyrl-CS"/>
              </w:rPr>
              <w:t>Браон расходи</w:t>
            </w:r>
          </w:p>
        </w:tc>
        <w:tc>
          <w:tcPr>
            <w:tcW w:w="3220" w:type="pct"/>
          </w:tcPr>
          <w:p w14:paraId="6C431231" w14:textId="77777777" w:rsidR="00AF2B27" w:rsidRPr="00895819" w:rsidRDefault="003B11EB" w:rsidP="00485361">
            <w:pPr>
              <w:pStyle w:val="BodyText"/>
              <w:spacing w:after="0"/>
              <w:rPr>
                <w:rFonts w:cs="Times New Roman"/>
                <w:lang w:val="sr-Cyrl-CS"/>
              </w:rPr>
            </w:pPr>
            <w:r w:rsidRPr="00895819">
              <w:rPr>
                <w:szCs w:val="22"/>
                <w:lang w:val="sr-Cyrl-CS"/>
              </w:rPr>
              <w:t>означавају расходе који су штетни по животну средину, као што су расходи који се односе на високе емисије или веће загађење</w:t>
            </w:r>
            <w:r w:rsidR="00AF2B27" w:rsidRPr="00895819">
              <w:rPr>
                <w:szCs w:val="22"/>
                <w:lang w:val="sr-Cyrl-CS"/>
              </w:rPr>
              <w:t>.</w:t>
            </w:r>
          </w:p>
        </w:tc>
      </w:tr>
      <w:tr w:rsidR="00AF2B27" w:rsidRPr="00895819" w14:paraId="09AAF2FB" w14:textId="77777777" w:rsidTr="00485361">
        <w:tc>
          <w:tcPr>
            <w:tcW w:w="1780" w:type="pct"/>
          </w:tcPr>
          <w:p w14:paraId="65A87DD2" w14:textId="77777777" w:rsidR="00AF2B27" w:rsidRPr="00895819" w:rsidRDefault="00EE3A99" w:rsidP="00485361">
            <w:pPr>
              <w:pStyle w:val="BodyText"/>
              <w:spacing w:after="0"/>
              <w:rPr>
                <w:rFonts w:cs="Times New Roman"/>
                <w:b/>
                <w:lang w:val="sr-Cyrl-CS"/>
              </w:rPr>
            </w:pPr>
            <w:r w:rsidRPr="00895819">
              <w:rPr>
                <w:rFonts w:cs="Times New Roman"/>
                <w:b/>
                <w:lang w:val="sr-Cyrl-CS"/>
              </w:rPr>
              <w:t>Закон о буџету</w:t>
            </w:r>
          </w:p>
        </w:tc>
        <w:tc>
          <w:tcPr>
            <w:tcW w:w="3220" w:type="pct"/>
          </w:tcPr>
          <w:p w14:paraId="0BEFCD7D" w14:textId="77777777" w:rsidR="00AF2B27" w:rsidRPr="00895819" w:rsidRDefault="00EE3A99" w:rsidP="00485361">
            <w:pPr>
              <w:pStyle w:val="BodyText"/>
              <w:spacing w:after="0"/>
              <w:rPr>
                <w:rFonts w:cs="Times New Roman"/>
                <w:lang w:val="sr-Cyrl-CS"/>
              </w:rPr>
            </w:pPr>
            <w:r w:rsidRPr="00895819">
              <w:rPr>
                <w:szCs w:val="22"/>
                <w:lang w:val="sr-Cyrl-CS"/>
              </w:rPr>
              <w:t>означава закон који доноси Зајмопримац на годишњем нивоу којим се утврђује државни буџет</w:t>
            </w:r>
            <w:r w:rsidR="00AF2B27" w:rsidRPr="00895819">
              <w:rPr>
                <w:szCs w:val="22"/>
                <w:lang w:val="sr-Cyrl-CS"/>
              </w:rPr>
              <w:t>.</w:t>
            </w:r>
          </w:p>
        </w:tc>
      </w:tr>
      <w:tr w:rsidR="00B16F8D" w:rsidRPr="00895819" w14:paraId="37E4791E" w14:textId="77777777" w:rsidTr="00485361">
        <w:tc>
          <w:tcPr>
            <w:tcW w:w="1780" w:type="pct"/>
          </w:tcPr>
          <w:p w14:paraId="7E382DFE" w14:textId="77777777" w:rsidR="00B16F8D" w:rsidRPr="00895819" w:rsidRDefault="00EE3A99" w:rsidP="00485361">
            <w:pPr>
              <w:pStyle w:val="BodyText"/>
              <w:spacing w:after="0"/>
              <w:rPr>
                <w:rFonts w:cs="Times New Roman"/>
                <w:b/>
                <w:lang w:val="sr-Cyrl-CS"/>
              </w:rPr>
            </w:pPr>
            <w:r w:rsidRPr="00895819">
              <w:rPr>
                <w:rFonts w:cs="Times New Roman"/>
                <w:b/>
                <w:lang w:val="sr-Cyrl-CS"/>
              </w:rPr>
              <w:t xml:space="preserve">Транша буџетске подршке </w:t>
            </w:r>
          </w:p>
        </w:tc>
        <w:tc>
          <w:tcPr>
            <w:tcW w:w="3220" w:type="pct"/>
          </w:tcPr>
          <w:p w14:paraId="4C496CEC" w14:textId="77777777" w:rsidR="00B16F8D" w:rsidRPr="00895819" w:rsidRDefault="00EE3A99" w:rsidP="00485361">
            <w:pPr>
              <w:pStyle w:val="BodyText"/>
              <w:spacing w:after="0"/>
              <w:rPr>
                <w:rFonts w:cs="Times New Roman"/>
                <w:lang w:val="sr-Cyrl-CS"/>
              </w:rPr>
            </w:pPr>
            <w:r w:rsidRPr="00895819">
              <w:rPr>
                <w:rFonts w:cs="Times New Roman"/>
                <w:lang w:val="sr-Cyrl-CS"/>
              </w:rPr>
              <w:t>означава део Кредита којим се финансира Оквир расхода и који се уплаћује на Рачун трезора</w:t>
            </w:r>
            <w:r w:rsidR="00B16F8D" w:rsidRPr="00895819">
              <w:rPr>
                <w:rFonts w:cs="Times New Roman"/>
                <w:lang w:val="sr-Cyrl-CS"/>
              </w:rPr>
              <w:t>.</w:t>
            </w:r>
          </w:p>
        </w:tc>
      </w:tr>
      <w:tr w:rsidR="00B16F8D" w:rsidRPr="00895819" w14:paraId="0226847B" w14:textId="77777777" w:rsidTr="00485361">
        <w:tc>
          <w:tcPr>
            <w:tcW w:w="1780" w:type="pct"/>
          </w:tcPr>
          <w:p w14:paraId="53075681" w14:textId="77777777" w:rsidR="00B16F8D" w:rsidRPr="00895819" w:rsidRDefault="00EE3A99" w:rsidP="00485361">
            <w:pPr>
              <w:pStyle w:val="BodyText"/>
              <w:spacing w:after="0"/>
              <w:rPr>
                <w:rFonts w:cs="Times New Roman"/>
                <w:lang w:val="sr-Cyrl-CS"/>
              </w:rPr>
            </w:pPr>
            <w:r w:rsidRPr="00895819">
              <w:rPr>
                <w:rFonts w:cs="Times New Roman"/>
                <w:b/>
                <w:lang w:val="sr-Cyrl-CS"/>
              </w:rPr>
              <w:t>Радни дан</w:t>
            </w:r>
          </w:p>
        </w:tc>
        <w:tc>
          <w:tcPr>
            <w:tcW w:w="3220" w:type="pct"/>
          </w:tcPr>
          <w:p w14:paraId="5B8E6E33" w14:textId="77777777" w:rsidR="00B16F8D" w:rsidRPr="00895819" w:rsidRDefault="001D508F" w:rsidP="00485361">
            <w:pPr>
              <w:pStyle w:val="BodyText"/>
              <w:spacing w:after="0"/>
              <w:rPr>
                <w:rFonts w:cs="Times New Roman"/>
                <w:lang w:val="sr-Cyrl-CS"/>
              </w:rPr>
            </w:pPr>
            <w:r w:rsidRPr="00895819">
              <w:rPr>
                <w:rFonts w:cs="Times New Roman"/>
                <w:lang w:val="sr-Cyrl-CS"/>
              </w:rPr>
              <w:t>означава дан (осим суботе или недеље) на који су банке отворене цео дан за опште послове у Паризу, и који је TARGET дан у случају да се Повлачење средстава мора извршити тог дана</w:t>
            </w:r>
            <w:r w:rsidR="00B16F8D" w:rsidRPr="00895819">
              <w:rPr>
                <w:rFonts w:cs="Times New Roman"/>
                <w:lang w:val="sr-Cyrl-CS"/>
              </w:rPr>
              <w:t>.</w:t>
            </w:r>
          </w:p>
        </w:tc>
      </w:tr>
      <w:tr w:rsidR="00AF2B27" w:rsidRPr="00895819" w14:paraId="0268640A" w14:textId="77777777" w:rsidTr="00485361">
        <w:tc>
          <w:tcPr>
            <w:tcW w:w="1780" w:type="pct"/>
          </w:tcPr>
          <w:p w14:paraId="1AB51005" w14:textId="77777777" w:rsidR="00AF2B27" w:rsidRPr="00895819" w:rsidRDefault="00026C90" w:rsidP="00485361">
            <w:pPr>
              <w:pStyle w:val="BodyText"/>
              <w:spacing w:after="0"/>
              <w:rPr>
                <w:rFonts w:cs="Times New Roman"/>
                <w:b/>
                <w:lang w:val="sr-Cyrl-CS"/>
              </w:rPr>
            </w:pPr>
            <w:r w:rsidRPr="00895819">
              <w:rPr>
                <w:rFonts w:cs="Times New Roman"/>
                <w:b/>
                <w:lang w:val="sr-Cyrl-CS"/>
              </w:rPr>
              <w:t>Калкулатор</w:t>
            </w:r>
          </w:p>
        </w:tc>
        <w:tc>
          <w:tcPr>
            <w:tcW w:w="3220" w:type="pct"/>
          </w:tcPr>
          <w:p w14:paraId="2F343F2D" w14:textId="77777777" w:rsidR="00AF2B27" w:rsidRPr="00895819" w:rsidRDefault="00026C90" w:rsidP="00485361">
            <w:pPr>
              <w:pStyle w:val="BodyText"/>
              <w:spacing w:after="0"/>
              <w:rPr>
                <w:rFonts w:cs="Times New Roman"/>
                <w:snapToGrid w:val="0"/>
                <w:lang w:val="sr-Cyrl-CS"/>
              </w:rPr>
            </w:pPr>
            <w:r w:rsidRPr="00895819">
              <w:rPr>
                <w:szCs w:val="22"/>
                <w:lang w:val="sr-Cyrl-CS"/>
              </w:rPr>
              <w:t>означава софтвер за обрачун трошкова за потребе припреме Докумената јавних политика</w:t>
            </w:r>
            <w:r w:rsidR="00AF2B27" w:rsidRPr="00895819">
              <w:rPr>
                <w:szCs w:val="22"/>
                <w:lang w:val="sr-Cyrl-CS"/>
              </w:rPr>
              <w:t>.</w:t>
            </w:r>
          </w:p>
        </w:tc>
      </w:tr>
      <w:tr w:rsidR="00AF2B27" w:rsidRPr="00895819" w14:paraId="4FE86BF6" w14:textId="77777777" w:rsidTr="00485361">
        <w:tc>
          <w:tcPr>
            <w:tcW w:w="1780" w:type="pct"/>
          </w:tcPr>
          <w:p w14:paraId="79D27A11" w14:textId="77777777" w:rsidR="00AF2B27" w:rsidRPr="00895819" w:rsidRDefault="001D508F" w:rsidP="00485361">
            <w:pPr>
              <w:pStyle w:val="BodyText"/>
              <w:spacing w:after="0"/>
              <w:rPr>
                <w:rFonts w:cs="Times New Roman"/>
                <w:b/>
                <w:lang w:val="sr-Cyrl-CS"/>
              </w:rPr>
            </w:pPr>
            <w:r w:rsidRPr="00895819">
              <w:rPr>
                <w:rFonts w:cs="Times New Roman"/>
                <w:b/>
                <w:lang w:val="sr-Cyrl-CS"/>
              </w:rPr>
              <w:t>Капитални пројекти</w:t>
            </w:r>
          </w:p>
        </w:tc>
        <w:tc>
          <w:tcPr>
            <w:tcW w:w="3220" w:type="pct"/>
          </w:tcPr>
          <w:p w14:paraId="1AA1E55A" w14:textId="77777777" w:rsidR="00AF2B27" w:rsidRPr="00895819" w:rsidRDefault="001D508F" w:rsidP="00485361">
            <w:pPr>
              <w:pStyle w:val="BodyText"/>
              <w:spacing w:after="0"/>
              <w:rPr>
                <w:rFonts w:cs="Times New Roman"/>
                <w:snapToGrid w:val="0"/>
                <w:lang w:val="sr-Cyrl-CS"/>
              </w:rPr>
            </w:pPr>
            <w:r w:rsidRPr="00895819">
              <w:rPr>
                <w:rFonts w:cs="Times New Roman"/>
                <w:snapToGrid w:val="0"/>
                <w:lang w:val="sr-Cyrl-CS"/>
              </w:rPr>
              <w:t xml:space="preserve">означавају </w:t>
            </w:r>
            <w:r w:rsidR="00AF2B27" w:rsidRPr="00895819">
              <w:rPr>
                <w:rFonts w:cs="Times New Roman"/>
                <w:snapToGrid w:val="0"/>
                <w:lang w:val="sr-Cyrl-CS"/>
              </w:rPr>
              <w:t xml:space="preserve">(i) </w:t>
            </w:r>
            <w:r w:rsidRPr="00895819">
              <w:rPr>
                <w:rFonts w:cs="Times New Roman"/>
                <w:snapToGrid w:val="0"/>
                <w:lang w:val="sr-Cyrl-CS"/>
              </w:rPr>
              <w:t>пројекат изградње или већег одржавања зграда или инфраструктурних објеката од интереса за Зајмопримца или локалну власт, укључујући услуге планирања пројекта које су саставни де</w:t>
            </w:r>
            <w:r w:rsidR="00833963" w:rsidRPr="00895819">
              <w:rPr>
                <w:rFonts w:cs="Times New Roman"/>
                <w:snapToGrid w:val="0"/>
                <w:lang w:val="sr-Cyrl-CS"/>
              </w:rPr>
              <w:t>о</w:t>
            </w:r>
            <w:r w:rsidRPr="00895819">
              <w:rPr>
                <w:rFonts w:cs="Times New Roman"/>
                <w:snapToGrid w:val="0"/>
                <w:lang w:val="sr-Cyrl-CS"/>
              </w:rPr>
              <w:t xml:space="preserve"> таквог пројекта и набавку земљишта за изградњу</w:t>
            </w:r>
            <w:r w:rsidR="00AF2B27" w:rsidRPr="00895819">
              <w:rPr>
                <w:rFonts w:cs="Times New Roman"/>
                <w:snapToGrid w:val="0"/>
                <w:lang w:val="sr-Cyrl-CS"/>
              </w:rPr>
              <w:t xml:space="preserve">; (ii) </w:t>
            </w:r>
            <w:r w:rsidRPr="00895819">
              <w:rPr>
                <w:rFonts w:cs="Times New Roman"/>
                <w:snapToGrid w:val="0"/>
                <w:lang w:val="sr-Cyrl-CS"/>
              </w:rPr>
              <w:t>пројекат који укључује улагање у опрему, машине и другу нефинансијску имовину која служи јавном интересу</w:t>
            </w:r>
            <w:r w:rsidR="00AF2B27" w:rsidRPr="00895819">
              <w:rPr>
                <w:rFonts w:cs="Times New Roman"/>
                <w:snapToGrid w:val="0"/>
                <w:lang w:val="sr-Cyrl-CS"/>
              </w:rPr>
              <w:t>; [</w:t>
            </w:r>
            <w:r w:rsidRPr="00895819">
              <w:rPr>
                <w:rFonts w:cs="Times New Roman"/>
                <w:snapToGrid w:val="0"/>
                <w:lang w:val="sr-Cyrl-CS"/>
              </w:rPr>
              <w:t>и</w:t>
            </w:r>
            <w:r w:rsidR="00AF2B27" w:rsidRPr="00895819">
              <w:rPr>
                <w:rFonts w:cs="Times New Roman"/>
                <w:snapToGrid w:val="0"/>
                <w:lang w:val="sr-Cyrl-CS"/>
              </w:rPr>
              <w:t>/</w:t>
            </w:r>
            <w:r w:rsidRPr="00895819">
              <w:rPr>
                <w:rFonts w:cs="Times New Roman"/>
                <w:snapToGrid w:val="0"/>
                <w:lang w:val="sr-Cyrl-CS"/>
              </w:rPr>
              <w:t>или</w:t>
            </w:r>
            <w:r w:rsidR="00AF2B27" w:rsidRPr="00895819">
              <w:rPr>
                <w:rFonts w:cs="Times New Roman"/>
                <w:snapToGrid w:val="0"/>
                <w:lang w:val="sr-Cyrl-CS"/>
              </w:rPr>
              <w:t xml:space="preserve">] (iii) </w:t>
            </w:r>
            <w:r w:rsidRPr="00895819">
              <w:rPr>
                <w:rFonts w:cs="Times New Roman"/>
                <w:snapToGrid w:val="0"/>
                <w:lang w:val="sr-Cyrl-CS"/>
              </w:rPr>
              <w:t xml:space="preserve">јавне инвестиције </w:t>
            </w:r>
            <w:r w:rsidR="00330435" w:rsidRPr="00895819">
              <w:rPr>
                <w:rFonts w:cs="Times New Roman"/>
                <w:snapToGrid w:val="0"/>
                <w:lang w:val="sr-Cyrl-CS"/>
              </w:rPr>
              <w:t xml:space="preserve">финансиране из буџета Зајмопримца, буџета локалне власти, зајма и/или гранта примљених у име Зајмопримца или за који Зајмопримац гарантује </w:t>
            </w:r>
            <w:r w:rsidRPr="00895819">
              <w:rPr>
                <w:rFonts w:cs="Times New Roman"/>
                <w:snapToGrid w:val="0"/>
                <w:lang w:val="sr-Cyrl-CS"/>
              </w:rPr>
              <w:t>у нефинансијск</w:t>
            </w:r>
            <w:r w:rsidR="00895543" w:rsidRPr="00895819">
              <w:rPr>
                <w:rFonts w:cs="Times New Roman"/>
                <w:snapToGrid w:val="0"/>
                <w:lang w:val="sr-Cyrl-CS"/>
              </w:rPr>
              <w:t xml:space="preserve">у имовину </w:t>
            </w:r>
            <w:r w:rsidR="00833963" w:rsidRPr="00895819">
              <w:rPr>
                <w:rFonts w:cs="Times New Roman"/>
                <w:snapToGrid w:val="0"/>
                <w:lang w:val="sr-Cyrl-CS"/>
              </w:rPr>
              <w:t xml:space="preserve">чији је употребни век </w:t>
            </w:r>
            <w:r w:rsidR="00895543" w:rsidRPr="00895819">
              <w:rPr>
                <w:rFonts w:cs="Times New Roman"/>
                <w:snapToGrid w:val="0"/>
                <w:lang w:val="sr-Cyrl-CS"/>
              </w:rPr>
              <w:t xml:space="preserve">или животни циклус </w:t>
            </w:r>
            <w:r w:rsidRPr="00895819">
              <w:rPr>
                <w:rFonts w:cs="Times New Roman"/>
                <w:snapToGrid w:val="0"/>
                <w:lang w:val="sr-Cyrl-CS"/>
              </w:rPr>
              <w:t>дужи од једне године</w:t>
            </w:r>
            <w:r w:rsidR="00AF2B27" w:rsidRPr="00895819">
              <w:rPr>
                <w:rFonts w:cs="Times New Roman"/>
                <w:snapToGrid w:val="0"/>
                <w:lang w:val="sr-Cyrl-CS"/>
              </w:rPr>
              <w:t>.</w:t>
            </w:r>
          </w:p>
        </w:tc>
      </w:tr>
      <w:tr w:rsidR="00CD48E7" w:rsidRPr="00895819" w14:paraId="73D29EA8" w14:textId="77777777" w:rsidTr="00485361">
        <w:tc>
          <w:tcPr>
            <w:tcW w:w="1780" w:type="pct"/>
          </w:tcPr>
          <w:p w14:paraId="22829409" w14:textId="77777777" w:rsidR="00CD48E7" w:rsidRPr="00895819" w:rsidRDefault="001D508F" w:rsidP="00485361">
            <w:pPr>
              <w:pStyle w:val="BodyText"/>
              <w:spacing w:after="0"/>
              <w:rPr>
                <w:rFonts w:cs="Times New Roman"/>
                <w:b/>
                <w:lang w:val="sr-Cyrl-CS"/>
              </w:rPr>
            </w:pPr>
            <w:r w:rsidRPr="00895819">
              <w:rPr>
                <w:rFonts w:cs="Times New Roman"/>
                <w:b/>
                <w:lang w:val="sr-Cyrl-CS"/>
              </w:rPr>
              <w:t xml:space="preserve">Централна фидуцијарна јединица </w:t>
            </w:r>
            <w:r w:rsidRPr="00895819">
              <w:rPr>
                <w:rFonts w:cs="Times New Roman"/>
                <w:bCs w:val="0"/>
                <w:lang w:val="sr-Cyrl-CS"/>
              </w:rPr>
              <w:t>или</w:t>
            </w:r>
            <w:r w:rsidRPr="00895819">
              <w:rPr>
                <w:rFonts w:cs="Times New Roman"/>
                <w:b/>
                <w:lang w:val="sr-Cyrl-CS"/>
              </w:rPr>
              <w:t xml:space="preserve"> ЦФЈ </w:t>
            </w:r>
          </w:p>
        </w:tc>
        <w:tc>
          <w:tcPr>
            <w:tcW w:w="3220" w:type="pct"/>
          </w:tcPr>
          <w:p w14:paraId="0675E4AE" w14:textId="27DCC069" w:rsidR="00CD48E7" w:rsidRPr="00895819" w:rsidRDefault="001D508F" w:rsidP="00485361">
            <w:pPr>
              <w:pStyle w:val="BodyText"/>
              <w:spacing w:after="0"/>
              <w:rPr>
                <w:rFonts w:cs="Times New Roman"/>
                <w:snapToGrid w:val="0"/>
                <w:lang w:val="sr-Cyrl-CS"/>
              </w:rPr>
            </w:pPr>
            <w:r w:rsidRPr="00895819">
              <w:rPr>
                <w:rFonts w:cs="Times New Roman"/>
                <w:lang w:val="sr-Cyrl-CS"/>
              </w:rPr>
              <w:t xml:space="preserve">означава јединицу при МФ </w:t>
            </w:r>
            <w:r w:rsidR="001A048F" w:rsidRPr="00895819">
              <w:rPr>
                <w:rFonts w:cs="Times New Roman"/>
                <w:lang w:val="sr-Cyrl-CS"/>
              </w:rPr>
              <w:t xml:space="preserve">из члана </w:t>
            </w:r>
            <w:r w:rsidR="00BF1DBD" w:rsidRPr="00895819">
              <w:rPr>
                <w:szCs w:val="22"/>
                <w:lang w:val="sr-Cyrl-CS"/>
              </w:rPr>
              <w:t>11.16 (ц</w:t>
            </w:r>
            <w:r w:rsidR="008A619C" w:rsidRPr="00895819">
              <w:rPr>
                <w:szCs w:val="22"/>
                <w:lang w:val="sr-Cyrl-CS"/>
              </w:rPr>
              <w:t xml:space="preserve">) </w:t>
            </w:r>
            <w:r w:rsidR="001A048F" w:rsidRPr="00895819">
              <w:rPr>
                <w:szCs w:val="22"/>
                <w:lang w:val="sr-Cyrl-CS"/>
              </w:rPr>
              <w:t xml:space="preserve">овог </w:t>
            </w:r>
            <w:r w:rsidR="00892068" w:rsidRPr="00895819">
              <w:rPr>
                <w:szCs w:val="22"/>
                <w:lang w:val="sr-Cyrl-CS"/>
              </w:rPr>
              <w:t>у</w:t>
            </w:r>
            <w:r w:rsidR="001A048F" w:rsidRPr="00895819">
              <w:rPr>
                <w:szCs w:val="22"/>
                <w:lang w:val="sr-Cyrl-CS"/>
              </w:rPr>
              <w:t>говора</w:t>
            </w:r>
            <w:r w:rsidR="008A619C" w:rsidRPr="00895819">
              <w:rPr>
                <w:szCs w:val="22"/>
                <w:lang w:val="sr-Cyrl-CS"/>
              </w:rPr>
              <w:t>.</w:t>
            </w:r>
          </w:p>
        </w:tc>
      </w:tr>
      <w:tr w:rsidR="00B16F8D" w:rsidRPr="00895819" w14:paraId="10033BBC" w14:textId="77777777" w:rsidTr="00485361">
        <w:tc>
          <w:tcPr>
            <w:tcW w:w="1780" w:type="pct"/>
          </w:tcPr>
          <w:p w14:paraId="721D7CC1" w14:textId="77777777" w:rsidR="00B16F8D" w:rsidRPr="00895819" w:rsidRDefault="001D508F" w:rsidP="00485361">
            <w:pPr>
              <w:pStyle w:val="BodyText"/>
              <w:spacing w:after="0"/>
              <w:rPr>
                <w:rFonts w:cs="Times New Roman"/>
                <w:b/>
                <w:lang w:val="sr-Cyrl-CS"/>
              </w:rPr>
            </w:pPr>
            <w:r w:rsidRPr="00895819">
              <w:rPr>
                <w:rFonts w:cs="Times New Roman"/>
                <w:b/>
                <w:lang w:val="sr-Cyrl-CS"/>
              </w:rPr>
              <w:t>Оверен</w:t>
            </w:r>
          </w:p>
        </w:tc>
        <w:tc>
          <w:tcPr>
            <w:tcW w:w="3220" w:type="pct"/>
          </w:tcPr>
          <w:p w14:paraId="7047DD57" w14:textId="77777777" w:rsidR="00B16F8D" w:rsidRPr="00895819" w:rsidRDefault="001A048F" w:rsidP="00485361">
            <w:pPr>
              <w:pStyle w:val="BodyText"/>
              <w:spacing w:after="0"/>
              <w:rPr>
                <w:rFonts w:cs="Times New Roman"/>
                <w:snapToGrid w:val="0"/>
                <w:lang w:val="sr-Cyrl-CS"/>
              </w:rPr>
            </w:pPr>
            <w:r w:rsidRPr="00895819">
              <w:rPr>
                <w:rFonts w:cs="Times New Roman"/>
                <w:snapToGrid w:val="0"/>
                <w:lang w:val="sr-Cyrl-CS"/>
              </w:rPr>
              <w:t>означава сваки примерак, фотокопију или другу копију било ког оригиналног документа, оверену од стране прописно овлашћеног лица чиме се потврђује да примерак, фотокопија или друга копија одговара оригиналном документу</w:t>
            </w:r>
            <w:r w:rsidR="00B16F8D" w:rsidRPr="00895819">
              <w:rPr>
                <w:rFonts w:cs="Times New Roman"/>
                <w:snapToGrid w:val="0"/>
                <w:lang w:val="sr-Cyrl-CS"/>
              </w:rPr>
              <w:t>.</w:t>
            </w:r>
          </w:p>
        </w:tc>
      </w:tr>
      <w:tr w:rsidR="00404A60" w:rsidRPr="00895819" w14:paraId="2A027D15" w14:textId="77777777" w:rsidTr="00485361">
        <w:tc>
          <w:tcPr>
            <w:tcW w:w="1780" w:type="pct"/>
          </w:tcPr>
          <w:p w14:paraId="671748C7" w14:textId="77777777" w:rsidR="00404A60" w:rsidRPr="00895819" w:rsidRDefault="001A048F" w:rsidP="00485361">
            <w:pPr>
              <w:pStyle w:val="BodyText"/>
              <w:spacing w:after="0"/>
              <w:rPr>
                <w:rFonts w:cs="Times New Roman"/>
                <w:b/>
                <w:lang w:val="sr-Cyrl-CS"/>
              </w:rPr>
            </w:pPr>
            <w:r w:rsidRPr="00895819">
              <w:rPr>
                <w:rFonts w:cs="Times New Roman"/>
                <w:b/>
                <w:lang w:val="sr-Cyrl-CS"/>
              </w:rPr>
              <w:t>Грађански буџет</w:t>
            </w:r>
          </w:p>
        </w:tc>
        <w:tc>
          <w:tcPr>
            <w:tcW w:w="3220" w:type="pct"/>
          </w:tcPr>
          <w:p w14:paraId="034FDDF4" w14:textId="77777777" w:rsidR="00404A60" w:rsidRPr="00895819" w:rsidRDefault="001A048F" w:rsidP="00485361">
            <w:pPr>
              <w:pStyle w:val="BodyText"/>
              <w:spacing w:after="0"/>
              <w:rPr>
                <w:rFonts w:cs="Times New Roman"/>
                <w:snapToGrid w:val="0"/>
                <w:lang w:val="sr-Cyrl-CS"/>
              </w:rPr>
            </w:pPr>
            <w:r w:rsidRPr="00895819">
              <w:rPr>
                <w:szCs w:val="18"/>
                <w:lang w:val="sr-Cyrl-CS"/>
              </w:rPr>
              <w:t>означава Водич кроз буџет Републике Србије, документ коју објављује МФ који прати Закон о буџету и има за циљ да грађанима приближи алокације и циљеве годишњег буџета на нетехнички и једноставан начин</w:t>
            </w:r>
            <w:r w:rsidR="00404A60" w:rsidRPr="00895819">
              <w:rPr>
                <w:szCs w:val="18"/>
                <w:lang w:val="sr-Cyrl-CS"/>
              </w:rPr>
              <w:t>.</w:t>
            </w:r>
          </w:p>
        </w:tc>
      </w:tr>
      <w:tr w:rsidR="00B16F8D" w:rsidRPr="00895819" w14:paraId="29ED89A9" w14:textId="77777777" w:rsidTr="00485361">
        <w:tc>
          <w:tcPr>
            <w:tcW w:w="1780" w:type="pct"/>
          </w:tcPr>
          <w:p w14:paraId="3C856540" w14:textId="77777777" w:rsidR="00B16F8D" w:rsidRPr="00895819" w:rsidRDefault="001A048F" w:rsidP="00485361">
            <w:pPr>
              <w:pStyle w:val="BodyText"/>
              <w:spacing w:after="0"/>
              <w:rPr>
                <w:rFonts w:cs="Times New Roman"/>
                <w:b/>
                <w:lang w:val="sr-Cyrl-CS"/>
              </w:rPr>
            </w:pPr>
            <w:r w:rsidRPr="00895819">
              <w:rPr>
                <w:rFonts w:cs="Times New Roman"/>
                <w:b/>
                <w:lang w:val="sr-Cyrl-CS"/>
              </w:rPr>
              <w:t>Суфинансијер</w:t>
            </w:r>
          </w:p>
        </w:tc>
        <w:tc>
          <w:tcPr>
            <w:tcW w:w="3220" w:type="pct"/>
          </w:tcPr>
          <w:p w14:paraId="648A11D4" w14:textId="77777777" w:rsidR="00B16F8D" w:rsidRPr="00895819" w:rsidRDefault="001A048F" w:rsidP="00485361">
            <w:pPr>
              <w:pStyle w:val="BodyText"/>
              <w:spacing w:after="0"/>
              <w:rPr>
                <w:rFonts w:cs="Times New Roman"/>
                <w:snapToGrid w:val="0"/>
                <w:lang w:val="sr-Cyrl-CS"/>
              </w:rPr>
            </w:pPr>
            <w:r w:rsidRPr="00895819">
              <w:rPr>
                <w:rFonts w:cs="Times New Roman"/>
                <w:snapToGrid w:val="0"/>
                <w:lang w:val="sr-Cyrl-CS"/>
              </w:rPr>
              <w:t xml:space="preserve">означава </w:t>
            </w:r>
            <w:r w:rsidR="00E33D2F" w:rsidRPr="00895819">
              <w:rPr>
                <w:rFonts w:cs="Times New Roman"/>
                <w:snapToGrid w:val="0"/>
                <w:lang w:val="sr-Cyrl-CS"/>
              </w:rPr>
              <w:t>следеће суфинансијере Операције</w:t>
            </w:r>
            <w:r w:rsidR="00B16F8D" w:rsidRPr="00895819">
              <w:rPr>
                <w:rFonts w:cs="Times New Roman"/>
                <w:snapToGrid w:val="0"/>
                <w:lang w:val="sr-Cyrl-CS"/>
              </w:rPr>
              <w:t xml:space="preserve">: </w:t>
            </w:r>
          </w:p>
          <w:p w14:paraId="1FDADA18" w14:textId="77777777" w:rsidR="00B16F8D" w:rsidRPr="00895819" w:rsidRDefault="00E33D2F" w:rsidP="00BE772E">
            <w:pPr>
              <w:pStyle w:val="BodyText"/>
              <w:spacing w:after="0"/>
              <w:rPr>
                <w:rFonts w:cs="Times New Roman"/>
                <w:lang w:val="sr-Cyrl-CS"/>
              </w:rPr>
            </w:pPr>
            <w:r w:rsidRPr="00895819">
              <w:rPr>
                <w:rFonts w:cs="Times New Roman"/>
                <w:lang w:val="sr-Cyrl-CS"/>
              </w:rPr>
              <w:t>Међународн</w:t>
            </w:r>
            <w:r w:rsidR="00504620" w:rsidRPr="00895819">
              <w:rPr>
                <w:rFonts w:cs="Times New Roman"/>
                <w:lang w:val="sr-Cyrl-CS"/>
              </w:rPr>
              <w:t>у</w:t>
            </w:r>
            <w:r w:rsidRPr="00895819">
              <w:rPr>
                <w:rFonts w:cs="Times New Roman"/>
                <w:lang w:val="sr-Cyrl-CS"/>
              </w:rPr>
              <w:t xml:space="preserve"> банк</w:t>
            </w:r>
            <w:r w:rsidR="00504620" w:rsidRPr="00895819">
              <w:rPr>
                <w:rFonts w:cs="Times New Roman"/>
                <w:lang w:val="sr-Cyrl-CS"/>
              </w:rPr>
              <w:t>у</w:t>
            </w:r>
            <w:r w:rsidRPr="00895819">
              <w:rPr>
                <w:rFonts w:cs="Times New Roman"/>
                <w:lang w:val="sr-Cyrl-CS"/>
              </w:rPr>
              <w:t xml:space="preserve"> за обнову и развој (ИБРД), у максималном износу од шездесет девет милиона три стотине хиљада евра </w:t>
            </w:r>
            <w:r w:rsidR="00682992" w:rsidRPr="00895819">
              <w:rPr>
                <w:rFonts w:cs="Times New Roman"/>
                <w:lang w:val="sr-Cyrl-CS"/>
              </w:rPr>
              <w:t>(69</w:t>
            </w:r>
            <w:r w:rsidRPr="00895819">
              <w:rPr>
                <w:rFonts w:cs="Times New Roman"/>
                <w:lang w:val="sr-Cyrl-CS"/>
              </w:rPr>
              <w:t>.</w:t>
            </w:r>
            <w:r w:rsidR="00682992" w:rsidRPr="00895819">
              <w:rPr>
                <w:rFonts w:cs="Times New Roman"/>
                <w:lang w:val="sr-Cyrl-CS"/>
              </w:rPr>
              <w:t>300</w:t>
            </w:r>
            <w:r w:rsidRPr="00895819">
              <w:rPr>
                <w:rFonts w:cs="Times New Roman"/>
                <w:lang w:val="sr-Cyrl-CS"/>
              </w:rPr>
              <w:t>.</w:t>
            </w:r>
            <w:r w:rsidR="00682992" w:rsidRPr="00895819">
              <w:rPr>
                <w:rFonts w:cs="Times New Roman"/>
                <w:lang w:val="sr-Cyrl-CS"/>
              </w:rPr>
              <w:t>000</w:t>
            </w:r>
            <w:r w:rsidRPr="00895819">
              <w:rPr>
                <w:rFonts w:cs="Times New Roman"/>
                <w:lang w:val="sr-Cyrl-CS"/>
              </w:rPr>
              <w:t xml:space="preserve"> ЕУР</w:t>
            </w:r>
            <w:r w:rsidR="00682992" w:rsidRPr="00895819">
              <w:rPr>
                <w:rFonts w:cs="Times New Roman"/>
                <w:lang w:val="sr-Cyrl-CS"/>
              </w:rPr>
              <w:t>)</w:t>
            </w:r>
            <w:r w:rsidR="00B16F8D" w:rsidRPr="00895819">
              <w:rPr>
                <w:rFonts w:cs="Times New Roman"/>
                <w:lang w:val="sr-Cyrl-CS"/>
              </w:rPr>
              <w:t>.</w:t>
            </w:r>
          </w:p>
        </w:tc>
      </w:tr>
      <w:tr w:rsidR="00B16F8D" w:rsidRPr="00895819" w14:paraId="0639B19B" w14:textId="77777777" w:rsidTr="00485361">
        <w:tc>
          <w:tcPr>
            <w:tcW w:w="1780" w:type="pct"/>
          </w:tcPr>
          <w:p w14:paraId="18C6E20D" w14:textId="77777777" w:rsidR="00B16F8D" w:rsidRPr="00895819" w:rsidRDefault="00E33D2F" w:rsidP="00485361">
            <w:pPr>
              <w:pStyle w:val="BodyText"/>
              <w:spacing w:after="0"/>
              <w:rPr>
                <w:rFonts w:cs="Times New Roman"/>
                <w:b/>
                <w:lang w:val="sr-Cyrl-CS"/>
              </w:rPr>
            </w:pPr>
            <w:r w:rsidRPr="00895819">
              <w:rPr>
                <w:rFonts w:cs="Times New Roman"/>
                <w:b/>
                <w:lang w:val="sr-Cyrl-CS"/>
              </w:rPr>
              <w:t>Суфинансирање</w:t>
            </w:r>
          </w:p>
        </w:tc>
        <w:tc>
          <w:tcPr>
            <w:tcW w:w="3220" w:type="pct"/>
          </w:tcPr>
          <w:p w14:paraId="20DAD568" w14:textId="77777777" w:rsidR="00B16F8D" w:rsidRPr="00895819" w:rsidRDefault="00C901ED" w:rsidP="00485361">
            <w:pPr>
              <w:pStyle w:val="BodyText"/>
              <w:spacing w:after="0"/>
              <w:rPr>
                <w:rFonts w:cs="Times New Roman"/>
                <w:snapToGrid w:val="0"/>
                <w:lang w:val="sr-Cyrl-CS"/>
              </w:rPr>
            </w:pPr>
            <w:r w:rsidRPr="00895819">
              <w:rPr>
                <w:rFonts w:cs="Times New Roman"/>
                <w:snapToGrid w:val="0"/>
                <w:lang w:val="sr-Cyrl-CS"/>
              </w:rPr>
              <w:t xml:space="preserve">означава </w:t>
            </w:r>
            <w:r w:rsidR="001B6EE8" w:rsidRPr="00895819">
              <w:rPr>
                <w:rFonts w:cs="Times New Roman"/>
                <w:snapToGrid w:val="0"/>
                <w:lang w:val="sr-Cyrl-CS"/>
              </w:rPr>
              <w:t>заједнички Кредит и финансирање на које су се обавезали Суфинансијери као што је дефинисано Планом финансирања.</w:t>
            </w:r>
          </w:p>
        </w:tc>
      </w:tr>
      <w:tr w:rsidR="00B16F8D" w:rsidRPr="00895819" w14:paraId="31EDD2D6" w14:textId="77777777" w:rsidTr="00485361">
        <w:tc>
          <w:tcPr>
            <w:tcW w:w="1780" w:type="pct"/>
          </w:tcPr>
          <w:p w14:paraId="6E5F2AF9" w14:textId="77777777" w:rsidR="00B16F8D" w:rsidRPr="00895819" w:rsidRDefault="00E33D2F" w:rsidP="00485361">
            <w:pPr>
              <w:pStyle w:val="BodyText"/>
              <w:spacing w:after="0"/>
              <w:rPr>
                <w:rFonts w:cs="Times New Roman"/>
                <w:b/>
                <w:lang w:val="sr-Cyrl-CS"/>
              </w:rPr>
            </w:pPr>
            <w:r w:rsidRPr="00895819">
              <w:rPr>
                <w:rFonts w:cs="Times New Roman"/>
                <w:b/>
                <w:lang w:val="sr-Cyrl-CS"/>
              </w:rPr>
              <w:lastRenderedPageBreak/>
              <w:t>Уговор о суфинансирању</w:t>
            </w:r>
          </w:p>
        </w:tc>
        <w:tc>
          <w:tcPr>
            <w:tcW w:w="3220" w:type="pct"/>
          </w:tcPr>
          <w:p w14:paraId="54007DFA" w14:textId="77777777" w:rsidR="00B16F8D" w:rsidRPr="00895819" w:rsidRDefault="001B6EE8" w:rsidP="00485361">
            <w:pPr>
              <w:pStyle w:val="BodyText"/>
              <w:spacing w:after="0"/>
              <w:rPr>
                <w:rFonts w:cs="Times New Roman"/>
                <w:snapToGrid w:val="0"/>
                <w:lang w:val="sr-Cyrl-CS"/>
              </w:rPr>
            </w:pPr>
            <w:r w:rsidRPr="00895819">
              <w:rPr>
                <w:rFonts w:cs="Times New Roman"/>
                <w:snapToGrid w:val="0"/>
                <w:lang w:val="sr-Cyrl-CS"/>
              </w:rPr>
              <w:t>означава уговор који ће се закључити између Зајмодавца и Суфинансијера</w:t>
            </w:r>
            <w:r w:rsidR="00B16F8D" w:rsidRPr="00895819">
              <w:rPr>
                <w:rFonts w:cs="Times New Roman"/>
                <w:snapToGrid w:val="0"/>
                <w:lang w:val="sr-Cyrl-CS"/>
              </w:rPr>
              <w:t xml:space="preserve">, </w:t>
            </w:r>
            <w:r w:rsidRPr="00895819">
              <w:rPr>
                <w:rFonts w:cs="Times New Roman"/>
                <w:snapToGrid w:val="0"/>
                <w:lang w:val="sr-Cyrl-CS"/>
              </w:rPr>
              <w:t>који предвиђа одредбе и услове под којима ће, између осталог, Зајмодавац и Суфинансијер суфинансирати активности предвиђене Траншом техничке помоћи</w:t>
            </w:r>
            <w:r w:rsidR="00640582" w:rsidRPr="00895819">
              <w:rPr>
                <w:rFonts w:cs="Times New Roman"/>
                <w:snapToGrid w:val="0"/>
                <w:lang w:val="sr-Cyrl-CS"/>
              </w:rPr>
              <w:t>.</w:t>
            </w:r>
          </w:p>
        </w:tc>
      </w:tr>
      <w:tr w:rsidR="00AF2B27" w:rsidRPr="00895819" w14:paraId="4F522808" w14:textId="77777777" w:rsidTr="00485361">
        <w:tc>
          <w:tcPr>
            <w:tcW w:w="1780" w:type="pct"/>
          </w:tcPr>
          <w:p w14:paraId="0BBE2E9E" w14:textId="77777777" w:rsidR="00AF2B27" w:rsidRPr="00895819" w:rsidRDefault="00205134" w:rsidP="00485361">
            <w:pPr>
              <w:pStyle w:val="BodyText"/>
              <w:spacing w:after="0"/>
              <w:rPr>
                <w:rFonts w:cs="Times New Roman"/>
                <w:b/>
                <w:lang w:val="sr-Cyrl-CS"/>
              </w:rPr>
            </w:pPr>
            <w:r w:rsidRPr="00895819">
              <w:rPr>
                <w:rFonts w:cs="Times New Roman"/>
                <w:b/>
                <w:lang w:val="sr-Cyrl-CS"/>
              </w:rPr>
              <w:t>Закон о климатским променама</w:t>
            </w:r>
          </w:p>
        </w:tc>
        <w:tc>
          <w:tcPr>
            <w:tcW w:w="3220" w:type="pct"/>
          </w:tcPr>
          <w:p w14:paraId="1A0F12D5" w14:textId="77777777" w:rsidR="00AF2B27" w:rsidRPr="00895819" w:rsidRDefault="00205134" w:rsidP="00332E31">
            <w:pPr>
              <w:pStyle w:val="BodyText"/>
              <w:spacing w:after="0"/>
              <w:rPr>
                <w:rFonts w:cs="Times New Roman"/>
                <w:snapToGrid w:val="0"/>
                <w:lang w:val="sr-Cyrl-CS"/>
              </w:rPr>
            </w:pPr>
            <w:r w:rsidRPr="00895819">
              <w:rPr>
                <w:szCs w:val="22"/>
                <w:lang w:val="sr-Cyrl-CS"/>
              </w:rPr>
              <w:t xml:space="preserve">означава закон објављен у Службеном гласнику Зајмопримца бр. </w:t>
            </w:r>
            <w:r w:rsidR="00AF2B27" w:rsidRPr="00895819">
              <w:rPr>
                <w:szCs w:val="22"/>
                <w:lang w:val="sr-Cyrl-CS"/>
              </w:rPr>
              <w:t>26/2021</w:t>
            </w:r>
            <w:r w:rsidR="00504620" w:rsidRPr="00895819">
              <w:rPr>
                <w:szCs w:val="22"/>
                <w:lang w:val="sr-Cyrl-CS"/>
              </w:rPr>
              <w:t>.</w:t>
            </w:r>
            <w:r w:rsidR="00AF2B27" w:rsidRPr="00895819">
              <w:rPr>
                <w:szCs w:val="22"/>
                <w:lang w:val="sr-Cyrl-CS"/>
              </w:rPr>
              <w:t xml:space="preserve"> </w:t>
            </w:r>
            <w:r w:rsidRPr="00895819">
              <w:rPr>
                <w:szCs w:val="22"/>
                <w:lang w:val="sr-Cyrl-CS"/>
              </w:rPr>
              <w:t xml:space="preserve">од 23. марта </w:t>
            </w:r>
            <w:r w:rsidR="00AF2B27" w:rsidRPr="00895819">
              <w:rPr>
                <w:szCs w:val="22"/>
                <w:lang w:val="sr-Cyrl-CS"/>
              </w:rPr>
              <w:t>2021.</w:t>
            </w:r>
            <w:r w:rsidR="00504620" w:rsidRPr="00895819">
              <w:rPr>
                <w:szCs w:val="22"/>
                <w:lang w:val="sr-Cyrl-CS"/>
              </w:rPr>
              <w:t xml:space="preserve"> године.</w:t>
            </w:r>
          </w:p>
        </w:tc>
      </w:tr>
      <w:tr w:rsidR="00B16F8D" w:rsidRPr="00895819" w14:paraId="5EECADA5" w14:textId="77777777" w:rsidTr="00485361">
        <w:tc>
          <w:tcPr>
            <w:tcW w:w="1780" w:type="pct"/>
          </w:tcPr>
          <w:p w14:paraId="1DD68CA8" w14:textId="77777777" w:rsidR="00B16F8D" w:rsidRPr="00895819" w:rsidRDefault="00205134" w:rsidP="00485361">
            <w:pPr>
              <w:pStyle w:val="BodyText"/>
              <w:spacing w:after="0"/>
              <w:rPr>
                <w:rFonts w:cs="Times New Roman"/>
                <w:b/>
                <w:lang w:val="sr-Cyrl-CS"/>
              </w:rPr>
            </w:pPr>
            <w:r w:rsidRPr="00895819">
              <w:rPr>
                <w:rFonts w:cs="Times New Roman"/>
                <w:b/>
                <w:lang w:val="sr-Cyrl-CS"/>
              </w:rPr>
              <w:t>Рок за повлачење средстава</w:t>
            </w:r>
          </w:p>
        </w:tc>
        <w:tc>
          <w:tcPr>
            <w:tcW w:w="3220" w:type="pct"/>
          </w:tcPr>
          <w:p w14:paraId="4ADEC307" w14:textId="77777777" w:rsidR="00B16F8D" w:rsidRPr="00895819" w:rsidRDefault="00D86A8C" w:rsidP="00332E31">
            <w:pPr>
              <w:pStyle w:val="BodyText"/>
              <w:spacing w:after="0"/>
              <w:rPr>
                <w:rFonts w:cs="Times New Roman"/>
                <w:lang w:val="sr-Cyrl-CS"/>
              </w:rPr>
            </w:pPr>
            <w:r w:rsidRPr="00895819">
              <w:rPr>
                <w:rFonts w:cs="Times New Roman"/>
                <w:snapToGrid w:val="0"/>
                <w:lang w:val="sr-Cyrl-CS"/>
              </w:rPr>
              <w:t xml:space="preserve">означава 30. септембар </w:t>
            </w:r>
            <w:r w:rsidR="00B16F8D" w:rsidRPr="00895819">
              <w:rPr>
                <w:rFonts w:cs="Times New Roman"/>
                <w:snapToGrid w:val="0"/>
                <w:lang w:val="sr-Cyrl-CS"/>
              </w:rPr>
              <w:t>2027</w:t>
            </w:r>
            <w:r w:rsidR="00F34475" w:rsidRPr="00895819">
              <w:rPr>
                <w:rFonts w:cs="Times New Roman"/>
                <w:snapToGrid w:val="0"/>
                <w:lang w:val="sr-Cyrl-CS"/>
              </w:rPr>
              <w:t>. године</w:t>
            </w:r>
            <w:r w:rsidR="00B16F8D" w:rsidRPr="00895819">
              <w:rPr>
                <w:rFonts w:cs="Times New Roman"/>
                <w:snapToGrid w:val="0"/>
                <w:lang w:val="sr-Cyrl-CS"/>
              </w:rPr>
              <w:t xml:space="preserve">, </w:t>
            </w:r>
            <w:r w:rsidRPr="00895819">
              <w:rPr>
                <w:rFonts w:cs="Times New Roman"/>
                <w:snapToGrid w:val="0"/>
                <w:lang w:val="sr-Cyrl-CS"/>
              </w:rPr>
              <w:t>датум након којег више неће бити могуће Повлачење средстава</w:t>
            </w:r>
            <w:r w:rsidR="00B16F8D" w:rsidRPr="00895819">
              <w:rPr>
                <w:rFonts w:cs="Times New Roman"/>
                <w:snapToGrid w:val="0"/>
                <w:lang w:val="sr-Cyrl-CS"/>
              </w:rPr>
              <w:t>.</w:t>
            </w:r>
          </w:p>
        </w:tc>
      </w:tr>
      <w:tr w:rsidR="00B16F8D" w:rsidRPr="00895819" w14:paraId="1FEDB3EF" w14:textId="77777777" w:rsidTr="00485361">
        <w:tc>
          <w:tcPr>
            <w:tcW w:w="1780" w:type="pct"/>
          </w:tcPr>
          <w:p w14:paraId="38CE856F" w14:textId="77777777" w:rsidR="00B16F8D" w:rsidRPr="00895819" w:rsidRDefault="00205134" w:rsidP="00485361">
            <w:pPr>
              <w:pStyle w:val="BodyText"/>
              <w:spacing w:after="0"/>
              <w:rPr>
                <w:rFonts w:cs="Times New Roman"/>
                <w:b/>
                <w:lang w:val="sr-Cyrl-CS"/>
              </w:rPr>
            </w:pPr>
            <w:r w:rsidRPr="00895819">
              <w:rPr>
                <w:rFonts w:cs="Times New Roman"/>
                <w:b/>
                <w:lang w:val="sr-Cyrl-CS"/>
              </w:rPr>
              <w:t>Рок за прво повлачење средстава</w:t>
            </w:r>
          </w:p>
        </w:tc>
        <w:tc>
          <w:tcPr>
            <w:tcW w:w="3220" w:type="pct"/>
          </w:tcPr>
          <w:p w14:paraId="65E1BBC7" w14:textId="77777777" w:rsidR="00B16F8D" w:rsidRPr="00895819" w:rsidRDefault="00D86A8C">
            <w:pPr>
              <w:pStyle w:val="BodyText"/>
              <w:spacing w:after="0"/>
              <w:rPr>
                <w:rFonts w:cs="Times New Roman"/>
                <w:snapToGrid w:val="0"/>
                <w:lang w:val="sr-Cyrl-CS"/>
              </w:rPr>
            </w:pPr>
            <w:r w:rsidRPr="00895819">
              <w:rPr>
                <w:rFonts w:cs="Times New Roman"/>
                <w:snapToGrid w:val="0"/>
                <w:lang w:val="sr-Cyrl-CS"/>
              </w:rPr>
              <w:t xml:space="preserve">означава 15. мај </w:t>
            </w:r>
            <w:r w:rsidR="00B16F8D" w:rsidRPr="00895819">
              <w:rPr>
                <w:rFonts w:cs="Times New Roman"/>
                <w:snapToGrid w:val="0"/>
                <w:lang w:val="sr-Cyrl-CS"/>
              </w:rPr>
              <w:t>2024</w:t>
            </w:r>
            <w:r w:rsidR="00B24544" w:rsidRPr="00895819">
              <w:rPr>
                <w:rFonts w:cs="Times New Roman"/>
                <w:snapToGrid w:val="0"/>
                <w:lang w:val="sr-Cyrl-CS"/>
              </w:rPr>
              <w:t>.</w:t>
            </w:r>
            <w:r w:rsidR="00504620" w:rsidRPr="00895819">
              <w:rPr>
                <w:rFonts w:cs="Times New Roman"/>
                <w:snapToGrid w:val="0"/>
                <w:lang w:val="sr-Cyrl-CS"/>
              </w:rPr>
              <w:t xml:space="preserve"> године.</w:t>
            </w:r>
          </w:p>
        </w:tc>
      </w:tr>
      <w:tr w:rsidR="00B16F8D" w:rsidRPr="00895819" w14:paraId="4FB58661" w14:textId="77777777" w:rsidTr="00485361">
        <w:tc>
          <w:tcPr>
            <w:tcW w:w="1780" w:type="pct"/>
          </w:tcPr>
          <w:p w14:paraId="7D1CAE37" w14:textId="77777777" w:rsidR="00B16F8D" w:rsidRPr="00895819" w:rsidRDefault="00205134" w:rsidP="00485361">
            <w:pPr>
              <w:pStyle w:val="BodyText"/>
              <w:spacing w:after="0"/>
              <w:rPr>
                <w:rFonts w:cs="Times New Roman"/>
                <w:b/>
                <w:lang w:val="sr-Cyrl-CS"/>
              </w:rPr>
            </w:pPr>
            <w:r w:rsidRPr="00895819">
              <w:rPr>
                <w:rFonts w:cs="Times New Roman"/>
                <w:b/>
                <w:lang w:val="sr-Cyrl-CS"/>
              </w:rPr>
              <w:t>Наменски рачун</w:t>
            </w:r>
          </w:p>
        </w:tc>
        <w:tc>
          <w:tcPr>
            <w:tcW w:w="3220" w:type="pct"/>
          </w:tcPr>
          <w:p w14:paraId="50545E61" w14:textId="77777777" w:rsidR="00B16F8D" w:rsidRPr="00895819" w:rsidRDefault="00D86A8C" w:rsidP="00CB733A">
            <w:pPr>
              <w:pStyle w:val="BodyText"/>
              <w:spacing w:after="0"/>
              <w:rPr>
                <w:rFonts w:cs="Times New Roman"/>
                <w:snapToGrid w:val="0"/>
                <w:lang w:val="sr-Cyrl-CS"/>
              </w:rPr>
            </w:pPr>
            <w:r w:rsidRPr="00895819">
              <w:rPr>
                <w:rFonts w:cs="Times New Roman"/>
                <w:snapToGrid w:val="0"/>
                <w:lang w:val="sr-Cyrl-CS"/>
              </w:rPr>
              <w:t>има значење дато у члану</w:t>
            </w:r>
            <w:r w:rsidR="00CB733A" w:rsidRPr="00895819">
              <w:rPr>
                <w:rFonts w:cs="Times New Roman"/>
                <w:snapToGrid w:val="0"/>
                <w:lang w:val="sr-Cyrl-CS"/>
              </w:rPr>
              <w:t xml:space="preserve"> 3.4.</w:t>
            </w:r>
            <w:r w:rsidR="00B16F8D" w:rsidRPr="00895819">
              <w:rPr>
                <w:rFonts w:cs="Times New Roman"/>
                <w:snapToGrid w:val="0"/>
                <w:lang w:val="sr-Cyrl-CS"/>
              </w:rPr>
              <w:t xml:space="preserve">  </w:t>
            </w:r>
          </w:p>
        </w:tc>
      </w:tr>
      <w:tr w:rsidR="00B16F8D" w:rsidRPr="00895819" w14:paraId="2C9141B2" w14:textId="77777777" w:rsidTr="00485361">
        <w:tc>
          <w:tcPr>
            <w:tcW w:w="1780" w:type="pct"/>
          </w:tcPr>
          <w:p w14:paraId="01F11A99" w14:textId="77777777" w:rsidR="00B16F8D" w:rsidRPr="00895819" w:rsidRDefault="00205134" w:rsidP="00485361">
            <w:pPr>
              <w:pStyle w:val="BodyText"/>
              <w:spacing w:after="0"/>
              <w:rPr>
                <w:rFonts w:cs="Times New Roman"/>
                <w:b/>
                <w:lang w:val="sr-Cyrl-CS"/>
              </w:rPr>
            </w:pPr>
            <w:r w:rsidRPr="00895819">
              <w:rPr>
                <w:rFonts w:cs="Times New Roman"/>
                <w:b/>
                <w:lang w:val="sr-Cyrl-CS"/>
              </w:rPr>
              <w:t>Рок за коришћење средстава</w:t>
            </w:r>
          </w:p>
        </w:tc>
        <w:tc>
          <w:tcPr>
            <w:tcW w:w="3220" w:type="pct"/>
          </w:tcPr>
          <w:p w14:paraId="19960D84" w14:textId="77777777" w:rsidR="00B16F8D" w:rsidRPr="00895819" w:rsidRDefault="00297B60" w:rsidP="00332E31">
            <w:pPr>
              <w:pStyle w:val="BodyText"/>
              <w:spacing w:after="0"/>
              <w:rPr>
                <w:rFonts w:cs="Times New Roman"/>
                <w:snapToGrid w:val="0"/>
                <w:lang w:val="sr-Cyrl-CS"/>
              </w:rPr>
            </w:pPr>
            <w:r w:rsidRPr="00895819">
              <w:rPr>
                <w:rFonts w:cs="Times New Roman"/>
                <w:snapToGrid w:val="0"/>
                <w:lang w:val="sr-Cyrl-CS"/>
              </w:rPr>
              <w:t xml:space="preserve">означава 30. септембар </w:t>
            </w:r>
            <w:r w:rsidR="00B16F8D" w:rsidRPr="00895819">
              <w:rPr>
                <w:rFonts w:cs="Times New Roman"/>
                <w:snapToGrid w:val="0"/>
                <w:lang w:val="sr-Cyrl-CS"/>
              </w:rPr>
              <w:t>2027</w:t>
            </w:r>
            <w:r w:rsidR="00B24544" w:rsidRPr="00895819">
              <w:rPr>
                <w:rFonts w:cs="Times New Roman"/>
                <w:snapToGrid w:val="0"/>
                <w:lang w:val="sr-Cyrl-CS"/>
              </w:rPr>
              <w:t>.</w:t>
            </w:r>
            <w:r w:rsidR="00504620" w:rsidRPr="00895819">
              <w:rPr>
                <w:rFonts w:cs="Times New Roman"/>
                <w:snapToGrid w:val="0"/>
                <w:lang w:val="sr-Cyrl-CS"/>
              </w:rPr>
              <w:t xml:space="preserve"> године.</w:t>
            </w:r>
          </w:p>
        </w:tc>
      </w:tr>
      <w:tr w:rsidR="00AF2B27" w:rsidRPr="00895819" w14:paraId="0AD7A213" w14:textId="77777777" w:rsidTr="00485361">
        <w:tc>
          <w:tcPr>
            <w:tcW w:w="1780" w:type="pct"/>
          </w:tcPr>
          <w:p w14:paraId="5B9211BE" w14:textId="77777777" w:rsidR="00AF2B27" w:rsidRPr="00895819" w:rsidRDefault="00297B60" w:rsidP="00485361">
            <w:pPr>
              <w:pStyle w:val="BodyText"/>
              <w:spacing w:after="0"/>
              <w:rPr>
                <w:rFonts w:cs="Times New Roman"/>
                <w:b/>
                <w:lang w:val="sr-Cyrl-CS"/>
              </w:rPr>
            </w:pPr>
            <w:r w:rsidRPr="00895819">
              <w:rPr>
                <w:rFonts w:cs="Times New Roman"/>
                <w:b/>
                <w:lang w:val="sr-Cyrl-CS"/>
              </w:rPr>
              <w:t>Уредба о управљању капиталним пројектима</w:t>
            </w:r>
          </w:p>
        </w:tc>
        <w:tc>
          <w:tcPr>
            <w:tcW w:w="3220" w:type="pct"/>
          </w:tcPr>
          <w:p w14:paraId="0DBF9C30" w14:textId="4F256300" w:rsidR="00AF2B27" w:rsidRPr="00895819" w:rsidRDefault="00297B60" w:rsidP="00485361">
            <w:pPr>
              <w:pStyle w:val="BodyText"/>
              <w:spacing w:after="0"/>
              <w:rPr>
                <w:rFonts w:cs="Times New Roman"/>
                <w:lang w:val="sr-Cyrl-CS"/>
              </w:rPr>
            </w:pPr>
            <w:r w:rsidRPr="00895819">
              <w:rPr>
                <w:szCs w:val="22"/>
                <w:lang w:val="sr-Cyrl-CS"/>
              </w:rPr>
              <w:t>означава Уредбу објављену у Службеном гласнику Зајмопримца бр</w:t>
            </w:r>
            <w:r w:rsidR="00BF1DBD" w:rsidRPr="00895819">
              <w:rPr>
                <w:szCs w:val="22"/>
                <w:lang w:val="sr-Cyrl-CS"/>
              </w:rPr>
              <w:t>.</w:t>
            </w:r>
            <w:r w:rsidR="00F34475" w:rsidRPr="00895819">
              <w:rPr>
                <w:szCs w:val="22"/>
                <w:lang w:val="sr-Cyrl-CS"/>
              </w:rPr>
              <w:t xml:space="preserve"> 51/</w:t>
            </w:r>
            <w:r w:rsidR="00BF1DBD" w:rsidRPr="00895819">
              <w:rPr>
                <w:szCs w:val="22"/>
                <w:lang w:val="sr-Cyrl-CS"/>
              </w:rPr>
              <w:t>20</w:t>
            </w:r>
            <w:r w:rsidR="00AF2B27" w:rsidRPr="00895819">
              <w:rPr>
                <w:szCs w:val="22"/>
                <w:lang w:val="sr-Cyrl-CS"/>
              </w:rPr>
              <w:t xml:space="preserve">19, </w:t>
            </w:r>
            <w:r w:rsidRPr="00895819">
              <w:rPr>
                <w:szCs w:val="22"/>
                <w:lang w:val="sr-Cyrl-CS"/>
              </w:rPr>
              <w:t>од 19. јула</w:t>
            </w:r>
            <w:r w:rsidR="00AF2B27" w:rsidRPr="00895819">
              <w:rPr>
                <w:szCs w:val="22"/>
                <w:lang w:val="sr-Cyrl-CS"/>
              </w:rPr>
              <w:t xml:space="preserve"> 2019</w:t>
            </w:r>
            <w:r w:rsidRPr="00895819">
              <w:rPr>
                <w:szCs w:val="22"/>
                <w:lang w:val="sr-Cyrl-CS"/>
              </w:rPr>
              <w:t xml:space="preserve">. </w:t>
            </w:r>
            <w:r w:rsidR="00F34475" w:rsidRPr="00895819">
              <w:rPr>
                <w:szCs w:val="22"/>
                <w:lang w:val="sr-Cyrl-CS"/>
              </w:rPr>
              <w:t>године и број 139/</w:t>
            </w:r>
            <w:r w:rsidR="00BF1DBD" w:rsidRPr="00895819">
              <w:rPr>
                <w:szCs w:val="22"/>
                <w:lang w:val="sr-Cyrl-CS"/>
              </w:rPr>
              <w:t>20</w:t>
            </w:r>
            <w:r w:rsidR="00AF2B27" w:rsidRPr="00895819">
              <w:rPr>
                <w:szCs w:val="22"/>
                <w:lang w:val="sr-Cyrl-CS"/>
              </w:rPr>
              <w:t xml:space="preserve">22 </w:t>
            </w:r>
            <w:r w:rsidRPr="00895819">
              <w:rPr>
                <w:szCs w:val="22"/>
                <w:lang w:val="sr-Cyrl-CS"/>
              </w:rPr>
              <w:t xml:space="preserve">од 16. децембра </w:t>
            </w:r>
            <w:r w:rsidR="00AF2B27" w:rsidRPr="00895819">
              <w:rPr>
                <w:szCs w:val="22"/>
                <w:lang w:val="sr-Cyrl-CS"/>
              </w:rPr>
              <w:t>2022.</w:t>
            </w:r>
            <w:r w:rsidRPr="00895819">
              <w:rPr>
                <w:szCs w:val="22"/>
                <w:lang w:val="sr-Cyrl-CS"/>
              </w:rPr>
              <w:t xml:space="preserve"> године.</w:t>
            </w:r>
          </w:p>
        </w:tc>
      </w:tr>
      <w:tr w:rsidR="00524E73" w:rsidRPr="00895819" w14:paraId="51BB9E9A" w14:textId="77777777" w:rsidTr="00485361">
        <w:tc>
          <w:tcPr>
            <w:tcW w:w="1780" w:type="pct"/>
          </w:tcPr>
          <w:p w14:paraId="0D717511" w14:textId="77777777" w:rsidR="00524E73" w:rsidRPr="00895819" w:rsidRDefault="00AE0F76" w:rsidP="00485361">
            <w:pPr>
              <w:pStyle w:val="BodyText"/>
              <w:spacing w:after="0"/>
              <w:rPr>
                <w:rFonts w:cs="Times New Roman"/>
                <w:b/>
                <w:lang w:val="sr-Cyrl-CS"/>
              </w:rPr>
            </w:pPr>
            <w:r w:rsidRPr="00895819">
              <w:rPr>
                <w:rFonts w:cs="Times New Roman"/>
                <w:b/>
                <w:lang w:val="sr-Cyrl-CS"/>
              </w:rPr>
              <w:t>СМСЕИ</w:t>
            </w:r>
          </w:p>
        </w:tc>
        <w:tc>
          <w:tcPr>
            <w:tcW w:w="3220" w:type="pct"/>
          </w:tcPr>
          <w:p w14:paraId="54A4CF90" w14:textId="77777777" w:rsidR="00524E73" w:rsidRPr="00895819" w:rsidRDefault="00AE0F76" w:rsidP="00485361">
            <w:pPr>
              <w:pStyle w:val="BodyText"/>
              <w:spacing w:after="0"/>
              <w:rPr>
                <w:szCs w:val="22"/>
                <w:lang w:val="sr-Cyrl-CS"/>
              </w:rPr>
            </w:pPr>
            <w:r w:rsidRPr="00895819">
              <w:rPr>
                <w:szCs w:val="22"/>
                <w:lang w:val="sr-Cyrl-CS"/>
              </w:rPr>
              <w:t>означава Сектор за међународну сарадњу и европске интеграције (СМСЕИ)</w:t>
            </w:r>
            <w:r w:rsidR="00BE772E" w:rsidRPr="00895819">
              <w:rPr>
                <w:szCs w:val="22"/>
                <w:lang w:val="sr-Cyrl-CS"/>
              </w:rPr>
              <w:t xml:space="preserve"> </w:t>
            </w:r>
            <w:r w:rsidR="00F76D97" w:rsidRPr="00895819">
              <w:rPr>
                <w:szCs w:val="22"/>
                <w:lang w:val="sr-Cyrl-CS"/>
              </w:rPr>
              <w:t>Министарств</w:t>
            </w:r>
            <w:r w:rsidRPr="00895819">
              <w:rPr>
                <w:szCs w:val="22"/>
                <w:lang w:val="sr-Cyrl-CS"/>
              </w:rPr>
              <w:t>а</w:t>
            </w:r>
            <w:r w:rsidR="00F76D97" w:rsidRPr="00895819">
              <w:rPr>
                <w:szCs w:val="22"/>
                <w:lang w:val="sr-Cyrl-CS"/>
              </w:rPr>
              <w:t xml:space="preserve"> финансија</w:t>
            </w:r>
            <w:r w:rsidR="00BE772E" w:rsidRPr="00895819">
              <w:rPr>
                <w:szCs w:val="22"/>
                <w:lang w:val="sr-Cyrl-CS"/>
              </w:rPr>
              <w:t xml:space="preserve"> </w:t>
            </w:r>
            <w:r w:rsidRPr="00895819">
              <w:rPr>
                <w:szCs w:val="22"/>
                <w:lang w:val="sr-Cyrl-CS"/>
              </w:rPr>
              <w:t xml:space="preserve">и </w:t>
            </w:r>
            <w:r w:rsidR="008F1BC3" w:rsidRPr="00895819">
              <w:rPr>
                <w:szCs w:val="22"/>
                <w:lang w:val="sr-Cyrl-CS"/>
              </w:rPr>
              <w:t>било ког правног следбеника</w:t>
            </w:r>
            <w:r w:rsidR="00BE772E" w:rsidRPr="00895819">
              <w:rPr>
                <w:lang w:val="sr-Cyrl-CS"/>
              </w:rPr>
              <w:t>.</w:t>
            </w:r>
          </w:p>
        </w:tc>
      </w:tr>
      <w:tr w:rsidR="00AF2B27" w:rsidRPr="00895819" w14:paraId="3BC03278" w14:textId="77777777" w:rsidTr="00485361">
        <w:tc>
          <w:tcPr>
            <w:tcW w:w="1780" w:type="pct"/>
          </w:tcPr>
          <w:p w14:paraId="25C06B3D" w14:textId="77777777" w:rsidR="00AF2B27" w:rsidRPr="00895819" w:rsidRDefault="008C2F50" w:rsidP="00485361">
            <w:pPr>
              <w:pStyle w:val="BodyText"/>
              <w:spacing w:after="0"/>
              <w:rPr>
                <w:rFonts w:cs="Times New Roman"/>
                <w:b/>
                <w:lang w:val="sr-Cyrl-CS"/>
              </w:rPr>
            </w:pPr>
            <w:r w:rsidRPr="00895819">
              <w:rPr>
                <w:rFonts w:cs="Times New Roman"/>
                <w:b/>
                <w:lang w:val="sr-Cyrl-CS"/>
              </w:rPr>
              <w:t>Директни буџетски корисници</w:t>
            </w:r>
          </w:p>
        </w:tc>
        <w:tc>
          <w:tcPr>
            <w:tcW w:w="3220" w:type="pct"/>
          </w:tcPr>
          <w:p w14:paraId="61DECF36" w14:textId="77777777" w:rsidR="00AF2B27" w:rsidRPr="00895819" w:rsidRDefault="008C2F50" w:rsidP="00485361">
            <w:pPr>
              <w:pStyle w:val="BodyText"/>
              <w:spacing w:after="0"/>
              <w:rPr>
                <w:rFonts w:cs="Times New Roman"/>
                <w:lang w:val="sr-Cyrl-CS"/>
              </w:rPr>
            </w:pPr>
            <w:r w:rsidRPr="00895819">
              <w:rPr>
                <w:bCs w:val="0"/>
                <w:szCs w:val="22"/>
                <w:lang w:val="sr-Cyrl-CS"/>
              </w:rPr>
              <w:t xml:space="preserve">означава различите институције и </w:t>
            </w:r>
            <w:r w:rsidR="002943A5" w:rsidRPr="00895819">
              <w:rPr>
                <w:bCs w:val="0"/>
                <w:szCs w:val="22"/>
                <w:lang w:val="sr-Cyrl-CS"/>
              </w:rPr>
              <w:t>органе</w:t>
            </w:r>
            <w:r w:rsidRPr="00895819">
              <w:rPr>
                <w:bCs w:val="0"/>
                <w:szCs w:val="22"/>
                <w:lang w:val="sr-Cyrl-CS"/>
              </w:rPr>
              <w:t xml:space="preserve"> Зајмопримца наведене у члану </w:t>
            </w:r>
            <w:r w:rsidR="00AF2B27" w:rsidRPr="00895819">
              <w:rPr>
                <w:szCs w:val="22"/>
                <w:lang w:val="sr-Cyrl-CS"/>
              </w:rPr>
              <w:t xml:space="preserve">2 </w:t>
            </w:r>
            <w:r w:rsidR="002943A5" w:rsidRPr="00895819">
              <w:rPr>
                <w:szCs w:val="22"/>
                <w:lang w:val="sr-Cyrl-CS"/>
              </w:rPr>
              <w:t>Закона о буџетском систему</w:t>
            </w:r>
            <w:r w:rsidRPr="00895819">
              <w:rPr>
                <w:szCs w:val="22"/>
                <w:lang w:val="sr-Cyrl-CS"/>
              </w:rPr>
              <w:t xml:space="preserve"> или накнадно</w:t>
            </w:r>
            <w:r w:rsidR="002943A5" w:rsidRPr="00895819">
              <w:rPr>
                <w:szCs w:val="22"/>
                <w:lang w:val="sr-Cyrl-CS"/>
              </w:rPr>
              <w:t xml:space="preserve"> донетом</w:t>
            </w:r>
            <w:r w:rsidRPr="00895819">
              <w:rPr>
                <w:szCs w:val="22"/>
                <w:lang w:val="sr-Cyrl-CS"/>
              </w:rPr>
              <w:t xml:space="preserve"> пропису</w:t>
            </w:r>
            <w:r w:rsidR="00AF2B27" w:rsidRPr="00895819">
              <w:rPr>
                <w:szCs w:val="22"/>
                <w:lang w:val="sr-Cyrl-CS"/>
              </w:rPr>
              <w:t>.</w:t>
            </w:r>
          </w:p>
        </w:tc>
      </w:tr>
      <w:tr w:rsidR="00B16F8D" w:rsidRPr="00895819" w14:paraId="283C80D4" w14:textId="77777777" w:rsidTr="00485361">
        <w:tc>
          <w:tcPr>
            <w:tcW w:w="1780" w:type="pct"/>
          </w:tcPr>
          <w:p w14:paraId="575CF5FE" w14:textId="77777777" w:rsidR="00B16F8D" w:rsidRPr="00895819" w:rsidRDefault="00B16F8D" w:rsidP="00485361">
            <w:pPr>
              <w:pStyle w:val="BodyText"/>
              <w:spacing w:after="0"/>
              <w:rPr>
                <w:rFonts w:cs="Times New Roman"/>
                <w:b/>
                <w:lang w:val="sr-Cyrl-CS"/>
              </w:rPr>
            </w:pPr>
          </w:p>
          <w:p w14:paraId="2455E74B" w14:textId="77777777" w:rsidR="00B16F8D" w:rsidRPr="00895819" w:rsidRDefault="00B16F8D" w:rsidP="00485361">
            <w:pPr>
              <w:pStyle w:val="BodyText"/>
              <w:spacing w:after="0"/>
              <w:rPr>
                <w:rFonts w:cs="Times New Roman"/>
                <w:b/>
                <w:lang w:val="sr-Cyrl-CS"/>
              </w:rPr>
            </w:pPr>
          </w:p>
          <w:p w14:paraId="0E96EFCE" w14:textId="77777777" w:rsidR="00B16F8D" w:rsidRPr="00895819" w:rsidRDefault="008F2876" w:rsidP="00485361">
            <w:pPr>
              <w:pStyle w:val="BodyText"/>
              <w:spacing w:after="0"/>
              <w:rPr>
                <w:rFonts w:cs="Times New Roman"/>
                <w:b/>
                <w:lang w:val="sr-Cyrl-CS"/>
              </w:rPr>
            </w:pPr>
            <w:r w:rsidRPr="00895819">
              <w:rPr>
                <w:rFonts w:cs="Times New Roman"/>
                <w:b/>
                <w:lang w:val="sr-Cyrl-CS"/>
              </w:rPr>
              <w:t xml:space="preserve">Писмо о повлачењу средстава и финансијским информацијама </w:t>
            </w:r>
            <w:r w:rsidRPr="00895819">
              <w:rPr>
                <w:rFonts w:cs="Times New Roman"/>
                <w:bCs w:val="0"/>
                <w:lang w:val="sr-Cyrl-CS"/>
              </w:rPr>
              <w:t>или</w:t>
            </w:r>
            <w:r w:rsidRPr="00895819">
              <w:rPr>
                <w:rFonts w:cs="Times New Roman"/>
                <w:b/>
                <w:lang w:val="sr-Cyrl-CS"/>
              </w:rPr>
              <w:t xml:space="preserve"> ДФИЛ </w:t>
            </w:r>
          </w:p>
        </w:tc>
        <w:tc>
          <w:tcPr>
            <w:tcW w:w="3220" w:type="pct"/>
          </w:tcPr>
          <w:p w14:paraId="4F7A7738" w14:textId="77777777" w:rsidR="00B16F8D" w:rsidRPr="00895819" w:rsidRDefault="00C02649" w:rsidP="00485361">
            <w:pPr>
              <w:pStyle w:val="BodyText"/>
              <w:spacing w:after="0"/>
              <w:rPr>
                <w:rFonts w:cs="Times New Roman"/>
                <w:lang w:val="sr-Cyrl-CS"/>
              </w:rPr>
            </w:pPr>
            <w:r w:rsidRPr="00895819">
              <w:rPr>
                <w:rFonts w:cs="Times New Roman"/>
                <w:lang w:val="sr-Cyrl-CS"/>
              </w:rPr>
              <w:t xml:space="preserve">означава Писмо о повлачењу средстава и финансијским информацијама које Суфинансијер доставља Зајмопримцу </w:t>
            </w:r>
            <w:r w:rsidR="00B16F8D" w:rsidRPr="00895819">
              <w:rPr>
                <w:rFonts w:cs="Times New Roman"/>
                <w:lang w:val="sr-Cyrl-CS"/>
              </w:rPr>
              <w:t>(</w:t>
            </w:r>
            <w:r w:rsidRPr="00895819">
              <w:rPr>
                <w:rFonts w:cs="Times New Roman"/>
                <w:lang w:val="sr-Cyrl-CS"/>
              </w:rPr>
              <w:t>након претходних консултација са Зајмодавцем</w:t>
            </w:r>
            <w:r w:rsidR="00B16F8D" w:rsidRPr="00895819">
              <w:rPr>
                <w:rFonts w:cs="Times New Roman"/>
                <w:lang w:val="sr-Cyrl-CS"/>
              </w:rPr>
              <w:t xml:space="preserve">) </w:t>
            </w:r>
            <w:r w:rsidRPr="00895819">
              <w:rPr>
                <w:rFonts w:cs="Times New Roman"/>
                <w:lang w:val="sr-Cyrl-CS"/>
              </w:rPr>
              <w:t xml:space="preserve">које садржи инструкције о повлачењу средстава </w:t>
            </w:r>
            <w:r w:rsidR="00B16F8D" w:rsidRPr="00895819">
              <w:rPr>
                <w:rFonts w:cs="Times New Roman"/>
                <w:lang w:val="sr-Cyrl-CS"/>
              </w:rPr>
              <w:t>(</w:t>
            </w:r>
            <w:r w:rsidRPr="00895819">
              <w:rPr>
                <w:rFonts w:cs="Times New Roman"/>
                <w:lang w:val="sr-Cyrl-CS"/>
              </w:rPr>
              <w:t>исплатама</w:t>
            </w:r>
            <w:r w:rsidR="00B16F8D" w:rsidRPr="00895819">
              <w:rPr>
                <w:rFonts w:cs="Times New Roman"/>
                <w:lang w:val="sr-Cyrl-CS"/>
              </w:rPr>
              <w:t xml:space="preserve">) </w:t>
            </w:r>
            <w:r w:rsidRPr="00895819">
              <w:rPr>
                <w:rFonts w:cs="Times New Roman"/>
                <w:lang w:val="sr-Cyrl-CS"/>
              </w:rPr>
              <w:t>Кредита</w:t>
            </w:r>
            <w:r w:rsidR="00B16F8D" w:rsidRPr="00895819">
              <w:rPr>
                <w:rFonts w:cs="Times New Roman"/>
                <w:lang w:val="sr-Cyrl-CS"/>
              </w:rPr>
              <w:t xml:space="preserve"> (</w:t>
            </w:r>
            <w:r w:rsidRPr="00895819">
              <w:rPr>
                <w:rFonts w:cs="Times New Roman"/>
                <w:lang w:val="sr-Cyrl-CS"/>
              </w:rPr>
              <w:t>Транша техничке помоћи</w:t>
            </w:r>
            <w:r w:rsidR="00B16F8D" w:rsidRPr="00895819">
              <w:rPr>
                <w:rFonts w:cs="Times New Roman"/>
                <w:lang w:val="sr-Cyrl-CS"/>
              </w:rPr>
              <w:t xml:space="preserve">) </w:t>
            </w:r>
            <w:r w:rsidRPr="00895819">
              <w:rPr>
                <w:rFonts w:cs="Times New Roman"/>
                <w:lang w:val="sr-Cyrl-CS"/>
              </w:rPr>
              <w:t>и Споразум о зајму Суфинансијера склопљен између Зајмопримца и Суфинансијера, у складу са Уговором о суфинансирању, а ДФИЛ може бити предмет измена и допуна с времена на време</w:t>
            </w:r>
            <w:r w:rsidR="00B16F8D" w:rsidRPr="00895819">
              <w:rPr>
                <w:rFonts w:cs="Times New Roman"/>
                <w:lang w:val="sr-Cyrl-CS"/>
              </w:rPr>
              <w:t>.</w:t>
            </w:r>
          </w:p>
        </w:tc>
      </w:tr>
      <w:tr w:rsidR="00B16F8D" w:rsidRPr="00895819" w14:paraId="442D4633" w14:textId="77777777" w:rsidTr="00485361">
        <w:tc>
          <w:tcPr>
            <w:tcW w:w="1780" w:type="pct"/>
          </w:tcPr>
          <w:p w14:paraId="3427048E" w14:textId="77777777" w:rsidR="00B16F8D" w:rsidRPr="00895819" w:rsidRDefault="00C02649" w:rsidP="00485361">
            <w:pPr>
              <w:pStyle w:val="BodyText"/>
              <w:spacing w:after="0"/>
              <w:rPr>
                <w:rFonts w:cs="Times New Roman"/>
                <w:b/>
                <w:lang w:val="sr-Cyrl-CS"/>
              </w:rPr>
            </w:pPr>
            <w:r w:rsidRPr="00895819">
              <w:rPr>
                <w:rFonts w:cs="Times New Roman"/>
                <w:b/>
                <w:lang w:val="sr-Cyrl-CS"/>
              </w:rPr>
              <w:t xml:space="preserve">Резултати везани за повлачење средстава </w:t>
            </w:r>
            <w:r w:rsidRPr="00895819">
              <w:rPr>
                <w:rFonts w:cs="Times New Roman"/>
                <w:bCs w:val="0"/>
                <w:lang w:val="sr-Cyrl-CS"/>
              </w:rPr>
              <w:t>или</w:t>
            </w:r>
            <w:r w:rsidRPr="00895819">
              <w:rPr>
                <w:rFonts w:cs="Times New Roman"/>
                <w:b/>
                <w:lang w:val="sr-Cyrl-CS"/>
              </w:rPr>
              <w:t xml:space="preserve"> ДЛР</w:t>
            </w:r>
          </w:p>
        </w:tc>
        <w:tc>
          <w:tcPr>
            <w:tcW w:w="3220" w:type="pct"/>
          </w:tcPr>
          <w:p w14:paraId="57E6969F" w14:textId="77777777" w:rsidR="00B16F8D" w:rsidRPr="00895819" w:rsidRDefault="00C02649" w:rsidP="00485361">
            <w:pPr>
              <w:pStyle w:val="BodyText"/>
              <w:spacing w:after="0"/>
              <w:rPr>
                <w:rFonts w:cs="Times New Roman"/>
                <w:lang w:val="sr-Cyrl-CS"/>
              </w:rPr>
            </w:pPr>
            <w:r w:rsidRPr="00895819">
              <w:rPr>
                <w:rFonts w:cs="Times New Roman"/>
                <w:lang w:val="sr-Cyrl-CS"/>
              </w:rPr>
              <w:t>означава резултат</w:t>
            </w:r>
            <w:r w:rsidR="00A81020" w:rsidRPr="00895819">
              <w:rPr>
                <w:rFonts w:cs="Times New Roman"/>
                <w:lang w:val="sr-Cyrl-CS"/>
              </w:rPr>
              <w:t>е</w:t>
            </w:r>
            <w:r w:rsidRPr="00895819">
              <w:rPr>
                <w:rFonts w:cs="Times New Roman"/>
                <w:lang w:val="sr-Cyrl-CS"/>
              </w:rPr>
              <w:t xml:space="preserve"> дефинисан</w:t>
            </w:r>
            <w:r w:rsidR="00A81020" w:rsidRPr="00895819">
              <w:rPr>
                <w:rFonts w:cs="Times New Roman"/>
                <w:lang w:val="sr-Cyrl-CS"/>
              </w:rPr>
              <w:t>е</w:t>
            </w:r>
            <w:r w:rsidRPr="00895819">
              <w:rPr>
                <w:rFonts w:cs="Times New Roman"/>
                <w:lang w:val="sr-Cyrl-CS"/>
              </w:rPr>
              <w:t xml:space="preserve"> у Прилогу </w:t>
            </w:r>
            <w:r w:rsidR="00B16F8D" w:rsidRPr="00895819">
              <w:rPr>
                <w:rFonts w:cs="Times New Roman"/>
                <w:lang w:val="sr-Cyrl-CS"/>
              </w:rPr>
              <w:t>3</w:t>
            </w:r>
            <w:r w:rsidRPr="00895819">
              <w:rPr>
                <w:rFonts w:cs="Times New Roman"/>
                <w:lang w:val="sr-Cyrl-CS"/>
              </w:rPr>
              <w:t>Ц</w:t>
            </w:r>
            <w:r w:rsidR="00B16F8D" w:rsidRPr="00895819">
              <w:rPr>
                <w:rFonts w:cs="Times New Roman"/>
                <w:lang w:val="sr-Cyrl-CS"/>
              </w:rPr>
              <w:t xml:space="preserve"> (</w:t>
            </w:r>
            <w:r w:rsidRPr="00895819">
              <w:rPr>
                <w:rFonts w:cs="Times New Roman"/>
                <w:i/>
                <w:iCs/>
                <w:lang w:val="sr-Cyrl-CS"/>
              </w:rPr>
              <w:t>Оквир резултата</w:t>
            </w:r>
            <w:r w:rsidR="00B16F8D" w:rsidRPr="00895819">
              <w:rPr>
                <w:rFonts w:cs="Times New Roman"/>
                <w:lang w:val="sr-Cyrl-CS"/>
              </w:rPr>
              <w:t xml:space="preserve">) </w:t>
            </w:r>
            <w:r w:rsidRPr="00895819">
              <w:rPr>
                <w:rFonts w:cs="Times New Roman"/>
                <w:lang w:val="sr-Cyrl-CS"/>
              </w:rPr>
              <w:t>од чијег постигнућа зависи повлачење средстава Кредита намењених датом резултату</w:t>
            </w:r>
            <w:r w:rsidR="00B24544" w:rsidRPr="00895819">
              <w:rPr>
                <w:rFonts w:cs="Times New Roman"/>
                <w:lang w:val="sr-Cyrl-CS"/>
              </w:rPr>
              <w:t>.</w:t>
            </w:r>
          </w:p>
        </w:tc>
      </w:tr>
      <w:tr w:rsidR="00B16F8D" w:rsidRPr="00895819" w14:paraId="2FE09D97" w14:textId="77777777" w:rsidTr="00485361">
        <w:tc>
          <w:tcPr>
            <w:tcW w:w="1780" w:type="pct"/>
          </w:tcPr>
          <w:p w14:paraId="17EAF6B6" w14:textId="77777777" w:rsidR="00B16F8D" w:rsidRPr="00895819" w:rsidRDefault="00DF13F7" w:rsidP="00485361">
            <w:pPr>
              <w:pStyle w:val="BodyText"/>
              <w:spacing w:after="0"/>
              <w:rPr>
                <w:rFonts w:cs="Times New Roman"/>
                <w:b/>
                <w:lang w:val="sr-Cyrl-CS"/>
              </w:rPr>
            </w:pPr>
            <w:r w:rsidRPr="00895819">
              <w:rPr>
                <w:rFonts w:cs="Times New Roman"/>
                <w:b/>
                <w:lang w:val="sr-Cyrl-CS"/>
              </w:rPr>
              <w:t>Обавештење о повлачењу средстава</w:t>
            </w:r>
          </w:p>
        </w:tc>
        <w:tc>
          <w:tcPr>
            <w:tcW w:w="3220" w:type="pct"/>
          </w:tcPr>
          <w:p w14:paraId="2C0751FA" w14:textId="77777777" w:rsidR="00B16F8D" w:rsidRPr="00895819" w:rsidRDefault="00BB790B" w:rsidP="00485361">
            <w:pPr>
              <w:pStyle w:val="BodyText"/>
              <w:spacing w:after="0"/>
              <w:rPr>
                <w:rFonts w:cs="Times New Roman"/>
                <w:lang w:val="sr-Cyrl-CS"/>
              </w:rPr>
            </w:pPr>
            <w:r w:rsidRPr="00895819">
              <w:rPr>
                <w:rFonts w:cs="Times New Roman"/>
                <w:lang w:val="sr-Cyrl-CS"/>
              </w:rPr>
              <w:t>означава обавештење које Суфинансијер шаље Зајмодавцу и у коме се Зајмодавац саветује да стави Зајмопримцу на располагање тражено Повлачење средстава у складу са Уговором о суфинансирању</w:t>
            </w:r>
            <w:r w:rsidR="00B16F8D" w:rsidRPr="00895819">
              <w:rPr>
                <w:rFonts w:cs="Times New Roman"/>
                <w:lang w:val="sr-Cyrl-CS"/>
              </w:rPr>
              <w:t>.</w:t>
            </w:r>
          </w:p>
        </w:tc>
      </w:tr>
      <w:tr w:rsidR="00B16F8D" w:rsidRPr="00895819" w14:paraId="1471E11F" w14:textId="77777777" w:rsidTr="00485361">
        <w:tc>
          <w:tcPr>
            <w:tcW w:w="1780" w:type="pct"/>
          </w:tcPr>
          <w:p w14:paraId="570A856B" w14:textId="77777777" w:rsidR="00B16F8D" w:rsidRPr="00895819" w:rsidRDefault="00DF13F7" w:rsidP="00485361">
            <w:pPr>
              <w:pStyle w:val="BodyText"/>
              <w:spacing w:after="0"/>
              <w:rPr>
                <w:rFonts w:cs="Times New Roman"/>
                <w:b/>
                <w:bCs w:val="0"/>
                <w:lang w:val="sr-Cyrl-CS"/>
              </w:rPr>
            </w:pPr>
            <w:r w:rsidRPr="00895819">
              <w:rPr>
                <w:rFonts w:cs="Times New Roman"/>
                <w:b/>
                <w:bCs w:val="0"/>
                <w:lang w:val="sr-Cyrl-CS"/>
              </w:rPr>
              <w:t>Повлачење средстава</w:t>
            </w:r>
          </w:p>
        </w:tc>
        <w:tc>
          <w:tcPr>
            <w:tcW w:w="3220" w:type="pct"/>
          </w:tcPr>
          <w:p w14:paraId="49AD325C" w14:textId="77777777" w:rsidR="00B16F8D" w:rsidRPr="00895819" w:rsidRDefault="005A6CC1" w:rsidP="00485361">
            <w:pPr>
              <w:pStyle w:val="BodyText"/>
              <w:spacing w:after="0"/>
              <w:rPr>
                <w:rFonts w:cs="Times New Roman"/>
                <w:lang w:val="sr-Cyrl-CS"/>
              </w:rPr>
            </w:pPr>
            <w:r w:rsidRPr="00895819">
              <w:rPr>
                <w:rFonts w:cs="Times New Roman"/>
                <w:lang w:val="sr-Cyrl-CS"/>
              </w:rPr>
              <w:t xml:space="preserve">означава повлачење целокупног или дела кредитних средстава које је Зајмодавац ставио на располагање Зајмопримцу, у складу са одредбама и условима датим у члану </w:t>
            </w:r>
            <w:r w:rsidR="00CB733A" w:rsidRPr="00895819">
              <w:rPr>
                <w:rFonts w:cs="Times New Roman"/>
                <w:lang w:val="sr-Cyrl-CS"/>
              </w:rPr>
              <w:t>3 (</w:t>
            </w:r>
            <w:r w:rsidRPr="00895819">
              <w:rPr>
                <w:rFonts w:cs="Times New Roman"/>
                <w:i/>
                <w:iCs/>
                <w:lang w:val="sr-Cyrl-CS"/>
              </w:rPr>
              <w:t>Повлачење средстава</w:t>
            </w:r>
            <w:r w:rsidR="00CB733A" w:rsidRPr="00895819">
              <w:rPr>
                <w:rFonts w:cs="Times New Roman"/>
                <w:lang w:val="sr-Cyrl-CS"/>
              </w:rPr>
              <w:t>)</w:t>
            </w:r>
            <w:r w:rsidR="00B16F8D" w:rsidRPr="00895819">
              <w:rPr>
                <w:rFonts w:cs="Times New Roman"/>
                <w:lang w:val="sr-Cyrl-CS"/>
              </w:rPr>
              <w:t xml:space="preserve"> </w:t>
            </w:r>
            <w:r w:rsidRPr="00895819">
              <w:rPr>
                <w:rFonts w:cs="Times New Roman"/>
                <w:lang w:val="sr-Cyrl-CS"/>
              </w:rPr>
              <w:t>или преостали износ главнице таквог Повлачења који остаје доспео и платив у датом тренутку</w:t>
            </w:r>
            <w:r w:rsidR="00B16F8D" w:rsidRPr="00895819">
              <w:rPr>
                <w:rFonts w:cs="Times New Roman"/>
                <w:lang w:val="sr-Cyrl-CS"/>
              </w:rPr>
              <w:t>.</w:t>
            </w:r>
          </w:p>
        </w:tc>
      </w:tr>
      <w:tr w:rsidR="00B16F8D" w:rsidRPr="00895819" w14:paraId="60FA9BCA" w14:textId="77777777" w:rsidTr="00485361">
        <w:tc>
          <w:tcPr>
            <w:tcW w:w="1780" w:type="pct"/>
          </w:tcPr>
          <w:p w14:paraId="6FD612BD" w14:textId="77777777" w:rsidR="00B16F8D" w:rsidRPr="00895819" w:rsidRDefault="005A6CC1" w:rsidP="00485361">
            <w:pPr>
              <w:pStyle w:val="BodyText"/>
              <w:spacing w:after="0"/>
              <w:rPr>
                <w:rFonts w:cs="Times New Roman"/>
                <w:lang w:val="sr-Cyrl-CS"/>
              </w:rPr>
            </w:pPr>
            <w:r w:rsidRPr="00895819">
              <w:rPr>
                <w:rFonts w:cs="Times New Roman"/>
                <w:b/>
                <w:lang w:val="sr-Cyrl-CS"/>
              </w:rPr>
              <w:t>Датум повлачења средстава</w:t>
            </w:r>
          </w:p>
        </w:tc>
        <w:tc>
          <w:tcPr>
            <w:tcW w:w="3220" w:type="pct"/>
          </w:tcPr>
          <w:p w14:paraId="0299CA82" w14:textId="77777777" w:rsidR="00B16F8D" w:rsidRPr="00895819" w:rsidRDefault="00F26992" w:rsidP="00485361">
            <w:pPr>
              <w:pStyle w:val="BodyText"/>
              <w:spacing w:after="0"/>
              <w:rPr>
                <w:rFonts w:cs="Times New Roman"/>
                <w:lang w:val="sr-Cyrl-CS"/>
              </w:rPr>
            </w:pPr>
            <w:r w:rsidRPr="00895819">
              <w:rPr>
                <w:rFonts w:cs="Times New Roman"/>
                <w:lang w:val="sr-Cyrl-CS"/>
              </w:rPr>
              <w:t>означава датум када Зајмодавац ставља на располагање повлачење средстава</w:t>
            </w:r>
            <w:r w:rsidR="00B16F8D" w:rsidRPr="00895819">
              <w:rPr>
                <w:rFonts w:cs="Times New Roman"/>
                <w:lang w:val="sr-Cyrl-CS"/>
              </w:rPr>
              <w:t>.</w:t>
            </w:r>
          </w:p>
        </w:tc>
      </w:tr>
      <w:tr w:rsidR="00B16F8D" w:rsidRPr="00895819" w14:paraId="0592F80D" w14:textId="77777777" w:rsidTr="00485361">
        <w:tc>
          <w:tcPr>
            <w:tcW w:w="1780" w:type="pct"/>
          </w:tcPr>
          <w:p w14:paraId="093787EE" w14:textId="77777777" w:rsidR="00B16F8D" w:rsidRPr="00895819" w:rsidRDefault="00F26992" w:rsidP="00485361">
            <w:pPr>
              <w:pStyle w:val="BodyText"/>
              <w:spacing w:after="0"/>
              <w:rPr>
                <w:rFonts w:cs="Times New Roman"/>
                <w:lang w:val="sr-Cyrl-CS"/>
              </w:rPr>
            </w:pPr>
            <w:r w:rsidRPr="00895819">
              <w:rPr>
                <w:rFonts w:cs="Times New Roman"/>
                <w:b/>
                <w:lang w:val="sr-Cyrl-CS"/>
              </w:rPr>
              <w:t>Период повлачења средстава</w:t>
            </w:r>
          </w:p>
        </w:tc>
        <w:tc>
          <w:tcPr>
            <w:tcW w:w="3220" w:type="pct"/>
          </w:tcPr>
          <w:p w14:paraId="32665D06" w14:textId="77777777" w:rsidR="00B16F8D" w:rsidRPr="00895819" w:rsidRDefault="00F26992" w:rsidP="00485361">
            <w:pPr>
              <w:pStyle w:val="BodyText"/>
              <w:spacing w:after="0"/>
              <w:rPr>
                <w:rFonts w:cs="Times New Roman"/>
                <w:lang w:val="sr-Cyrl-CS"/>
              </w:rPr>
            </w:pPr>
            <w:r w:rsidRPr="00895819">
              <w:rPr>
                <w:rFonts w:cs="Times New Roman"/>
                <w:lang w:val="sr-Cyrl-CS"/>
              </w:rPr>
              <w:t>означава период који почиње Датумом првог повлачења средстава све до првог од следећих датума</w:t>
            </w:r>
            <w:r w:rsidR="00B16F8D" w:rsidRPr="00895819">
              <w:rPr>
                <w:rFonts w:cs="Times New Roman"/>
                <w:lang w:val="sr-Cyrl-CS"/>
              </w:rPr>
              <w:t>:</w:t>
            </w:r>
          </w:p>
          <w:p w14:paraId="1C0B856D" w14:textId="77777777" w:rsidR="00B16F8D" w:rsidRPr="00895819" w:rsidRDefault="00F26992" w:rsidP="00BF1DBD">
            <w:pPr>
              <w:pStyle w:val="AATitre6"/>
              <w:spacing w:after="0"/>
              <w:ind w:left="421" w:hanging="421"/>
              <w:rPr>
                <w:lang w:val="sr-Cyrl-CS"/>
              </w:rPr>
            </w:pPr>
            <w:r w:rsidRPr="00895819">
              <w:rPr>
                <w:lang w:val="sr-Cyrl-CS"/>
              </w:rPr>
              <w:t>датум када је Расположиви кредит једнак нули</w:t>
            </w:r>
            <w:r w:rsidR="00B16F8D" w:rsidRPr="00895819">
              <w:rPr>
                <w:lang w:val="sr-Cyrl-CS"/>
              </w:rPr>
              <w:t>;</w:t>
            </w:r>
          </w:p>
          <w:p w14:paraId="010A5CB3" w14:textId="28D081A9" w:rsidR="00B16F8D" w:rsidRPr="00895819" w:rsidRDefault="00BF1DBD" w:rsidP="00BF1DBD">
            <w:pPr>
              <w:pStyle w:val="AATitre6"/>
              <w:numPr>
                <w:ilvl w:val="0"/>
                <w:numId w:val="0"/>
              </w:numPr>
              <w:tabs>
                <w:tab w:val="left" w:pos="421"/>
              </w:tabs>
              <w:spacing w:after="0"/>
              <w:rPr>
                <w:lang w:val="sr-Cyrl-CS"/>
              </w:rPr>
            </w:pPr>
            <w:r w:rsidRPr="00895819">
              <w:rPr>
                <w:lang w:val="sr-Cyrl-CS"/>
              </w:rPr>
              <w:t>(б)</w:t>
            </w:r>
            <w:r w:rsidRPr="00895819">
              <w:rPr>
                <w:lang w:val="sr-Cyrl-CS"/>
              </w:rPr>
              <w:tab/>
            </w:r>
            <w:r w:rsidR="00C657E9" w:rsidRPr="00895819">
              <w:rPr>
                <w:lang w:val="sr-Cyrl-CS"/>
              </w:rPr>
              <w:t>Р</w:t>
            </w:r>
            <w:r w:rsidR="00F26992" w:rsidRPr="00895819">
              <w:rPr>
                <w:lang w:val="sr-Cyrl-CS"/>
              </w:rPr>
              <w:t>ок за повлачење средстава</w:t>
            </w:r>
            <w:r w:rsidR="00B16F8D" w:rsidRPr="00895819">
              <w:rPr>
                <w:lang w:val="sr-Cyrl-CS"/>
              </w:rPr>
              <w:t>.</w:t>
            </w:r>
          </w:p>
        </w:tc>
      </w:tr>
      <w:tr w:rsidR="00B16F8D" w:rsidRPr="00895819" w14:paraId="219BFD62" w14:textId="77777777" w:rsidTr="00485361">
        <w:tc>
          <w:tcPr>
            <w:tcW w:w="1780" w:type="pct"/>
          </w:tcPr>
          <w:p w14:paraId="7242C6F7" w14:textId="77777777" w:rsidR="00B16F8D" w:rsidRPr="00895819" w:rsidRDefault="00F26992" w:rsidP="00485361">
            <w:pPr>
              <w:pStyle w:val="BodyText"/>
              <w:spacing w:after="0"/>
              <w:rPr>
                <w:rFonts w:cs="Times New Roman"/>
                <w:lang w:val="sr-Cyrl-CS"/>
              </w:rPr>
            </w:pPr>
            <w:r w:rsidRPr="00895819">
              <w:rPr>
                <w:rFonts w:cs="Times New Roman"/>
                <w:b/>
                <w:lang w:val="sr-Cyrl-CS"/>
              </w:rPr>
              <w:lastRenderedPageBreak/>
              <w:t>Захтев за повлачење средстава</w:t>
            </w:r>
          </w:p>
        </w:tc>
        <w:tc>
          <w:tcPr>
            <w:tcW w:w="3220" w:type="pct"/>
          </w:tcPr>
          <w:p w14:paraId="06D7D892" w14:textId="77777777" w:rsidR="00B16F8D" w:rsidRPr="00895819" w:rsidRDefault="00F26992" w:rsidP="00485361">
            <w:pPr>
              <w:pStyle w:val="BodyText"/>
              <w:spacing w:after="0"/>
              <w:rPr>
                <w:rFonts w:cs="Times New Roman"/>
                <w:lang w:val="sr-Cyrl-CS"/>
              </w:rPr>
            </w:pPr>
            <w:r w:rsidRPr="00895819">
              <w:rPr>
                <w:bCs w:val="0"/>
                <w:lang w:val="sr-Cyrl-CS"/>
              </w:rPr>
              <w:t xml:space="preserve">означава захтев суштински у форми дефинисаној у Прилогу </w:t>
            </w:r>
            <w:r w:rsidRPr="00895819">
              <w:rPr>
                <w:bCs w:val="0"/>
                <w:caps/>
                <w:lang w:val="sr-Cyrl-CS"/>
              </w:rPr>
              <w:t>5A</w:t>
            </w:r>
            <w:r w:rsidRPr="00895819">
              <w:rPr>
                <w:bCs w:val="0"/>
                <w:color w:val="000000"/>
                <w:lang w:val="sr-Cyrl-CS"/>
              </w:rPr>
              <w:t xml:space="preserve"> </w:t>
            </w:r>
            <w:r w:rsidRPr="00895819">
              <w:rPr>
                <w:bCs w:val="0"/>
                <w:lang w:val="sr-Cyrl-CS"/>
              </w:rPr>
              <w:t>(</w:t>
            </w:r>
            <w:r w:rsidRPr="00895819">
              <w:rPr>
                <w:bCs w:val="0"/>
                <w:i/>
                <w:color w:val="000000"/>
                <w:lang w:val="sr-Cyrl-CS"/>
              </w:rPr>
              <w:t>Образац захтева за повлачење средстава</w:t>
            </w:r>
            <w:r w:rsidR="00924CFD" w:rsidRPr="00895819">
              <w:rPr>
                <w:rFonts w:cs="Times New Roman"/>
                <w:color w:val="000000"/>
                <w:lang w:val="sr-Cyrl-CS"/>
              </w:rPr>
              <w:t>)</w:t>
            </w:r>
            <w:r w:rsidR="00B16F8D" w:rsidRPr="00895819">
              <w:rPr>
                <w:rFonts w:cs="Times New Roman"/>
                <w:lang w:val="sr-Cyrl-CS"/>
              </w:rPr>
              <w:t>.</w:t>
            </w:r>
          </w:p>
        </w:tc>
      </w:tr>
      <w:tr w:rsidR="00B16F8D" w:rsidRPr="00895819" w14:paraId="4E95514B" w14:textId="77777777" w:rsidTr="00485361">
        <w:tc>
          <w:tcPr>
            <w:tcW w:w="1780" w:type="pct"/>
          </w:tcPr>
          <w:p w14:paraId="78544FBF" w14:textId="77777777" w:rsidR="00B16F8D" w:rsidRPr="00895819" w:rsidRDefault="001759F0" w:rsidP="00485361">
            <w:pPr>
              <w:pStyle w:val="BodyText"/>
              <w:spacing w:after="0"/>
              <w:rPr>
                <w:rFonts w:cs="Times New Roman"/>
                <w:b/>
                <w:lang w:val="sr-Cyrl-CS"/>
              </w:rPr>
            </w:pPr>
            <w:r w:rsidRPr="00895819">
              <w:rPr>
                <w:rFonts w:cs="Times New Roman"/>
                <w:b/>
                <w:lang w:val="sr-Cyrl-CS"/>
              </w:rPr>
              <w:t>Датум ступања на снагу</w:t>
            </w:r>
          </w:p>
        </w:tc>
        <w:tc>
          <w:tcPr>
            <w:tcW w:w="3220" w:type="pct"/>
          </w:tcPr>
          <w:p w14:paraId="55844699" w14:textId="77777777" w:rsidR="00B16F8D" w:rsidRPr="00895819" w:rsidRDefault="001759F0" w:rsidP="00485361">
            <w:pPr>
              <w:pStyle w:val="BodyText"/>
              <w:spacing w:after="0"/>
              <w:rPr>
                <w:rFonts w:cs="Times New Roman"/>
                <w:lang w:val="sr-Cyrl-CS"/>
              </w:rPr>
            </w:pPr>
            <w:r w:rsidRPr="00895819">
              <w:rPr>
                <w:rFonts w:cs="Times New Roman"/>
                <w:lang w:val="sr-Cyrl-CS"/>
              </w:rPr>
              <w:t xml:space="preserve">означава датум испуњења услова дефинисаних у Делу II Прилога 4 </w:t>
            </w:r>
            <w:r w:rsidR="00B16F8D" w:rsidRPr="00895819">
              <w:rPr>
                <w:rFonts w:cs="Times New Roman"/>
                <w:lang w:val="sr-Cyrl-CS"/>
              </w:rPr>
              <w:t>(</w:t>
            </w:r>
            <w:r w:rsidRPr="00895819">
              <w:rPr>
                <w:rFonts w:cs="Times New Roman"/>
                <w:i/>
                <w:iCs/>
                <w:lang w:val="sr-Cyrl-CS"/>
              </w:rPr>
              <w:t>Претходни услови</w:t>
            </w:r>
            <w:r w:rsidR="00B16F8D" w:rsidRPr="00895819">
              <w:rPr>
                <w:rFonts w:cs="Times New Roman"/>
                <w:lang w:val="sr-Cyrl-CS"/>
              </w:rPr>
              <w:t xml:space="preserve">) </w:t>
            </w:r>
            <w:r w:rsidR="00BC02F2" w:rsidRPr="00895819">
              <w:rPr>
                <w:rFonts w:cs="Times New Roman"/>
                <w:lang w:val="sr-Cyrl-CS"/>
              </w:rPr>
              <w:t>и који наступа у року од 180 календарских дана од Датума потписивања</w:t>
            </w:r>
            <w:r w:rsidR="00B16F8D" w:rsidRPr="00895819">
              <w:rPr>
                <w:rFonts w:cs="Times New Roman"/>
                <w:lang w:val="sr-Cyrl-CS"/>
              </w:rPr>
              <w:t>.</w:t>
            </w:r>
          </w:p>
        </w:tc>
      </w:tr>
      <w:tr w:rsidR="00B16F8D" w:rsidRPr="00895819" w14:paraId="53BC3223" w14:textId="77777777" w:rsidTr="00485361">
        <w:tc>
          <w:tcPr>
            <w:tcW w:w="1780" w:type="pct"/>
          </w:tcPr>
          <w:p w14:paraId="515C91CC" w14:textId="77777777" w:rsidR="00B16F8D" w:rsidRPr="00895819" w:rsidRDefault="001759F0" w:rsidP="00485361">
            <w:pPr>
              <w:pStyle w:val="BodyText"/>
              <w:spacing w:after="0"/>
              <w:rPr>
                <w:rFonts w:cs="Times New Roman"/>
                <w:b/>
                <w:lang w:val="sr-Cyrl-CS"/>
              </w:rPr>
            </w:pPr>
            <w:r w:rsidRPr="00895819">
              <w:rPr>
                <w:rFonts w:cs="Times New Roman"/>
                <w:b/>
                <w:lang w:val="sr-Cyrl-CS"/>
              </w:rPr>
              <w:t>Ембарго</w:t>
            </w:r>
          </w:p>
        </w:tc>
        <w:tc>
          <w:tcPr>
            <w:tcW w:w="3220" w:type="pct"/>
          </w:tcPr>
          <w:p w14:paraId="675219FF" w14:textId="77777777" w:rsidR="00B16F8D" w:rsidRPr="00895819" w:rsidRDefault="0023311F" w:rsidP="00485361">
            <w:pPr>
              <w:pStyle w:val="BodyText"/>
              <w:spacing w:after="0"/>
              <w:rPr>
                <w:rFonts w:cs="Times New Roman"/>
                <w:lang w:val="sr-Cyrl-CS"/>
              </w:rPr>
            </w:pPr>
            <w:r w:rsidRPr="00895819">
              <w:rPr>
                <w:rFonts w:cs="Times New Roman"/>
                <w:lang w:val="sr-Cyrl-CS"/>
              </w:rPr>
              <w:t>означава било коју економску санкцију чији је циљ забрана било каквог увоза и/или извоза (испорука, продаја или трансфер) једне или више роба, производа или услуга који долазе у земљу и/или из земље током одређеног периода, у складу са одлукама Уједињених нација, Европске уније или Француске које су објављене и које с времена на време могу бити измењене и допуњене</w:t>
            </w:r>
            <w:r w:rsidR="00B16F8D" w:rsidRPr="00895819">
              <w:rPr>
                <w:rFonts w:cs="Times New Roman"/>
                <w:lang w:val="sr-Cyrl-CS"/>
              </w:rPr>
              <w:t>.</w:t>
            </w:r>
          </w:p>
        </w:tc>
      </w:tr>
      <w:tr w:rsidR="00B16F8D" w:rsidRPr="00895819" w14:paraId="3F103967" w14:textId="77777777" w:rsidTr="00485361">
        <w:tc>
          <w:tcPr>
            <w:tcW w:w="1780" w:type="pct"/>
          </w:tcPr>
          <w:p w14:paraId="75DC5522" w14:textId="77777777" w:rsidR="00B16F8D" w:rsidRPr="00895819" w:rsidRDefault="0023311F" w:rsidP="00485361">
            <w:pPr>
              <w:pStyle w:val="BodyText"/>
              <w:spacing w:after="0"/>
              <w:rPr>
                <w:rFonts w:cs="Times New Roman"/>
                <w:b/>
                <w:lang w:val="sr-Cyrl-CS"/>
              </w:rPr>
            </w:pPr>
            <w:r w:rsidRPr="00895819">
              <w:rPr>
                <w:rFonts w:cs="Times New Roman"/>
                <w:b/>
                <w:iCs/>
                <w:lang w:val="sr-Cyrl-CS"/>
              </w:rPr>
              <w:t>Правилник о Жалбеном механизму у погледу заштите животне средине и социјалних питања</w:t>
            </w:r>
          </w:p>
        </w:tc>
        <w:tc>
          <w:tcPr>
            <w:tcW w:w="3220" w:type="pct"/>
          </w:tcPr>
          <w:p w14:paraId="20BAF330" w14:textId="77777777" w:rsidR="00B16F8D" w:rsidRPr="00895819" w:rsidRDefault="0023311F" w:rsidP="00485361">
            <w:pPr>
              <w:pStyle w:val="BodyText"/>
              <w:spacing w:after="0"/>
              <w:rPr>
                <w:rFonts w:cs="Times New Roman"/>
                <w:lang w:val="sr-Cyrl-CS"/>
              </w:rPr>
            </w:pPr>
            <w:r w:rsidRPr="00895819">
              <w:rPr>
                <w:rFonts w:cs="Times New Roman"/>
                <w:lang w:val="sr-Cyrl-CS"/>
              </w:rPr>
              <w:t>означава уговорне услове дате у Правилнику о жалбеном механизму у погледу заштите животне средине и социјалних питања, који је доступан на интернет страници, и предмет повремених измена и допуна</w:t>
            </w:r>
            <w:r w:rsidR="00B16F8D" w:rsidRPr="00895819">
              <w:rPr>
                <w:rFonts w:cs="Times New Roman"/>
                <w:lang w:val="sr-Cyrl-CS"/>
              </w:rPr>
              <w:t>.</w:t>
            </w:r>
          </w:p>
        </w:tc>
      </w:tr>
      <w:tr w:rsidR="00B16F8D" w:rsidRPr="00895819" w14:paraId="2F534BBF" w14:textId="77777777" w:rsidTr="00485361">
        <w:tc>
          <w:tcPr>
            <w:tcW w:w="1780" w:type="pct"/>
          </w:tcPr>
          <w:p w14:paraId="6C76EA66" w14:textId="24653907" w:rsidR="00B16F8D" w:rsidRPr="00895819" w:rsidRDefault="00016477" w:rsidP="00485361">
            <w:pPr>
              <w:pStyle w:val="BodyText"/>
              <w:spacing w:after="0"/>
              <w:jc w:val="left"/>
              <w:rPr>
                <w:rFonts w:cs="Times New Roman"/>
                <w:b/>
                <w:lang w:val="sr-Cyrl-CS"/>
              </w:rPr>
            </w:pPr>
            <w:r w:rsidRPr="00895819">
              <w:rPr>
                <w:b/>
                <w:szCs w:val="22"/>
                <w:lang w:val="sr-Cyrl-CS"/>
              </w:rPr>
              <w:t>EURIBOR</w:t>
            </w:r>
          </w:p>
        </w:tc>
        <w:tc>
          <w:tcPr>
            <w:tcW w:w="3220" w:type="pct"/>
          </w:tcPr>
          <w:p w14:paraId="290B3DEC" w14:textId="77777777" w:rsidR="00B16F8D" w:rsidRPr="00895819" w:rsidRDefault="008F4DAE" w:rsidP="00485361">
            <w:pPr>
              <w:pStyle w:val="BodyText"/>
              <w:spacing w:after="0"/>
              <w:rPr>
                <w:rFonts w:cs="Times New Roman"/>
                <w:b/>
                <w:lang w:val="sr-Cyrl-CS"/>
              </w:rPr>
            </w:pPr>
            <w:r w:rsidRPr="00895819">
              <w:rPr>
                <w:rFonts w:cs="Times New Roman"/>
                <w:lang w:val="sr-Cyrl-CS"/>
              </w:rPr>
              <w:t>означава међубанкарску стопу која се примењује на евро за све депозите деноминоване у еврима за период упоредив са релевантним периодом који је утврдио Европски институт за тржиште новца (</w:t>
            </w:r>
            <w:r w:rsidR="00066CD5" w:rsidRPr="00895819">
              <w:rPr>
                <w:rFonts w:cs="Times New Roman"/>
                <w:lang w:val="sr-Cyrl-CS"/>
              </w:rPr>
              <w:t>ЕММИ</w:t>
            </w:r>
            <w:r w:rsidRPr="00895819">
              <w:rPr>
                <w:rFonts w:cs="Times New Roman"/>
                <w:lang w:val="sr-Cyrl-CS"/>
              </w:rPr>
              <w:t xml:space="preserve">), или било који други </w:t>
            </w:r>
            <w:r w:rsidR="005A6374" w:rsidRPr="00895819">
              <w:rPr>
                <w:rFonts w:cs="Times New Roman"/>
                <w:lang w:val="sr-Cyrl-CS"/>
              </w:rPr>
              <w:t>правни следбеник</w:t>
            </w:r>
            <w:r w:rsidRPr="00895819">
              <w:rPr>
                <w:rFonts w:cs="Times New Roman"/>
                <w:lang w:val="sr-Cyrl-CS"/>
              </w:rPr>
              <w:t xml:space="preserve"> у 11:00 сати по бриселском времену, два (2) Радна дана пре првог дана Каматног периода</w:t>
            </w:r>
            <w:r w:rsidR="00B16F8D" w:rsidRPr="00895819">
              <w:rPr>
                <w:rFonts w:cs="Times New Roman"/>
                <w:lang w:val="sr-Cyrl-CS"/>
              </w:rPr>
              <w:t>.</w:t>
            </w:r>
          </w:p>
        </w:tc>
      </w:tr>
      <w:tr w:rsidR="00B16F8D" w:rsidRPr="00895819" w14:paraId="4E8ADE1A" w14:textId="77777777" w:rsidTr="00485361">
        <w:tc>
          <w:tcPr>
            <w:tcW w:w="1780" w:type="pct"/>
          </w:tcPr>
          <w:p w14:paraId="298D9D07" w14:textId="77777777" w:rsidR="00B16F8D" w:rsidRPr="00895819" w:rsidRDefault="00BB1226" w:rsidP="00485361">
            <w:pPr>
              <w:pStyle w:val="BodyText"/>
              <w:spacing w:after="0"/>
              <w:rPr>
                <w:rFonts w:cs="Times New Roman"/>
                <w:lang w:val="sr-Cyrl-CS"/>
              </w:rPr>
            </w:pPr>
            <w:r w:rsidRPr="00895819">
              <w:rPr>
                <w:rFonts w:cs="Times New Roman"/>
                <w:b/>
                <w:lang w:val="sr-Cyrl-CS"/>
              </w:rPr>
              <w:t>Евро или ЕУР</w:t>
            </w:r>
          </w:p>
        </w:tc>
        <w:tc>
          <w:tcPr>
            <w:tcW w:w="3220" w:type="pct"/>
          </w:tcPr>
          <w:p w14:paraId="38CDE9B0" w14:textId="77777777" w:rsidR="00B16F8D" w:rsidRPr="00895819" w:rsidRDefault="005A6374" w:rsidP="00485361">
            <w:pPr>
              <w:pStyle w:val="BodyText"/>
              <w:spacing w:after="0"/>
              <w:rPr>
                <w:rFonts w:cs="Times New Roman"/>
                <w:i/>
                <w:lang w:val="sr-Cyrl-CS"/>
              </w:rPr>
            </w:pPr>
            <w:r w:rsidRPr="00895819">
              <w:rPr>
                <w:rFonts w:cs="Times New Roman"/>
                <w:lang w:val="sr-Cyrl-CS"/>
              </w:rPr>
              <w:t>је заједничка валута држава чланица Европске економске и монетарне уније, укључујући Француску, и која је законско средство плаћања у тим државама чланицама</w:t>
            </w:r>
            <w:r w:rsidR="00B16F8D" w:rsidRPr="00895819">
              <w:rPr>
                <w:rFonts w:cs="Times New Roman"/>
                <w:lang w:val="sr-Cyrl-CS"/>
              </w:rPr>
              <w:t>.</w:t>
            </w:r>
          </w:p>
        </w:tc>
      </w:tr>
      <w:tr w:rsidR="00B16F8D" w:rsidRPr="00895819" w14:paraId="31453BAA" w14:textId="77777777" w:rsidTr="00485361">
        <w:tc>
          <w:tcPr>
            <w:tcW w:w="1780" w:type="pct"/>
          </w:tcPr>
          <w:p w14:paraId="40776B21" w14:textId="77777777" w:rsidR="00B16F8D" w:rsidRPr="00895819" w:rsidRDefault="00BB1226" w:rsidP="00485361">
            <w:pPr>
              <w:pStyle w:val="BodyText"/>
              <w:spacing w:after="0"/>
              <w:rPr>
                <w:rFonts w:cs="Times New Roman"/>
                <w:lang w:val="sr-Cyrl-CS"/>
              </w:rPr>
            </w:pPr>
            <w:r w:rsidRPr="00895819">
              <w:rPr>
                <w:rFonts w:cs="Times New Roman"/>
                <w:b/>
                <w:lang w:val="sr-Cyrl-CS"/>
              </w:rPr>
              <w:t>Случај неизвршења обавеза</w:t>
            </w:r>
          </w:p>
        </w:tc>
        <w:tc>
          <w:tcPr>
            <w:tcW w:w="3220" w:type="pct"/>
          </w:tcPr>
          <w:p w14:paraId="4055A91B" w14:textId="77777777" w:rsidR="00B16F8D" w:rsidRPr="00895819" w:rsidRDefault="00213318" w:rsidP="00485361">
            <w:pPr>
              <w:pStyle w:val="BodyText"/>
              <w:spacing w:after="0"/>
              <w:rPr>
                <w:rFonts w:cs="Times New Roman"/>
                <w:lang w:val="sr-Cyrl-CS"/>
              </w:rPr>
            </w:pPr>
            <w:r w:rsidRPr="00895819">
              <w:rPr>
                <w:rFonts w:cs="Times New Roman"/>
                <w:lang w:val="sr-Cyrl-CS"/>
              </w:rPr>
              <w:t>означава сваки случај или околност дефинисан</w:t>
            </w:r>
            <w:r w:rsidR="005A6374" w:rsidRPr="00895819">
              <w:rPr>
                <w:rFonts w:cs="Times New Roman"/>
                <w:lang w:val="sr-Cyrl-CS"/>
              </w:rPr>
              <w:t>у</w:t>
            </w:r>
            <w:r w:rsidRPr="00895819">
              <w:rPr>
                <w:rFonts w:cs="Times New Roman"/>
                <w:lang w:val="sr-Cyrl-CS"/>
              </w:rPr>
              <w:t xml:space="preserve"> у члану 13.1 (</w:t>
            </w:r>
            <w:r w:rsidRPr="00895819">
              <w:rPr>
                <w:rFonts w:cs="Times New Roman"/>
                <w:i/>
                <w:lang w:val="sr-Cyrl-CS"/>
              </w:rPr>
              <w:t>Случај неизвршења обавеза</w:t>
            </w:r>
            <w:r w:rsidR="00CB733A" w:rsidRPr="00895819">
              <w:rPr>
                <w:rFonts w:cs="Times New Roman"/>
                <w:lang w:val="sr-Cyrl-CS"/>
              </w:rPr>
              <w:t>).</w:t>
            </w:r>
          </w:p>
        </w:tc>
      </w:tr>
      <w:tr w:rsidR="00B16F8D" w:rsidRPr="00895819" w14:paraId="2A0CB84A" w14:textId="77777777" w:rsidTr="00485361">
        <w:tc>
          <w:tcPr>
            <w:tcW w:w="1780" w:type="pct"/>
          </w:tcPr>
          <w:p w14:paraId="480EADD7" w14:textId="77777777" w:rsidR="00B16F8D" w:rsidRPr="00895819" w:rsidRDefault="00BB1226" w:rsidP="00485361">
            <w:pPr>
              <w:pStyle w:val="BodyText"/>
              <w:spacing w:after="0"/>
              <w:rPr>
                <w:rFonts w:cs="Times New Roman"/>
                <w:b/>
                <w:lang w:val="sr-Cyrl-CS"/>
              </w:rPr>
            </w:pPr>
            <w:r w:rsidRPr="00895819">
              <w:rPr>
                <w:rFonts w:cs="Times New Roman"/>
                <w:b/>
                <w:lang w:val="sr-Cyrl-CS"/>
              </w:rPr>
              <w:t>Оквир расхода</w:t>
            </w:r>
          </w:p>
        </w:tc>
        <w:tc>
          <w:tcPr>
            <w:tcW w:w="3220" w:type="pct"/>
          </w:tcPr>
          <w:p w14:paraId="762FFD13" w14:textId="77777777" w:rsidR="00B16F8D" w:rsidRPr="00895819" w:rsidRDefault="00213318" w:rsidP="00447DFA">
            <w:pPr>
              <w:pStyle w:val="BodyText"/>
              <w:spacing w:after="0"/>
              <w:rPr>
                <w:rFonts w:cs="Times New Roman"/>
                <w:lang w:val="sr-Cyrl-CS"/>
              </w:rPr>
            </w:pPr>
            <w:r w:rsidRPr="00895819">
              <w:rPr>
                <w:rFonts w:cs="Times New Roman"/>
                <w:lang w:val="sr-Cyrl-CS"/>
              </w:rPr>
              <w:t xml:space="preserve">означава расходе из буџета Зајмопримца који </w:t>
            </w:r>
            <w:r w:rsidR="00447DFA" w:rsidRPr="00895819">
              <w:rPr>
                <w:szCs w:val="22"/>
                <w:lang w:val="sr-Cyrl-CS"/>
              </w:rPr>
              <w:t xml:space="preserve">(i) </w:t>
            </w:r>
            <w:r w:rsidRPr="00895819">
              <w:rPr>
                <w:szCs w:val="22"/>
                <w:lang w:val="sr-Cyrl-CS"/>
              </w:rPr>
              <w:t>се могу финансирати средствима намењеним за буџетску подршку под условом да Зајмоприм</w:t>
            </w:r>
            <w:r w:rsidR="005A6374" w:rsidRPr="00895819">
              <w:rPr>
                <w:szCs w:val="22"/>
                <w:lang w:val="sr-Cyrl-CS"/>
              </w:rPr>
              <w:t>а</w:t>
            </w:r>
            <w:r w:rsidRPr="00895819">
              <w:rPr>
                <w:szCs w:val="22"/>
                <w:lang w:val="sr-Cyrl-CS"/>
              </w:rPr>
              <w:t>ц испуни ДЛР</w:t>
            </w:r>
            <w:r w:rsidR="00447DFA" w:rsidRPr="00895819">
              <w:rPr>
                <w:szCs w:val="22"/>
                <w:lang w:val="sr-Cyrl-CS"/>
              </w:rPr>
              <w:t xml:space="preserve">; </w:t>
            </w:r>
            <w:r w:rsidRPr="00895819">
              <w:rPr>
                <w:szCs w:val="22"/>
                <w:lang w:val="sr-Cyrl-CS"/>
              </w:rPr>
              <w:t>и</w:t>
            </w:r>
            <w:r w:rsidR="00447DFA" w:rsidRPr="00895819">
              <w:rPr>
                <w:szCs w:val="22"/>
                <w:lang w:val="sr-Cyrl-CS"/>
              </w:rPr>
              <w:t xml:space="preserve"> (ii) </w:t>
            </w:r>
            <w:r w:rsidRPr="00895819">
              <w:rPr>
                <w:szCs w:val="22"/>
                <w:lang w:val="sr-Cyrl-CS"/>
              </w:rPr>
              <w:t xml:space="preserve">су описани у Прилогу </w:t>
            </w:r>
            <w:r w:rsidR="00447DFA" w:rsidRPr="00895819">
              <w:rPr>
                <w:rFonts w:cs="Times New Roman"/>
                <w:lang w:val="sr-Cyrl-CS"/>
              </w:rPr>
              <w:t>3</w:t>
            </w:r>
            <w:r w:rsidRPr="00895819">
              <w:rPr>
                <w:rFonts w:cs="Times New Roman"/>
                <w:lang w:val="sr-Cyrl-CS"/>
              </w:rPr>
              <w:t>Б</w:t>
            </w:r>
            <w:r w:rsidR="00447DFA" w:rsidRPr="00895819">
              <w:rPr>
                <w:szCs w:val="22"/>
                <w:lang w:val="sr-Cyrl-CS"/>
              </w:rPr>
              <w:t>.</w:t>
            </w:r>
          </w:p>
        </w:tc>
      </w:tr>
      <w:tr w:rsidR="00B16F8D" w:rsidRPr="00895819" w14:paraId="30461391" w14:textId="77777777" w:rsidTr="00485361">
        <w:tc>
          <w:tcPr>
            <w:tcW w:w="1780" w:type="pct"/>
          </w:tcPr>
          <w:p w14:paraId="4506C86C" w14:textId="77777777" w:rsidR="00B16F8D" w:rsidRPr="00895819" w:rsidRDefault="00BB1226" w:rsidP="00485361">
            <w:pPr>
              <w:pStyle w:val="BodyText"/>
              <w:spacing w:after="0"/>
              <w:rPr>
                <w:rFonts w:cs="Times New Roman"/>
                <w:lang w:val="sr-Cyrl-CS"/>
              </w:rPr>
            </w:pPr>
            <w:r w:rsidRPr="00895819">
              <w:rPr>
                <w:rFonts w:cs="Times New Roman"/>
                <w:b/>
                <w:lang w:val="sr-Cyrl-CS"/>
              </w:rPr>
              <w:t>Кредит</w:t>
            </w:r>
          </w:p>
        </w:tc>
        <w:tc>
          <w:tcPr>
            <w:tcW w:w="3220" w:type="pct"/>
          </w:tcPr>
          <w:p w14:paraId="3043B366" w14:textId="0656FC1C" w:rsidR="00B16F8D" w:rsidRPr="00895819" w:rsidRDefault="00213318" w:rsidP="00485361">
            <w:pPr>
              <w:pStyle w:val="BodyText"/>
              <w:spacing w:after="0"/>
              <w:rPr>
                <w:rFonts w:cs="Times New Roman"/>
                <w:lang w:val="sr-Cyrl-CS"/>
              </w:rPr>
            </w:pPr>
            <w:r w:rsidRPr="00895819">
              <w:rPr>
                <w:rFonts w:cs="Times New Roman"/>
                <w:lang w:val="sr-Cyrl-CS"/>
              </w:rPr>
              <w:t xml:space="preserve">означава кредитна средства које је Зајмодавац ставио на располагање Зајмопримцу, у складу са овим </w:t>
            </w:r>
            <w:r w:rsidR="00892068" w:rsidRPr="00895819">
              <w:rPr>
                <w:rFonts w:cs="Times New Roman"/>
                <w:lang w:val="sr-Cyrl-CS"/>
              </w:rPr>
              <w:t>у</w:t>
            </w:r>
            <w:r w:rsidRPr="00895819">
              <w:rPr>
                <w:rFonts w:cs="Times New Roman"/>
                <w:lang w:val="sr-Cyrl-CS"/>
              </w:rPr>
              <w:t>говором до максималног износа главнице дефинисаног у члану 2.1 (</w:t>
            </w:r>
            <w:r w:rsidRPr="00895819">
              <w:rPr>
                <w:rFonts w:cs="Times New Roman"/>
                <w:i/>
                <w:lang w:val="sr-Cyrl-CS"/>
              </w:rPr>
              <w:t>Кредит</w:t>
            </w:r>
            <w:r w:rsidR="00CB733A" w:rsidRPr="00895819">
              <w:rPr>
                <w:rFonts w:cs="Times New Roman"/>
                <w:lang w:val="sr-Cyrl-CS"/>
              </w:rPr>
              <w:t>).</w:t>
            </w:r>
          </w:p>
        </w:tc>
      </w:tr>
      <w:tr w:rsidR="00B16F8D" w:rsidRPr="00895819" w14:paraId="35DFFD2F" w14:textId="77777777" w:rsidTr="00485361">
        <w:tc>
          <w:tcPr>
            <w:tcW w:w="1780" w:type="pct"/>
          </w:tcPr>
          <w:p w14:paraId="0B696E68" w14:textId="77777777" w:rsidR="00B16F8D" w:rsidRPr="00895819" w:rsidRDefault="00D92B96" w:rsidP="00485361">
            <w:pPr>
              <w:pStyle w:val="BodyText"/>
              <w:spacing w:after="0"/>
              <w:rPr>
                <w:rFonts w:cs="Times New Roman"/>
                <w:b/>
                <w:lang w:val="sr-Cyrl-CS"/>
              </w:rPr>
            </w:pPr>
            <w:r w:rsidRPr="00895819">
              <w:rPr>
                <w:b/>
                <w:lang w:val="sr-Cyrl-CS"/>
              </w:rPr>
              <w:t>Финансијска задуженост</w:t>
            </w:r>
          </w:p>
        </w:tc>
        <w:tc>
          <w:tcPr>
            <w:tcW w:w="3220" w:type="pct"/>
          </w:tcPr>
          <w:p w14:paraId="66BD3F41" w14:textId="77777777" w:rsidR="00B16F8D" w:rsidRPr="00895819" w:rsidRDefault="00D92B96" w:rsidP="00485361">
            <w:pPr>
              <w:pStyle w:val="BodyText"/>
              <w:spacing w:after="0"/>
              <w:rPr>
                <w:lang w:val="sr-Cyrl-CS"/>
              </w:rPr>
            </w:pPr>
            <w:r w:rsidRPr="00895819">
              <w:rPr>
                <w:lang w:val="sr-Cyrl-CS"/>
              </w:rPr>
              <w:t>означава свако дуговање за или по основу</w:t>
            </w:r>
            <w:r w:rsidR="00B16F8D" w:rsidRPr="00895819">
              <w:rPr>
                <w:lang w:val="sr-Cyrl-CS"/>
              </w:rPr>
              <w:t>:</w:t>
            </w:r>
          </w:p>
          <w:p w14:paraId="053098A7" w14:textId="13F9FC45" w:rsidR="00B16F8D" w:rsidRPr="00895819" w:rsidRDefault="00C657E9" w:rsidP="00C657E9">
            <w:pPr>
              <w:pStyle w:val="AATitre4"/>
              <w:numPr>
                <w:ilvl w:val="0"/>
                <w:numId w:val="0"/>
              </w:numPr>
              <w:spacing w:after="0"/>
              <w:ind w:left="601" w:hanging="450"/>
              <w:rPr>
                <w:lang w:val="sr-Cyrl-CS"/>
              </w:rPr>
            </w:pPr>
            <w:r w:rsidRPr="00895819">
              <w:rPr>
                <w:lang w:val="sr-Cyrl-CS"/>
              </w:rPr>
              <w:t>(б)</w:t>
            </w:r>
            <w:r w:rsidRPr="00895819">
              <w:rPr>
                <w:lang w:val="sr-Cyrl-CS"/>
              </w:rPr>
              <w:tab/>
            </w:r>
            <w:r w:rsidR="00B83031" w:rsidRPr="00895819">
              <w:rPr>
                <w:lang w:val="sr-Cyrl-CS"/>
              </w:rPr>
              <w:t>краткорочно, средњорочно или дугорочно позајмљених средстава</w:t>
            </w:r>
            <w:r w:rsidR="00B16F8D" w:rsidRPr="00895819">
              <w:rPr>
                <w:lang w:val="sr-Cyrl-CS"/>
              </w:rPr>
              <w:t>;</w:t>
            </w:r>
          </w:p>
          <w:p w14:paraId="345CF1B2" w14:textId="2AD7DEBC" w:rsidR="00B16F8D" w:rsidRPr="00895819" w:rsidRDefault="00C657E9" w:rsidP="00C657E9">
            <w:pPr>
              <w:pStyle w:val="AATitre4"/>
              <w:numPr>
                <w:ilvl w:val="0"/>
                <w:numId w:val="0"/>
              </w:numPr>
              <w:spacing w:after="0"/>
              <w:ind w:left="601" w:hanging="450"/>
              <w:rPr>
                <w:lang w:val="sr-Cyrl-CS"/>
              </w:rPr>
            </w:pPr>
            <w:r w:rsidRPr="00895819">
              <w:rPr>
                <w:lang w:val="sr-Cyrl-CS"/>
              </w:rPr>
              <w:t>(ц)</w:t>
            </w:r>
            <w:r w:rsidRPr="00895819">
              <w:rPr>
                <w:lang w:val="sr-Cyrl-CS"/>
              </w:rPr>
              <w:tab/>
            </w:r>
            <w:r w:rsidR="00B83031" w:rsidRPr="00895819">
              <w:rPr>
                <w:lang w:val="sr-Cyrl-CS"/>
              </w:rPr>
              <w:t>сваког износа по основу издавања обвезница, задужница, вредносних папира, или било ког другог инструмента</w:t>
            </w:r>
            <w:r w:rsidR="00B16F8D" w:rsidRPr="00895819">
              <w:rPr>
                <w:lang w:val="sr-Cyrl-CS"/>
              </w:rPr>
              <w:t>;</w:t>
            </w:r>
          </w:p>
          <w:p w14:paraId="6CB107E3" w14:textId="4A6CF223" w:rsidR="00B16F8D" w:rsidRPr="00895819" w:rsidRDefault="00C657E9" w:rsidP="00C657E9">
            <w:pPr>
              <w:pStyle w:val="AATitre4"/>
              <w:numPr>
                <w:ilvl w:val="0"/>
                <w:numId w:val="0"/>
              </w:numPr>
              <w:spacing w:after="0"/>
              <w:ind w:left="601" w:hanging="450"/>
              <w:rPr>
                <w:lang w:val="sr-Cyrl-CS"/>
              </w:rPr>
            </w:pPr>
            <w:r w:rsidRPr="00895819">
              <w:rPr>
                <w:lang w:val="sr-Cyrl-CS"/>
              </w:rPr>
              <w:t>(д)</w:t>
            </w:r>
            <w:r w:rsidRPr="00895819">
              <w:rPr>
                <w:lang w:val="sr-Cyrl-CS"/>
              </w:rPr>
              <w:tab/>
            </w:r>
            <w:r w:rsidR="00B83031" w:rsidRPr="00895819">
              <w:rPr>
                <w:lang w:val="sr-Cyrl-CS"/>
              </w:rPr>
              <w:t>сваког износа прикупљеног другим трансакцијама (укључујући уговор о терминској продаји или куповини) и који има комерцијални ефекат позајмице</w:t>
            </w:r>
            <w:r w:rsidR="00B16F8D" w:rsidRPr="00895819">
              <w:rPr>
                <w:lang w:val="sr-Cyrl-CS"/>
              </w:rPr>
              <w:t>;</w:t>
            </w:r>
          </w:p>
          <w:p w14:paraId="5E888194" w14:textId="1FF735CA" w:rsidR="00B16F8D" w:rsidRPr="00895819" w:rsidRDefault="00C657E9" w:rsidP="00C657E9">
            <w:pPr>
              <w:pStyle w:val="AATitre4"/>
              <w:numPr>
                <w:ilvl w:val="0"/>
                <w:numId w:val="0"/>
              </w:numPr>
              <w:spacing w:after="0"/>
              <w:ind w:left="601" w:hanging="450"/>
              <w:rPr>
                <w:lang w:val="sr-Cyrl-CS"/>
              </w:rPr>
            </w:pPr>
            <w:r w:rsidRPr="00895819">
              <w:rPr>
                <w:lang w:val="sr-Cyrl-CS"/>
              </w:rPr>
              <w:t>(е)</w:t>
            </w:r>
            <w:r w:rsidRPr="00895819">
              <w:rPr>
                <w:lang w:val="sr-Cyrl-CS"/>
              </w:rPr>
              <w:tab/>
            </w:r>
            <w:r w:rsidR="00B83031" w:rsidRPr="00895819">
              <w:rPr>
                <w:lang w:val="sr-Cyrl-CS"/>
              </w:rPr>
              <w:t>сваке потенцијалне обавезе која проистиче из гаранције, обвезнице или било ког другог инструмента</w:t>
            </w:r>
            <w:r w:rsidR="00B16F8D" w:rsidRPr="00895819">
              <w:rPr>
                <w:lang w:val="sr-Cyrl-CS"/>
              </w:rPr>
              <w:t>.</w:t>
            </w:r>
          </w:p>
        </w:tc>
      </w:tr>
      <w:tr w:rsidR="00B16F8D" w:rsidRPr="00895819" w14:paraId="56D7CE3F" w14:textId="77777777" w:rsidTr="00485361">
        <w:tc>
          <w:tcPr>
            <w:tcW w:w="1780" w:type="pct"/>
          </w:tcPr>
          <w:p w14:paraId="6D00B58F" w14:textId="77777777" w:rsidR="00B16F8D" w:rsidRPr="00895819" w:rsidRDefault="00387F2F" w:rsidP="00485361">
            <w:pPr>
              <w:pStyle w:val="BodyText"/>
              <w:spacing w:after="0"/>
              <w:rPr>
                <w:rFonts w:cs="Times New Roman"/>
                <w:lang w:val="sr-Cyrl-CS"/>
              </w:rPr>
            </w:pPr>
            <w:r w:rsidRPr="00895819">
              <w:rPr>
                <w:rFonts w:cs="Times New Roman"/>
                <w:b/>
                <w:lang w:val="sr-Cyrl-CS"/>
              </w:rPr>
              <w:lastRenderedPageBreak/>
              <w:t>Списак финансијских санкција</w:t>
            </w:r>
          </w:p>
        </w:tc>
        <w:tc>
          <w:tcPr>
            <w:tcW w:w="3220" w:type="pct"/>
          </w:tcPr>
          <w:p w14:paraId="4F4225B6" w14:textId="77777777" w:rsidR="00B16F8D" w:rsidRPr="00895819" w:rsidRDefault="00844A7F" w:rsidP="00485361">
            <w:pPr>
              <w:pStyle w:val="BodyText"/>
              <w:spacing w:after="0"/>
              <w:rPr>
                <w:rFonts w:cs="Times New Roman"/>
                <w:lang w:val="sr-Cyrl-CS"/>
              </w:rPr>
            </w:pPr>
            <w:r w:rsidRPr="00895819">
              <w:rPr>
                <w:rFonts w:cs="Times New Roman"/>
                <w:lang w:val="sr-Cyrl-CS"/>
              </w:rPr>
              <w:t>означава списак/спискове лица, група или субјеката који подлежу финансијским санкцијама Уједињених нација, Европске уније и/или Француске</w:t>
            </w:r>
            <w:r w:rsidR="00B16F8D" w:rsidRPr="00895819">
              <w:rPr>
                <w:rFonts w:cs="Times New Roman"/>
                <w:lang w:val="sr-Cyrl-CS"/>
              </w:rPr>
              <w:t>.</w:t>
            </w:r>
          </w:p>
          <w:p w14:paraId="37AD8D36" w14:textId="77777777" w:rsidR="00B16F8D" w:rsidRPr="00895819" w:rsidRDefault="00844A7F" w:rsidP="00485361">
            <w:pPr>
              <w:pStyle w:val="BodyText"/>
              <w:spacing w:after="0"/>
              <w:rPr>
                <w:rFonts w:cs="Times New Roman"/>
                <w:lang w:val="sr-Cyrl-CS"/>
              </w:rPr>
            </w:pPr>
            <w:r w:rsidRPr="00895819">
              <w:rPr>
                <w:rFonts w:cs="Times New Roman"/>
                <w:lang w:val="sr-Cyrl-CS"/>
              </w:rPr>
              <w:t xml:space="preserve">Само за сврху информисања и погодности Зајмопримца, који се на њих може ослонити, дате су следеће референце и </w:t>
            </w:r>
            <w:r w:rsidR="00476F2B" w:rsidRPr="00895819">
              <w:rPr>
                <w:rFonts w:cs="Times New Roman"/>
                <w:lang w:val="sr-Cyrl-CS"/>
              </w:rPr>
              <w:t>интернет</w:t>
            </w:r>
            <w:r w:rsidRPr="00895819">
              <w:rPr>
                <w:rFonts w:cs="Times New Roman"/>
                <w:lang w:val="sr-Cyrl-CS"/>
              </w:rPr>
              <w:t xml:space="preserve"> адресе</w:t>
            </w:r>
            <w:r w:rsidR="00B16F8D" w:rsidRPr="00895819">
              <w:rPr>
                <w:rFonts w:cs="Times New Roman"/>
                <w:lang w:val="sr-Cyrl-CS"/>
              </w:rPr>
              <w:t>:</w:t>
            </w:r>
          </w:p>
          <w:p w14:paraId="180F1F25" w14:textId="77777777" w:rsidR="00B16F8D" w:rsidRPr="00895819" w:rsidRDefault="00844A7F" w:rsidP="00485361">
            <w:pPr>
              <w:pStyle w:val="BodyText"/>
              <w:spacing w:after="0"/>
              <w:rPr>
                <w:rFonts w:cs="Times New Roman"/>
                <w:bCs w:val="0"/>
                <w:lang w:val="sr-Cyrl-CS"/>
              </w:rPr>
            </w:pPr>
            <w:r w:rsidRPr="00895819">
              <w:rPr>
                <w:rFonts w:cs="Times New Roman"/>
                <w:b/>
                <w:lang w:val="sr-Cyrl-CS"/>
              </w:rPr>
              <w:t>За спис</w:t>
            </w:r>
            <w:r w:rsidR="00476F2B" w:rsidRPr="00895819">
              <w:rPr>
                <w:rFonts w:cs="Times New Roman"/>
                <w:b/>
                <w:lang w:val="sr-Cyrl-CS"/>
              </w:rPr>
              <w:t>к</w:t>
            </w:r>
            <w:r w:rsidRPr="00895819">
              <w:rPr>
                <w:rFonts w:cs="Times New Roman"/>
                <w:b/>
                <w:lang w:val="sr-Cyrl-CS"/>
              </w:rPr>
              <w:t>ове које воде Уједињене нације</w:t>
            </w:r>
            <w:r w:rsidR="00B16F8D" w:rsidRPr="00895819">
              <w:rPr>
                <w:rFonts w:cs="Times New Roman"/>
                <w:b/>
                <w:lang w:val="sr-Cyrl-CS"/>
              </w:rPr>
              <w:t xml:space="preserve">, </w:t>
            </w:r>
            <w:r w:rsidRPr="00895819">
              <w:rPr>
                <w:rFonts w:cs="Times New Roman"/>
                <w:b/>
                <w:lang w:val="sr-Cyrl-CS"/>
              </w:rPr>
              <w:t xml:space="preserve">Европска унија и Француска, </w:t>
            </w:r>
            <w:r w:rsidRPr="00895819">
              <w:rPr>
                <w:rFonts w:cs="Times New Roman"/>
                <w:bCs w:val="0"/>
                <w:lang w:val="sr-Cyrl-CS"/>
              </w:rPr>
              <w:t>можете консултовати следећ</w:t>
            </w:r>
            <w:r w:rsidR="0093088D" w:rsidRPr="00895819">
              <w:rPr>
                <w:rFonts w:cs="Times New Roman"/>
                <w:bCs w:val="0"/>
                <w:lang w:val="sr-Cyrl-CS"/>
              </w:rPr>
              <w:t>у</w:t>
            </w:r>
            <w:r w:rsidRPr="00895819">
              <w:rPr>
                <w:rFonts w:cs="Times New Roman"/>
                <w:bCs w:val="0"/>
                <w:lang w:val="sr-Cyrl-CS"/>
              </w:rPr>
              <w:t xml:space="preserve"> интернет страниц</w:t>
            </w:r>
            <w:r w:rsidR="0093088D" w:rsidRPr="00895819">
              <w:rPr>
                <w:rFonts w:cs="Times New Roman"/>
                <w:bCs w:val="0"/>
                <w:lang w:val="sr-Cyrl-CS"/>
              </w:rPr>
              <w:t>у</w:t>
            </w:r>
            <w:r w:rsidR="00B16F8D" w:rsidRPr="00895819">
              <w:rPr>
                <w:rFonts w:cs="Times New Roman"/>
                <w:bCs w:val="0"/>
                <w:lang w:val="sr-Cyrl-CS"/>
              </w:rPr>
              <w:t xml:space="preserve">: </w:t>
            </w:r>
          </w:p>
          <w:p w14:paraId="172A8FB5" w14:textId="77777777" w:rsidR="00B16F8D" w:rsidRPr="00895819" w:rsidRDefault="0069146B" w:rsidP="00485361">
            <w:pPr>
              <w:pStyle w:val="BodyText"/>
              <w:spacing w:after="0"/>
              <w:rPr>
                <w:rFonts w:cs="Times New Roman"/>
                <w:lang w:val="sr-Cyrl-CS"/>
              </w:rPr>
            </w:pPr>
            <w:r w:rsidRPr="00895819">
              <w:rPr>
                <w:lang w:val="sr-Cyrl-CS"/>
              </w:rPr>
              <w:t>https://gels-avoirs.dgtresor.gouv.fr/List</w:t>
            </w:r>
            <w:r w:rsidR="00B16F8D" w:rsidRPr="00895819">
              <w:rPr>
                <w:rFonts w:cs="Times New Roman"/>
                <w:lang w:val="sr-Cyrl-CS"/>
              </w:rPr>
              <w:t xml:space="preserve"> </w:t>
            </w:r>
          </w:p>
        </w:tc>
      </w:tr>
      <w:tr w:rsidR="00B16F8D" w:rsidRPr="00895819" w14:paraId="22C8B873" w14:textId="77777777" w:rsidTr="00485361">
        <w:tc>
          <w:tcPr>
            <w:tcW w:w="1780" w:type="pct"/>
          </w:tcPr>
          <w:p w14:paraId="30102945" w14:textId="77777777" w:rsidR="00B16F8D" w:rsidRPr="00895819" w:rsidRDefault="00387F2F" w:rsidP="00485361">
            <w:pPr>
              <w:pStyle w:val="BodyText"/>
              <w:spacing w:after="0"/>
              <w:rPr>
                <w:rFonts w:cs="Times New Roman"/>
                <w:b/>
                <w:lang w:val="sr-Cyrl-CS"/>
              </w:rPr>
            </w:pPr>
            <w:r w:rsidRPr="00895819">
              <w:rPr>
                <w:rFonts w:cs="Times New Roman"/>
                <w:b/>
                <w:lang w:val="sr-Cyrl-CS"/>
              </w:rPr>
              <w:t>План финансирања</w:t>
            </w:r>
          </w:p>
        </w:tc>
        <w:tc>
          <w:tcPr>
            <w:tcW w:w="3220" w:type="pct"/>
          </w:tcPr>
          <w:p w14:paraId="770C027F" w14:textId="77777777" w:rsidR="00B16F8D" w:rsidRPr="00895819" w:rsidRDefault="0093088D" w:rsidP="00924CFD">
            <w:pPr>
              <w:pStyle w:val="BodyText"/>
              <w:spacing w:after="0"/>
              <w:rPr>
                <w:rFonts w:cs="Times New Roman"/>
                <w:lang w:val="sr-Cyrl-CS"/>
              </w:rPr>
            </w:pPr>
            <w:r w:rsidRPr="00895819">
              <w:rPr>
                <w:rFonts w:cs="Times New Roman"/>
                <w:lang w:val="sr-Cyrl-CS"/>
              </w:rPr>
              <w:t xml:space="preserve">означава План финансирања Операције дефинисан у Прилогу </w:t>
            </w:r>
            <w:r w:rsidR="00924CFD" w:rsidRPr="00895819">
              <w:rPr>
                <w:rFonts w:cs="Times New Roman"/>
                <w:lang w:val="sr-Cyrl-CS"/>
              </w:rPr>
              <w:t>3A (</w:t>
            </w:r>
            <w:r w:rsidRPr="00895819">
              <w:rPr>
                <w:rFonts w:cs="Times New Roman"/>
                <w:i/>
                <w:iCs/>
                <w:lang w:val="sr-Cyrl-CS"/>
              </w:rPr>
              <w:t>План финансирања</w:t>
            </w:r>
            <w:r w:rsidR="00924CFD" w:rsidRPr="00895819">
              <w:rPr>
                <w:rFonts w:cs="Times New Roman"/>
                <w:lang w:val="sr-Cyrl-CS"/>
              </w:rPr>
              <w:t>).</w:t>
            </w:r>
          </w:p>
        </w:tc>
      </w:tr>
      <w:tr w:rsidR="00AF2B27" w:rsidRPr="00895819" w14:paraId="588F0E6C" w14:textId="77777777" w:rsidTr="00485361">
        <w:tc>
          <w:tcPr>
            <w:tcW w:w="1780" w:type="pct"/>
          </w:tcPr>
          <w:p w14:paraId="0958E66D" w14:textId="77777777" w:rsidR="00AF2B27" w:rsidRPr="00895819" w:rsidRDefault="00387F2F" w:rsidP="00485361">
            <w:pPr>
              <w:pStyle w:val="BodyText"/>
              <w:spacing w:after="0"/>
              <w:rPr>
                <w:rFonts w:cs="Times New Roman"/>
                <w:b/>
                <w:lang w:val="sr-Cyrl-CS"/>
              </w:rPr>
            </w:pPr>
            <w:r w:rsidRPr="00895819">
              <w:rPr>
                <w:rFonts w:cs="Times New Roman"/>
                <w:b/>
                <w:lang w:val="sr-Cyrl-CS"/>
              </w:rPr>
              <w:t>Фискална стратегија</w:t>
            </w:r>
          </w:p>
        </w:tc>
        <w:tc>
          <w:tcPr>
            <w:tcW w:w="3220" w:type="pct"/>
          </w:tcPr>
          <w:p w14:paraId="328CA47D" w14:textId="2BB49E5F" w:rsidR="00AF2B27" w:rsidRPr="00895819" w:rsidRDefault="00C72DB4" w:rsidP="007A6BE0">
            <w:pPr>
              <w:pStyle w:val="BodyText"/>
              <w:spacing w:after="0"/>
              <w:rPr>
                <w:lang w:val="sr-Cyrl-CS"/>
              </w:rPr>
            </w:pPr>
            <w:r w:rsidRPr="00895819">
              <w:rPr>
                <w:szCs w:val="22"/>
                <w:lang w:val="sr-Cyrl-CS"/>
              </w:rPr>
              <w:t xml:space="preserve">означава документ Зајмопримца, који у складу са Законом о буџетском систему, утврђује циљеве фискалне политике и Влада Зајмопримца га сваке године подноси </w:t>
            </w:r>
            <w:r w:rsidR="007A6BE0" w:rsidRPr="00895819">
              <w:rPr>
                <w:szCs w:val="22"/>
                <w:lang w:val="sr-Cyrl-CS"/>
              </w:rPr>
              <w:t>Народној с</w:t>
            </w:r>
            <w:r w:rsidRPr="00895819">
              <w:rPr>
                <w:szCs w:val="22"/>
                <w:lang w:val="sr-Cyrl-CS"/>
              </w:rPr>
              <w:t>купштини</w:t>
            </w:r>
            <w:r w:rsidR="00AF2B27" w:rsidRPr="00895819">
              <w:rPr>
                <w:szCs w:val="22"/>
                <w:lang w:val="sr-Cyrl-CS"/>
              </w:rPr>
              <w:t>.</w:t>
            </w:r>
          </w:p>
        </w:tc>
      </w:tr>
      <w:tr w:rsidR="00B16F8D" w:rsidRPr="00895819" w14:paraId="4C3AE143" w14:textId="77777777" w:rsidTr="00485361">
        <w:tc>
          <w:tcPr>
            <w:tcW w:w="1780" w:type="pct"/>
          </w:tcPr>
          <w:p w14:paraId="03293C39" w14:textId="77777777" w:rsidR="00B16F8D" w:rsidRPr="00895819" w:rsidRDefault="00387F2F" w:rsidP="00485361">
            <w:pPr>
              <w:pStyle w:val="BodyText"/>
              <w:spacing w:after="0"/>
              <w:rPr>
                <w:rFonts w:cs="Times New Roman"/>
                <w:lang w:val="sr-Cyrl-CS"/>
              </w:rPr>
            </w:pPr>
            <w:r w:rsidRPr="00895819">
              <w:rPr>
                <w:rFonts w:cs="Times New Roman"/>
                <w:b/>
                <w:lang w:val="sr-Cyrl-CS"/>
              </w:rPr>
              <w:t>Фиксна референтна стопа</w:t>
            </w:r>
          </w:p>
        </w:tc>
        <w:tc>
          <w:tcPr>
            <w:tcW w:w="3220" w:type="pct"/>
          </w:tcPr>
          <w:p w14:paraId="5FF81B44" w14:textId="34CE6DC2" w:rsidR="00B16F8D" w:rsidRPr="00895819" w:rsidRDefault="00C72DB4" w:rsidP="00485361">
            <w:pPr>
              <w:pStyle w:val="BodyText"/>
              <w:spacing w:after="0"/>
              <w:rPr>
                <w:rFonts w:cs="Times New Roman"/>
                <w:lang w:val="sr-Cyrl-CS"/>
              </w:rPr>
            </w:pPr>
            <w:r w:rsidRPr="00895819">
              <w:rPr>
                <w:lang w:val="sr-Cyrl-CS"/>
              </w:rPr>
              <w:t>означава</w:t>
            </w:r>
            <w:r w:rsidR="00B16F8D" w:rsidRPr="00895819">
              <w:rPr>
                <w:lang w:val="sr-Cyrl-CS"/>
              </w:rPr>
              <w:t xml:space="preserve"> </w:t>
            </w:r>
            <w:r w:rsidR="008938CF" w:rsidRPr="00895819">
              <w:rPr>
                <w:lang w:val="sr-Cyrl-CS"/>
              </w:rPr>
              <w:t>три кома седамдесет</w:t>
            </w:r>
            <w:r w:rsidR="007D1846" w:rsidRPr="00895819">
              <w:rPr>
                <w:lang w:val="sr-Cyrl-CS"/>
              </w:rPr>
              <w:t xml:space="preserve"> </w:t>
            </w:r>
            <w:r w:rsidRPr="00895819">
              <w:rPr>
                <w:lang w:val="sr-Cyrl-CS"/>
              </w:rPr>
              <w:t>процен</w:t>
            </w:r>
            <w:r w:rsidR="00476F2B" w:rsidRPr="00895819">
              <w:rPr>
                <w:lang w:val="sr-Cyrl-CS"/>
              </w:rPr>
              <w:t>а</w:t>
            </w:r>
            <w:r w:rsidRPr="00895819">
              <w:rPr>
                <w:lang w:val="sr-Cyrl-CS"/>
              </w:rPr>
              <w:t>та</w:t>
            </w:r>
            <w:r w:rsidR="00B16F8D" w:rsidRPr="00895819">
              <w:rPr>
                <w:lang w:val="sr-Cyrl-CS"/>
              </w:rPr>
              <w:t xml:space="preserve"> </w:t>
            </w:r>
            <w:r w:rsidR="008938CF" w:rsidRPr="00895819">
              <w:rPr>
                <w:lang w:val="sr-Cyrl-CS"/>
              </w:rPr>
              <w:t>(3,70</w:t>
            </w:r>
            <w:r w:rsidR="00B16F8D" w:rsidRPr="00895819">
              <w:rPr>
                <w:lang w:val="sr-Cyrl-CS"/>
              </w:rPr>
              <w:t>%</w:t>
            </w:r>
            <w:r w:rsidR="008938CF" w:rsidRPr="00895819">
              <w:rPr>
                <w:lang w:val="sr-Cyrl-CS"/>
              </w:rPr>
              <w:t>)</w:t>
            </w:r>
            <w:r w:rsidR="00B16F8D" w:rsidRPr="00895819">
              <w:rPr>
                <w:lang w:val="sr-Cyrl-CS"/>
              </w:rPr>
              <w:t xml:space="preserve"> </w:t>
            </w:r>
            <w:r w:rsidRPr="00895819">
              <w:rPr>
                <w:lang w:val="sr-Cyrl-CS"/>
              </w:rPr>
              <w:t>годишње</w:t>
            </w:r>
            <w:r w:rsidR="00B16F8D" w:rsidRPr="00895819">
              <w:rPr>
                <w:lang w:val="sr-Cyrl-CS"/>
              </w:rPr>
              <w:t>.</w:t>
            </w:r>
          </w:p>
        </w:tc>
      </w:tr>
      <w:tr w:rsidR="00B16F8D" w:rsidRPr="00895819" w14:paraId="30FE54A2" w14:textId="77777777" w:rsidTr="00485361">
        <w:tc>
          <w:tcPr>
            <w:tcW w:w="1780" w:type="pct"/>
          </w:tcPr>
          <w:p w14:paraId="09E0A4DB" w14:textId="77777777" w:rsidR="00B16F8D" w:rsidRPr="00895819" w:rsidRDefault="00387F2F" w:rsidP="00485361">
            <w:pPr>
              <w:pStyle w:val="BodyText"/>
              <w:spacing w:after="0"/>
              <w:rPr>
                <w:rFonts w:cs="Times New Roman"/>
                <w:lang w:val="sr-Cyrl-CS"/>
              </w:rPr>
            </w:pPr>
            <w:r w:rsidRPr="00895819">
              <w:rPr>
                <w:rFonts w:cs="Times New Roman"/>
                <w:b/>
                <w:lang w:val="sr-Cyrl-CS"/>
              </w:rPr>
              <w:t>Преварна радња</w:t>
            </w:r>
          </w:p>
        </w:tc>
        <w:tc>
          <w:tcPr>
            <w:tcW w:w="3220" w:type="pct"/>
          </w:tcPr>
          <w:p w14:paraId="0A210D0D" w14:textId="77777777" w:rsidR="00B16F8D" w:rsidRPr="00895819" w:rsidRDefault="00C72DB4" w:rsidP="00485361">
            <w:pPr>
              <w:pStyle w:val="BodyText"/>
              <w:spacing w:after="0"/>
              <w:rPr>
                <w:rFonts w:cs="Times New Roman"/>
                <w:lang w:val="sr-Cyrl-CS"/>
              </w:rPr>
            </w:pPr>
            <w:r w:rsidRPr="00895819">
              <w:rPr>
                <w:rFonts w:cs="Times New Roman"/>
                <w:lang w:val="sr-Cyrl-CS"/>
              </w:rPr>
              <w:t>означава било коју непоштену праксу (радњу или пропуст) са намером да се погрешно заведу други, да се намерно од њих сакрију елементи, или да се превари или поништи пристанак, да се заобиђ</w:t>
            </w:r>
            <w:r w:rsidR="00476F2B" w:rsidRPr="00895819">
              <w:rPr>
                <w:rFonts w:cs="Times New Roman"/>
                <w:lang w:val="sr-Cyrl-CS"/>
              </w:rPr>
              <w:t>у</w:t>
            </w:r>
            <w:r w:rsidRPr="00895819">
              <w:rPr>
                <w:rFonts w:cs="Times New Roman"/>
                <w:lang w:val="sr-Cyrl-CS"/>
              </w:rPr>
              <w:t xml:space="preserve"> било који законски или регулаторни захтеви и/или прекрше интерна правила и процедуре Зајмопримца или треће стране, у циљу стицања недозвољене користи</w:t>
            </w:r>
            <w:r w:rsidR="00B16F8D" w:rsidRPr="00895819">
              <w:rPr>
                <w:rFonts w:cs="Times New Roman"/>
                <w:lang w:val="sr-Cyrl-CS"/>
              </w:rPr>
              <w:t>.</w:t>
            </w:r>
          </w:p>
        </w:tc>
      </w:tr>
      <w:tr w:rsidR="00B16F8D" w:rsidRPr="00895819" w14:paraId="0F85C302" w14:textId="77777777" w:rsidTr="00485361">
        <w:tc>
          <w:tcPr>
            <w:tcW w:w="1780" w:type="pct"/>
          </w:tcPr>
          <w:p w14:paraId="2801AB70" w14:textId="77777777" w:rsidR="00B16F8D" w:rsidRPr="00895819" w:rsidRDefault="00C501E6" w:rsidP="00485361">
            <w:pPr>
              <w:pStyle w:val="BodyText"/>
              <w:spacing w:after="0"/>
              <w:rPr>
                <w:rFonts w:cs="Times New Roman"/>
                <w:b/>
                <w:lang w:val="sr-Cyrl-CS"/>
              </w:rPr>
            </w:pPr>
            <w:r w:rsidRPr="00895819">
              <w:rPr>
                <w:rFonts w:cs="Times New Roman"/>
                <w:b/>
                <w:lang w:val="sr-Cyrl-CS"/>
              </w:rPr>
              <w:t>Преварна радња против финансијских интереса Европске уније</w:t>
            </w:r>
          </w:p>
        </w:tc>
        <w:tc>
          <w:tcPr>
            <w:tcW w:w="3220" w:type="pct"/>
          </w:tcPr>
          <w:p w14:paraId="631AA055" w14:textId="77777777" w:rsidR="00B16F8D" w:rsidRPr="00895819" w:rsidRDefault="00C501E6" w:rsidP="00485361">
            <w:pPr>
              <w:pStyle w:val="BodyText"/>
              <w:spacing w:after="0"/>
              <w:rPr>
                <w:rFonts w:cs="Times New Roman"/>
                <w:lang w:val="sr-Cyrl-CS"/>
              </w:rPr>
            </w:pPr>
            <w:r w:rsidRPr="00895819">
              <w:rPr>
                <w:rFonts w:cs="Times New Roman"/>
                <w:lang w:val="sr-Cyrl-CS"/>
              </w:rPr>
              <w:t>означава било коју намерну радњу или пропуст чији је циљ да оштети буџет Европске уније и обухвата (i) коришћење или презентацију лажних, нетачних или непотпуних извештаја или докумената, што за последицу има проневеру или неправилно задржавање средстава или било које незаконито смањење ресурса општег буџета Европске уније</w:t>
            </w:r>
            <w:r w:rsidR="00B16F8D" w:rsidRPr="00895819">
              <w:rPr>
                <w:rFonts w:cs="Times New Roman"/>
                <w:lang w:val="sr-Cyrl-CS"/>
              </w:rPr>
              <w:t xml:space="preserve">; (ii) </w:t>
            </w:r>
            <w:r w:rsidRPr="00895819">
              <w:rPr>
                <w:rFonts w:cs="Times New Roman"/>
                <w:lang w:val="sr-Cyrl-CS"/>
              </w:rPr>
              <w:t xml:space="preserve">необелодањивање информација са истим ефектом; и </w:t>
            </w:r>
            <w:r w:rsidR="00B16F8D" w:rsidRPr="00895819">
              <w:rPr>
                <w:rFonts w:cs="Times New Roman"/>
                <w:lang w:val="sr-Cyrl-CS"/>
              </w:rPr>
              <w:t xml:space="preserve">(iii) </w:t>
            </w:r>
            <w:r w:rsidRPr="00895819">
              <w:rPr>
                <w:rFonts w:cs="Times New Roman"/>
                <w:lang w:val="sr-Cyrl-CS"/>
              </w:rPr>
              <w:t>отуђење таквих средстава у друге сврхе осим оних за које су таква средства првобитно одобрена</w:t>
            </w:r>
            <w:r w:rsidR="00B16F8D" w:rsidRPr="00895819">
              <w:rPr>
                <w:rFonts w:cs="Times New Roman"/>
                <w:lang w:val="sr-Cyrl-CS"/>
              </w:rPr>
              <w:t xml:space="preserve">. </w:t>
            </w:r>
          </w:p>
        </w:tc>
      </w:tr>
      <w:tr w:rsidR="00AF2B27" w:rsidRPr="00895819" w14:paraId="7114EE72" w14:textId="77777777" w:rsidTr="00485361">
        <w:tc>
          <w:tcPr>
            <w:tcW w:w="1780" w:type="pct"/>
          </w:tcPr>
          <w:p w14:paraId="1996ED4F" w14:textId="33ECF824" w:rsidR="00AF2B27" w:rsidRPr="00895819" w:rsidRDefault="007A6BE0" w:rsidP="00485361">
            <w:pPr>
              <w:pStyle w:val="BodyText"/>
              <w:spacing w:after="0"/>
              <w:rPr>
                <w:rFonts w:cs="Times New Roman"/>
                <w:b/>
                <w:lang w:val="sr-Cyrl-CS"/>
              </w:rPr>
            </w:pPr>
            <w:r w:rsidRPr="00895819">
              <w:rPr>
                <w:rFonts w:cs="Times New Roman"/>
                <w:b/>
                <w:lang w:val="sr-Cyrl-CS"/>
              </w:rPr>
              <w:t>GHG</w:t>
            </w:r>
          </w:p>
        </w:tc>
        <w:tc>
          <w:tcPr>
            <w:tcW w:w="3220" w:type="pct"/>
          </w:tcPr>
          <w:p w14:paraId="4E1AB169" w14:textId="77777777" w:rsidR="00AF2B27" w:rsidRPr="00895819" w:rsidRDefault="006421E2" w:rsidP="00485361">
            <w:pPr>
              <w:pStyle w:val="BodyText"/>
              <w:spacing w:after="0"/>
              <w:rPr>
                <w:szCs w:val="22"/>
                <w:lang w:val="sr-Cyrl-CS"/>
              </w:rPr>
            </w:pPr>
            <w:r w:rsidRPr="00895819">
              <w:rPr>
                <w:szCs w:val="22"/>
                <w:lang w:val="sr-Cyrl-CS"/>
              </w:rPr>
              <w:t>означава гас са ефектом стаклене баште</w:t>
            </w:r>
            <w:r w:rsidR="00AF2B27" w:rsidRPr="00895819">
              <w:rPr>
                <w:szCs w:val="22"/>
                <w:lang w:val="sr-Cyrl-CS"/>
              </w:rPr>
              <w:t>.</w:t>
            </w:r>
          </w:p>
        </w:tc>
      </w:tr>
      <w:tr w:rsidR="00AF2B27" w:rsidRPr="00895819" w14:paraId="3B3D596B" w14:textId="77777777" w:rsidTr="00485361">
        <w:tc>
          <w:tcPr>
            <w:tcW w:w="1780" w:type="pct"/>
          </w:tcPr>
          <w:p w14:paraId="4B0C7B6E" w14:textId="7263E3F3" w:rsidR="00AF2B27" w:rsidRPr="00895819" w:rsidRDefault="00C501E6" w:rsidP="00485361">
            <w:pPr>
              <w:pStyle w:val="BodyText"/>
              <w:spacing w:after="0"/>
              <w:rPr>
                <w:rFonts w:cs="Times New Roman"/>
                <w:b/>
                <w:lang w:val="sr-Cyrl-CS"/>
              </w:rPr>
            </w:pPr>
            <w:r w:rsidRPr="00895819">
              <w:rPr>
                <w:rFonts w:cs="Times New Roman"/>
                <w:b/>
                <w:lang w:val="sr-Cyrl-CS"/>
              </w:rPr>
              <w:t xml:space="preserve">Дозвола за емисију </w:t>
            </w:r>
            <w:r w:rsidR="007A6BE0" w:rsidRPr="00895819">
              <w:rPr>
                <w:rFonts w:cs="Times New Roman"/>
                <w:b/>
                <w:lang w:val="sr-Cyrl-CS"/>
              </w:rPr>
              <w:t>GHG</w:t>
            </w:r>
          </w:p>
        </w:tc>
        <w:tc>
          <w:tcPr>
            <w:tcW w:w="3220" w:type="pct"/>
          </w:tcPr>
          <w:p w14:paraId="38E81A15" w14:textId="3401399A" w:rsidR="00AF2B27" w:rsidRPr="00895819" w:rsidRDefault="006421E2" w:rsidP="00485361">
            <w:pPr>
              <w:pStyle w:val="BodyText"/>
              <w:spacing w:after="0"/>
              <w:rPr>
                <w:rFonts w:cs="Times New Roman"/>
                <w:lang w:val="sr-Cyrl-CS"/>
              </w:rPr>
            </w:pPr>
            <w:r w:rsidRPr="00895819">
              <w:rPr>
                <w:szCs w:val="22"/>
                <w:lang w:val="sr-Cyrl-CS"/>
              </w:rPr>
              <w:t xml:space="preserve">означава, у складу са чланом </w:t>
            </w:r>
            <w:r w:rsidR="00AF2B27" w:rsidRPr="00895819">
              <w:rPr>
                <w:szCs w:val="22"/>
                <w:lang w:val="sr-Cyrl-CS"/>
              </w:rPr>
              <w:t xml:space="preserve">25 </w:t>
            </w:r>
            <w:r w:rsidRPr="00895819">
              <w:rPr>
                <w:szCs w:val="22"/>
                <w:lang w:val="sr-Cyrl-CS"/>
              </w:rPr>
              <w:t xml:space="preserve">Закона о климатским променама, дозволу коју издаје МРЕ оператеру </w:t>
            </w:r>
            <w:r w:rsidR="00E133A0" w:rsidRPr="00895819">
              <w:rPr>
                <w:szCs w:val="22"/>
                <w:lang w:val="sr-Cyrl-CS"/>
              </w:rPr>
              <w:t xml:space="preserve">постројења у којем се обавља активност која доводи до емисије </w:t>
            </w:r>
            <w:r w:rsidR="007A6BE0" w:rsidRPr="00895819">
              <w:rPr>
                <w:rFonts w:cs="Times New Roman"/>
                <w:lang w:val="sr-Cyrl-CS"/>
              </w:rPr>
              <w:t>GHG</w:t>
            </w:r>
            <w:r w:rsidR="00AF2B27" w:rsidRPr="00895819">
              <w:rPr>
                <w:szCs w:val="24"/>
                <w:lang w:val="sr-Cyrl-CS"/>
              </w:rPr>
              <w:t xml:space="preserve">; </w:t>
            </w:r>
            <w:r w:rsidR="00E133A0" w:rsidRPr="00895819">
              <w:rPr>
                <w:szCs w:val="24"/>
                <w:lang w:val="sr-Cyrl-CS"/>
              </w:rPr>
              <w:t>„Дозволе за емисију</w:t>
            </w:r>
            <w:r w:rsidR="007C25D7" w:rsidRPr="00895819">
              <w:rPr>
                <w:lang w:val="sr-Cyrl-CS"/>
              </w:rPr>
              <w:t>”</w:t>
            </w:r>
            <w:r w:rsidR="00E133A0" w:rsidRPr="00895819">
              <w:rPr>
                <w:szCs w:val="24"/>
                <w:lang w:val="sr-Cyrl-CS"/>
              </w:rPr>
              <w:t xml:space="preserve"> означавају више од једне дозволе за емисију</w:t>
            </w:r>
            <w:r w:rsidR="00AF2B27" w:rsidRPr="00895819">
              <w:rPr>
                <w:szCs w:val="24"/>
                <w:lang w:val="sr-Cyrl-CS"/>
              </w:rPr>
              <w:t>.</w:t>
            </w:r>
          </w:p>
        </w:tc>
      </w:tr>
      <w:tr w:rsidR="00B16F8D" w:rsidRPr="00895819" w14:paraId="023DA1DC" w14:textId="77777777" w:rsidTr="00485361">
        <w:tc>
          <w:tcPr>
            <w:tcW w:w="1780" w:type="pct"/>
          </w:tcPr>
          <w:p w14:paraId="3B9C23C8" w14:textId="77777777" w:rsidR="00B16F8D" w:rsidRPr="00895819" w:rsidRDefault="00C501E6" w:rsidP="00485361">
            <w:pPr>
              <w:pStyle w:val="BodyText"/>
              <w:spacing w:after="0"/>
              <w:rPr>
                <w:rFonts w:cs="Times New Roman"/>
                <w:b/>
                <w:lang w:val="sr-Cyrl-CS"/>
              </w:rPr>
            </w:pPr>
            <w:r w:rsidRPr="00895819">
              <w:rPr>
                <w:rFonts w:cs="Times New Roman"/>
                <w:b/>
                <w:lang w:val="sr-Cyrl-CS"/>
              </w:rPr>
              <w:t>Грејс период</w:t>
            </w:r>
          </w:p>
        </w:tc>
        <w:tc>
          <w:tcPr>
            <w:tcW w:w="3220" w:type="pct"/>
          </w:tcPr>
          <w:p w14:paraId="70157530" w14:textId="77777777" w:rsidR="00B16F8D" w:rsidRPr="00895819" w:rsidRDefault="00E133A0" w:rsidP="00485361">
            <w:pPr>
              <w:pStyle w:val="BodyText"/>
              <w:spacing w:after="0"/>
              <w:rPr>
                <w:rFonts w:cs="Times New Roman"/>
                <w:lang w:val="sr-Cyrl-CS"/>
              </w:rPr>
            </w:pPr>
            <w:r w:rsidRPr="00895819">
              <w:rPr>
                <w:rFonts w:cs="Times New Roman"/>
                <w:lang w:val="sr-Cyrl-CS"/>
              </w:rPr>
              <w:t>означава период почевши од Датума потписивања све до и укључујући и датум који пада седамдесет два (72) месеца након тог датума, током којег није доспео ни платив ни један износ главнице по Кредиту</w:t>
            </w:r>
            <w:r w:rsidR="00B16F8D" w:rsidRPr="00895819">
              <w:rPr>
                <w:rFonts w:cs="Times New Roman"/>
                <w:lang w:val="sr-Cyrl-CS"/>
              </w:rPr>
              <w:t>.</w:t>
            </w:r>
          </w:p>
        </w:tc>
      </w:tr>
      <w:tr w:rsidR="00AF2B27" w:rsidRPr="00895819" w14:paraId="0D9E2C48" w14:textId="77777777" w:rsidTr="00485361">
        <w:tc>
          <w:tcPr>
            <w:tcW w:w="1780" w:type="pct"/>
          </w:tcPr>
          <w:p w14:paraId="11772C4C" w14:textId="77777777" w:rsidR="00AF2B27" w:rsidRPr="00895819" w:rsidRDefault="00D86FD2" w:rsidP="00485361">
            <w:pPr>
              <w:pStyle w:val="BodyText"/>
              <w:spacing w:after="0"/>
              <w:rPr>
                <w:rFonts w:cs="Times New Roman"/>
                <w:b/>
                <w:lang w:val="sr-Cyrl-CS"/>
              </w:rPr>
            </w:pPr>
            <w:r w:rsidRPr="00895819">
              <w:rPr>
                <w:rFonts w:cs="Times New Roman"/>
                <w:b/>
                <w:lang w:val="sr-Cyrl-CS"/>
              </w:rPr>
              <w:t>Зелена агенда</w:t>
            </w:r>
          </w:p>
        </w:tc>
        <w:tc>
          <w:tcPr>
            <w:tcW w:w="3220" w:type="pct"/>
          </w:tcPr>
          <w:p w14:paraId="23EB1C02" w14:textId="0003F4B0" w:rsidR="00AF2B27" w:rsidRPr="00895819" w:rsidRDefault="00F0213B" w:rsidP="00485361">
            <w:pPr>
              <w:pStyle w:val="BodyText"/>
              <w:spacing w:after="0"/>
              <w:rPr>
                <w:rFonts w:cs="Times New Roman"/>
                <w:lang w:val="sr-Cyrl-CS"/>
              </w:rPr>
            </w:pPr>
            <w:r w:rsidRPr="00895819">
              <w:rPr>
                <w:szCs w:val="22"/>
                <w:lang w:val="sr-Cyrl-CS"/>
              </w:rPr>
              <w:t>означава обавезе Зајмопримца које проистичу из усвајање Декларације из Софије о Зеленој агенди за Западни Балкан из 2020</w:t>
            </w:r>
            <w:r w:rsidR="007A6BE0" w:rsidRPr="00895819">
              <w:rPr>
                <w:szCs w:val="22"/>
                <w:lang w:val="sr-Cyrl-CS"/>
              </w:rPr>
              <w:t>. године</w:t>
            </w:r>
            <w:r w:rsidRPr="00895819">
              <w:rPr>
                <w:szCs w:val="22"/>
                <w:lang w:val="sr-Cyrl-CS"/>
              </w:rPr>
              <w:t>, Акциони план из</w:t>
            </w:r>
            <w:r w:rsidR="00AF2B27" w:rsidRPr="00895819">
              <w:rPr>
                <w:szCs w:val="22"/>
                <w:lang w:val="sr-Cyrl-CS"/>
              </w:rPr>
              <w:t xml:space="preserve"> 2021</w:t>
            </w:r>
            <w:r w:rsidR="007A6BE0" w:rsidRPr="00895819">
              <w:rPr>
                <w:szCs w:val="22"/>
                <w:lang w:val="sr-Cyrl-CS"/>
              </w:rPr>
              <w:t>. године</w:t>
            </w:r>
            <w:r w:rsidRPr="00895819">
              <w:rPr>
                <w:szCs w:val="22"/>
                <w:lang w:val="sr-Cyrl-CS"/>
              </w:rPr>
              <w:t xml:space="preserve">, као и могуће усвајање Националне стратегије о зеленој агенди </w:t>
            </w:r>
            <w:r w:rsidR="00AF2B27" w:rsidRPr="00895819">
              <w:rPr>
                <w:szCs w:val="22"/>
                <w:lang w:val="sr-Cyrl-CS"/>
              </w:rPr>
              <w:t>2023</w:t>
            </w:r>
            <w:r w:rsidRPr="00895819">
              <w:rPr>
                <w:szCs w:val="22"/>
                <w:lang w:val="sr-Cyrl-CS"/>
              </w:rPr>
              <w:t xml:space="preserve">. </w:t>
            </w:r>
            <w:r w:rsidR="00A9514E" w:rsidRPr="00895819">
              <w:rPr>
                <w:szCs w:val="22"/>
                <w:lang w:val="sr-Cyrl-CS"/>
              </w:rPr>
              <w:t>године</w:t>
            </w:r>
            <w:r w:rsidR="007A6BE0" w:rsidRPr="00895819">
              <w:rPr>
                <w:szCs w:val="22"/>
                <w:lang w:val="sr-Cyrl-CS"/>
              </w:rPr>
              <w:t>,</w:t>
            </w:r>
            <w:r w:rsidR="00A9514E" w:rsidRPr="00895819">
              <w:rPr>
                <w:szCs w:val="22"/>
                <w:lang w:val="sr-Cyrl-CS"/>
              </w:rPr>
              <w:t xml:space="preserve"> </w:t>
            </w:r>
            <w:r w:rsidRPr="00895819">
              <w:rPr>
                <w:szCs w:val="22"/>
                <w:lang w:val="sr-Cyrl-CS"/>
              </w:rPr>
              <w:t>а које се односе на</w:t>
            </w:r>
            <w:r w:rsidR="00AF2B27" w:rsidRPr="00895819">
              <w:rPr>
                <w:szCs w:val="22"/>
                <w:lang w:val="sr-Cyrl-CS"/>
              </w:rPr>
              <w:t xml:space="preserve">: (i) </w:t>
            </w:r>
            <w:r w:rsidRPr="00895819">
              <w:rPr>
                <w:szCs w:val="22"/>
                <w:lang w:val="sr-Cyrl-CS"/>
              </w:rPr>
              <w:t>климу, енергију и мобилност</w:t>
            </w:r>
            <w:r w:rsidR="00AF2B27" w:rsidRPr="00895819">
              <w:rPr>
                <w:szCs w:val="22"/>
                <w:lang w:val="sr-Cyrl-CS"/>
              </w:rPr>
              <w:t xml:space="preserve">; (ii) </w:t>
            </w:r>
            <w:r w:rsidRPr="00895819">
              <w:rPr>
                <w:szCs w:val="22"/>
                <w:lang w:val="sr-Cyrl-CS"/>
              </w:rPr>
              <w:t>циркуларну економију</w:t>
            </w:r>
            <w:r w:rsidR="00AF2B27" w:rsidRPr="00895819">
              <w:rPr>
                <w:szCs w:val="22"/>
                <w:lang w:val="sr-Cyrl-CS"/>
              </w:rPr>
              <w:t xml:space="preserve">; (iii) </w:t>
            </w:r>
            <w:r w:rsidRPr="00895819">
              <w:rPr>
                <w:szCs w:val="22"/>
                <w:lang w:val="sr-Cyrl-CS"/>
              </w:rPr>
              <w:t>смањење загађења</w:t>
            </w:r>
            <w:r w:rsidR="00AF2B27" w:rsidRPr="00895819">
              <w:rPr>
                <w:szCs w:val="22"/>
                <w:lang w:val="sr-Cyrl-CS"/>
              </w:rPr>
              <w:t xml:space="preserve">; (iv) </w:t>
            </w:r>
            <w:r w:rsidRPr="00895819">
              <w:rPr>
                <w:szCs w:val="22"/>
                <w:lang w:val="sr-Cyrl-CS"/>
              </w:rPr>
              <w:lastRenderedPageBreak/>
              <w:t>одрживу пољопривреду и производњу хране</w:t>
            </w:r>
            <w:r w:rsidR="00AF2B27" w:rsidRPr="00895819">
              <w:rPr>
                <w:szCs w:val="22"/>
                <w:lang w:val="sr-Cyrl-CS"/>
              </w:rPr>
              <w:t xml:space="preserve">; </w:t>
            </w:r>
            <w:r w:rsidRPr="00895819">
              <w:rPr>
                <w:szCs w:val="22"/>
                <w:lang w:val="sr-Cyrl-CS"/>
              </w:rPr>
              <w:t>и</w:t>
            </w:r>
            <w:r w:rsidR="00AF2B27" w:rsidRPr="00895819">
              <w:rPr>
                <w:szCs w:val="22"/>
                <w:lang w:val="sr-Cyrl-CS"/>
              </w:rPr>
              <w:t xml:space="preserve"> (v) </w:t>
            </w:r>
            <w:r w:rsidRPr="00895819">
              <w:rPr>
                <w:szCs w:val="22"/>
                <w:lang w:val="sr-Cyrl-CS"/>
              </w:rPr>
              <w:t>биодиверзитет.</w:t>
            </w:r>
          </w:p>
        </w:tc>
      </w:tr>
      <w:tr w:rsidR="00B16F8D" w:rsidRPr="00895819" w14:paraId="0EF508D2" w14:textId="77777777" w:rsidTr="00485361">
        <w:tc>
          <w:tcPr>
            <w:tcW w:w="1780" w:type="pct"/>
          </w:tcPr>
          <w:p w14:paraId="08157870" w14:textId="77777777" w:rsidR="00B16F8D" w:rsidRPr="00895819" w:rsidRDefault="00C501E6" w:rsidP="00485361">
            <w:pPr>
              <w:pStyle w:val="BodyText"/>
              <w:spacing w:after="0"/>
              <w:rPr>
                <w:rFonts w:cs="Times New Roman"/>
                <w:b/>
                <w:lang w:val="sr-Cyrl-CS"/>
              </w:rPr>
            </w:pPr>
            <w:r w:rsidRPr="00895819">
              <w:rPr>
                <w:rFonts w:cs="Times New Roman"/>
                <w:b/>
                <w:lang w:val="sr-Cyrl-CS"/>
              </w:rPr>
              <w:lastRenderedPageBreak/>
              <w:t>ВС</w:t>
            </w:r>
          </w:p>
        </w:tc>
        <w:tc>
          <w:tcPr>
            <w:tcW w:w="3220" w:type="pct"/>
          </w:tcPr>
          <w:p w14:paraId="3ABA0F98" w14:textId="6DDC9A29" w:rsidR="00B16F8D" w:rsidRPr="00895819" w:rsidRDefault="00C501E6" w:rsidP="00485361">
            <w:pPr>
              <w:pStyle w:val="BodyText"/>
              <w:spacing w:after="0"/>
              <w:rPr>
                <w:rFonts w:cs="Times New Roman"/>
                <w:lang w:val="sr-Cyrl-CS"/>
              </w:rPr>
            </w:pPr>
            <w:r w:rsidRPr="00895819">
              <w:rPr>
                <w:rFonts w:cs="Times New Roman"/>
                <w:lang w:val="sr-Cyrl-CS"/>
              </w:rPr>
              <w:t>означава</w:t>
            </w:r>
            <w:r w:rsidR="00B16F8D" w:rsidRPr="00895819">
              <w:rPr>
                <w:rFonts w:cs="Times New Roman"/>
                <w:lang w:val="sr-Cyrl-CS"/>
              </w:rPr>
              <w:t xml:space="preserve"> </w:t>
            </w:r>
            <w:r w:rsidRPr="00895819">
              <w:rPr>
                <w:rFonts w:cs="Times New Roman"/>
                <w:lang w:val="sr-Cyrl-CS"/>
              </w:rPr>
              <w:t>„Владу Србије</w:t>
            </w:r>
            <w:r w:rsidR="007C25D7" w:rsidRPr="00895819">
              <w:rPr>
                <w:lang w:val="sr-Cyrl-CS"/>
              </w:rPr>
              <w:t>”</w:t>
            </w:r>
          </w:p>
        </w:tc>
      </w:tr>
      <w:tr w:rsidR="004D639C" w:rsidRPr="00895819" w14:paraId="6648597A" w14:textId="77777777" w:rsidTr="004D639C">
        <w:tc>
          <w:tcPr>
            <w:tcW w:w="1780" w:type="pct"/>
            <w:vAlign w:val="center"/>
          </w:tcPr>
          <w:p w14:paraId="69602885" w14:textId="77777777" w:rsidR="004D639C" w:rsidRPr="00895819" w:rsidRDefault="00C501E6" w:rsidP="004D639C">
            <w:pPr>
              <w:pStyle w:val="BodyText"/>
              <w:spacing w:after="0"/>
              <w:jc w:val="left"/>
              <w:rPr>
                <w:rFonts w:cs="Times New Roman"/>
                <w:b/>
                <w:lang w:val="sr-Cyrl-CS"/>
              </w:rPr>
            </w:pPr>
            <w:r w:rsidRPr="00895819">
              <w:rPr>
                <w:rFonts w:cs="Times New Roman"/>
                <w:b/>
                <w:lang w:val="sr-Cyrl-CS"/>
              </w:rPr>
              <w:t xml:space="preserve">Смернице за </w:t>
            </w:r>
            <w:r w:rsidR="00412AC2" w:rsidRPr="00895819">
              <w:rPr>
                <w:rFonts w:cs="Times New Roman"/>
                <w:b/>
                <w:lang w:val="sr-Cyrl-CS"/>
              </w:rPr>
              <w:t>з</w:t>
            </w:r>
            <w:r w:rsidRPr="00895819">
              <w:rPr>
                <w:rFonts w:cs="Times New Roman"/>
                <w:b/>
                <w:lang w:val="sr-Cyrl-CS"/>
              </w:rPr>
              <w:t>елене набавке</w:t>
            </w:r>
          </w:p>
        </w:tc>
        <w:tc>
          <w:tcPr>
            <w:tcW w:w="3220" w:type="pct"/>
          </w:tcPr>
          <w:p w14:paraId="28FF540E" w14:textId="77777777" w:rsidR="004D639C" w:rsidRPr="00895819" w:rsidRDefault="008F15EF" w:rsidP="00485361">
            <w:pPr>
              <w:pStyle w:val="BodyText"/>
              <w:spacing w:after="0"/>
              <w:rPr>
                <w:rFonts w:cs="Times New Roman"/>
                <w:lang w:val="sr-Cyrl-CS"/>
              </w:rPr>
            </w:pPr>
            <w:r w:rsidRPr="00895819">
              <w:rPr>
                <w:rFonts w:cs="Times New Roman"/>
                <w:lang w:val="sr-Cyrl-CS"/>
              </w:rPr>
              <w:t xml:space="preserve">означава смернице објављене на </w:t>
            </w:r>
            <w:r w:rsidR="00260EBE" w:rsidRPr="00895819">
              <w:rPr>
                <w:rFonts w:cs="Times New Roman"/>
                <w:lang w:val="sr-Cyrl-CS"/>
              </w:rPr>
              <w:t>интернет</w:t>
            </w:r>
            <w:r w:rsidRPr="00895819">
              <w:rPr>
                <w:rFonts w:cs="Times New Roman"/>
                <w:lang w:val="sr-Cyrl-CS"/>
              </w:rPr>
              <w:t xml:space="preserve"> страници Управе за јавне набавке, које се могу ревидирати, које државни органи треба да примењују приликом набавке робе, услуга и радова како би се осигурао </w:t>
            </w:r>
            <w:r w:rsidR="004D639C" w:rsidRPr="00895819">
              <w:rPr>
                <w:szCs w:val="22"/>
                <w:lang w:val="sr-Cyrl-CS"/>
              </w:rPr>
              <w:t xml:space="preserve">(i) </w:t>
            </w:r>
            <w:r w:rsidRPr="00895819">
              <w:rPr>
                <w:szCs w:val="22"/>
                <w:lang w:val="sr-Cyrl-CS"/>
              </w:rPr>
              <w:t xml:space="preserve">минимални утицај на животну средину; и </w:t>
            </w:r>
            <w:r w:rsidR="004D639C" w:rsidRPr="00895819">
              <w:rPr>
                <w:szCs w:val="22"/>
                <w:lang w:val="sr-Cyrl-CS"/>
              </w:rPr>
              <w:t xml:space="preserve">(ii) </w:t>
            </w:r>
            <w:r w:rsidRPr="00895819">
              <w:rPr>
                <w:szCs w:val="22"/>
                <w:lang w:val="sr-Cyrl-CS"/>
              </w:rPr>
              <w:t>е</w:t>
            </w:r>
            <w:r w:rsidR="00D52B45" w:rsidRPr="00895819">
              <w:rPr>
                <w:szCs w:val="22"/>
                <w:lang w:val="sr-Cyrl-CS"/>
              </w:rPr>
              <w:t>нергетска ефикасност</w:t>
            </w:r>
            <w:r w:rsidR="004D639C" w:rsidRPr="00895819">
              <w:rPr>
                <w:szCs w:val="22"/>
                <w:lang w:val="sr-Cyrl-CS"/>
              </w:rPr>
              <w:t xml:space="preserve"> (</w:t>
            </w:r>
            <w:r w:rsidRPr="00895819">
              <w:rPr>
                <w:szCs w:val="22"/>
                <w:lang w:val="sr-Cyrl-CS"/>
              </w:rPr>
              <w:t>нпр. значајно смањење потрошње енергије</w:t>
            </w:r>
            <w:r w:rsidR="004D639C" w:rsidRPr="00895819">
              <w:rPr>
                <w:szCs w:val="22"/>
                <w:lang w:val="sr-Cyrl-CS"/>
              </w:rPr>
              <w:t>)</w:t>
            </w:r>
            <w:r w:rsidR="00B1475D" w:rsidRPr="00895819">
              <w:rPr>
                <w:szCs w:val="22"/>
                <w:lang w:val="sr-Cyrl-CS"/>
              </w:rPr>
              <w:t>.</w:t>
            </w:r>
          </w:p>
        </w:tc>
      </w:tr>
      <w:tr w:rsidR="00A072EF" w:rsidRPr="00895819" w14:paraId="03B0968C" w14:textId="77777777" w:rsidTr="00485361">
        <w:tc>
          <w:tcPr>
            <w:tcW w:w="1780" w:type="pct"/>
          </w:tcPr>
          <w:p w14:paraId="009D8699" w14:textId="77777777" w:rsidR="00A072EF" w:rsidRPr="00895819" w:rsidRDefault="00F94788" w:rsidP="00A072EF">
            <w:pPr>
              <w:pStyle w:val="BodyText"/>
              <w:spacing w:after="0"/>
              <w:rPr>
                <w:rFonts w:cs="Times New Roman"/>
                <w:b/>
                <w:lang w:val="sr-Cyrl-CS"/>
              </w:rPr>
            </w:pPr>
            <w:r w:rsidRPr="00895819">
              <w:rPr>
                <w:rFonts w:cs="Times New Roman"/>
                <w:b/>
                <w:lang w:val="sr-Cyrl-CS"/>
              </w:rPr>
              <w:t>Смернице за укључивање зелених аспеката у документа јавних политика</w:t>
            </w:r>
          </w:p>
        </w:tc>
        <w:tc>
          <w:tcPr>
            <w:tcW w:w="3220" w:type="pct"/>
          </w:tcPr>
          <w:p w14:paraId="364156ED" w14:textId="72689CB8" w:rsidR="00A072EF" w:rsidRPr="00895819" w:rsidRDefault="00A072EF" w:rsidP="00F94788">
            <w:pPr>
              <w:pStyle w:val="BodyText"/>
              <w:spacing w:after="0"/>
              <w:rPr>
                <w:rFonts w:cs="Times New Roman"/>
                <w:lang w:val="sr-Cyrl-CS"/>
              </w:rPr>
            </w:pPr>
            <w:r w:rsidRPr="00895819">
              <w:rPr>
                <w:rFonts w:cs="Times New Roman"/>
                <w:lang w:val="sr-Cyrl-CS"/>
              </w:rPr>
              <w:t xml:space="preserve">означава </w:t>
            </w:r>
            <w:r w:rsidR="00E74B13" w:rsidRPr="00895819">
              <w:rPr>
                <w:rFonts w:cs="Times New Roman"/>
                <w:lang w:val="sr-Cyrl-CS"/>
              </w:rPr>
              <w:t xml:space="preserve">смернице </w:t>
            </w:r>
            <w:r w:rsidRPr="00895819">
              <w:rPr>
                <w:rFonts w:cs="Times New Roman"/>
                <w:lang w:val="sr-Cyrl-CS"/>
              </w:rPr>
              <w:t xml:space="preserve">које треба да развије </w:t>
            </w:r>
            <w:r w:rsidR="000F3A4D" w:rsidRPr="00895819">
              <w:rPr>
                <w:rFonts w:cs="Times New Roman"/>
                <w:lang w:val="sr-Cyrl-CS"/>
              </w:rPr>
              <w:t>РСЈ</w:t>
            </w:r>
            <w:r w:rsidR="000F3A4D" w:rsidRPr="00895819">
              <w:rPr>
                <w:lang w:val="sr-Cyrl-CS"/>
              </w:rPr>
              <w:t>П</w:t>
            </w:r>
            <w:r w:rsidR="000F3A4D" w:rsidRPr="00895819">
              <w:rPr>
                <w:rFonts w:cs="Times New Roman"/>
                <w:lang w:val="sr-Cyrl-CS"/>
              </w:rPr>
              <w:t xml:space="preserve"> </w:t>
            </w:r>
            <w:r w:rsidR="00E74B13" w:rsidRPr="00895819">
              <w:rPr>
                <w:rFonts w:cs="Times New Roman"/>
                <w:lang w:val="sr-Cyrl-CS"/>
              </w:rPr>
              <w:t xml:space="preserve">за потребе Директних буџетских корисника у којима се разматра </w:t>
            </w:r>
            <w:r w:rsidRPr="00895819">
              <w:rPr>
                <w:rFonts w:cs="Times New Roman"/>
                <w:lang w:val="sr-Cyrl-CS"/>
              </w:rPr>
              <w:t xml:space="preserve">како зелени аспекти могу бити укључени у </w:t>
            </w:r>
            <w:r w:rsidR="00E74B13" w:rsidRPr="00895819">
              <w:rPr>
                <w:rFonts w:cs="Times New Roman"/>
                <w:lang w:val="sr-Cyrl-CS"/>
              </w:rPr>
              <w:t>Документа</w:t>
            </w:r>
            <w:r w:rsidRPr="00895819">
              <w:rPr>
                <w:rFonts w:cs="Times New Roman"/>
                <w:lang w:val="sr-Cyrl-CS"/>
              </w:rPr>
              <w:t xml:space="preserve"> </w:t>
            </w:r>
            <w:r w:rsidR="00E74B13" w:rsidRPr="00895819">
              <w:rPr>
                <w:rFonts w:cs="Times New Roman"/>
                <w:lang w:val="sr-Cyrl-CS"/>
              </w:rPr>
              <w:t>јавних политика.</w:t>
            </w:r>
          </w:p>
        </w:tc>
      </w:tr>
      <w:tr w:rsidR="00A072EF" w:rsidRPr="00895819" w14:paraId="23E281F6" w14:textId="77777777" w:rsidTr="00485361">
        <w:tc>
          <w:tcPr>
            <w:tcW w:w="1780" w:type="pct"/>
          </w:tcPr>
          <w:p w14:paraId="288C2CA3" w14:textId="77777777" w:rsidR="00A072EF" w:rsidRPr="00895819" w:rsidRDefault="00A072EF" w:rsidP="00A072EF">
            <w:pPr>
              <w:pStyle w:val="BodyText"/>
              <w:spacing w:after="0"/>
              <w:rPr>
                <w:rFonts w:cs="Times New Roman"/>
                <w:b/>
                <w:lang w:val="sr-Cyrl-CS"/>
              </w:rPr>
            </w:pPr>
            <w:r w:rsidRPr="00895819">
              <w:rPr>
                <w:rFonts w:cs="Times New Roman"/>
                <w:b/>
                <w:lang w:val="sr-Cyrl-CS"/>
              </w:rPr>
              <w:t>ИБРД</w:t>
            </w:r>
          </w:p>
        </w:tc>
        <w:tc>
          <w:tcPr>
            <w:tcW w:w="3220" w:type="pct"/>
          </w:tcPr>
          <w:p w14:paraId="24993066" w14:textId="77777777" w:rsidR="00A072EF" w:rsidRPr="00895819" w:rsidRDefault="00A072EF" w:rsidP="00A072EF">
            <w:pPr>
              <w:pStyle w:val="BodyText"/>
              <w:spacing w:after="0"/>
              <w:rPr>
                <w:rFonts w:cs="Times New Roman"/>
                <w:lang w:val="sr-Cyrl-CS"/>
              </w:rPr>
            </w:pPr>
            <w:r w:rsidRPr="00895819">
              <w:rPr>
                <w:rFonts w:cs="Times New Roman"/>
                <w:lang w:val="sr-Cyrl-CS"/>
              </w:rPr>
              <w:t>означава Међународну банку за обнову и развој.</w:t>
            </w:r>
            <w:r w:rsidR="00E74B13" w:rsidRPr="00895819">
              <w:rPr>
                <w:rFonts w:cs="Times New Roman"/>
                <w:lang w:val="sr-Cyrl-CS"/>
              </w:rPr>
              <w:t xml:space="preserve"> </w:t>
            </w:r>
          </w:p>
        </w:tc>
      </w:tr>
      <w:tr w:rsidR="00A072EF" w:rsidRPr="00895819" w14:paraId="71BD343F" w14:textId="77777777" w:rsidTr="00485361">
        <w:tc>
          <w:tcPr>
            <w:tcW w:w="1780" w:type="pct"/>
          </w:tcPr>
          <w:p w14:paraId="43A08A17" w14:textId="77777777" w:rsidR="00A072EF" w:rsidRPr="00895819" w:rsidRDefault="00A072EF" w:rsidP="00A072EF">
            <w:pPr>
              <w:pStyle w:val="BodyText"/>
              <w:spacing w:after="0"/>
              <w:rPr>
                <w:rFonts w:cs="Times New Roman"/>
                <w:b/>
                <w:lang w:val="sr-Cyrl-CS"/>
              </w:rPr>
            </w:pPr>
            <w:r w:rsidRPr="00895819">
              <w:rPr>
                <w:rFonts w:cs="Times New Roman"/>
                <w:b/>
                <w:lang w:val="sr-Cyrl-CS"/>
              </w:rPr>
              <w:t>Споразум о зајму ИБРД-а</w:t>
            </w:r>
          </w:p>
        </w:tc>
        <w:tc>
          <w:tcPr>
            <w:tcW w:w="3220" w:type="pct"/>
          </w:tcPr>
          <w:p w14:paraId="00DE7864" w14:textId="758D0B58" w:rsidR="00A072EF" w:rsidRPr="00895819" w:rsidRDefault="00A072EF" w:rsidP="007A6BE0">
            <w:pPr>
              <w:pStyle w:val="BodyText"/>
              <w:spacing w:after="0"/>
              <w:rPr>
                <w:rFonts w:cs="Times New Roman"/>
                <w:lang w:val="sr-Cyrl-CS"/>
              </w:rPr>
            </w:pPr>
            <w:r w:rsidRPr="00895819">
              <w:rPr>
                <w:rFonts w:cs="Times New Roman"/>
                <w:lang w:val="sr-Cyrl-CS"/>
              </w:rPr>
              <w:t xml:space="preserve">означава </w:t>
            </w:r>
            <w:r w:rsidR="007A6BE0" w:rsidRPr="00895819">
              <w:rPr>
                <w:rFonts w:cs="Times New Roman"/>
                <w:lang w:val="sr-Cyrl-CS"/>
              </w:rPr>
              <w:t>споразум</w:t>
            </w:r>
            <w:r w:rsidRPr="00895819">
              <w:rPr>
                <w:rFonts w:cs="Times New Roman"/>
                <w:lang w:val="sr-Cyrl-CS"/>
              </w:rPr>
              <w:t xml:space="preserve"> и сву пратећу финансијску документацију који се склапају између ИБРД-а (Суфинансијер) и Зајмопримца у коме су садржане одредбе и услови под којима ИБРД ставља кредит на располагање Зајмопримцу.</w:t>
            </w:r>
          </w:p>
        </w:tc>
      </w:tr>
      <w:tr w:rsidR="00A072EF" w:rsidRPr="00895819" w14:paraId="3F8E047D" w14:textId="77777777" w:rsidTr="00485361">
        <w:tc>
          <w:tcPr>
            <w:tcW w:w="1780" w:type="pct"/>
          </w:tcPr>
          <w:p w14:paraId="028A3D44" w14:textId="77777777" w:rsidR="00A072EF" w:rsidRPr="00895819" w:rsidRDefault="00A072EF" w:rsidP="00A072EF">
            <w:pPr>
              <w:pStyle w:val="BodyText"/>
              <w:spacing w:after="0"/>
              <w:rPr>
                <w:rFonts w:cs="Times New Roman"/>
                <w:b/>
                <w:lang w:val="sr-Cyrl-CS"/>
              </w:rPr>
            </w:pPr>
            <w:r w:rsidRPr="00895819">
              <w:rPr>
                <w:rFonts w:cs="Times New Roman"/>
                <w:b/>
                <w:lang w:val="sr-Cyrl-CS"/>
              </w:rPr>
              <w:t>Незаконито порекло</w:t>
            </w:r>
          </w:p>
        </w:tc>
        <w:tc>
          <w:tcPr>
            <w:tcW w:w="3220" w:type="pct"/>
          </w:tcPr>
          <w:p w14:paraId="0C5D19C5" w14:textId="77777777" w:rsidR="00A072EF" w:rsidRPr="00895819" w:rsidRDefault="00A072EF" w:rsidP="00A072EF">
            <w:pPr>
              <w:pStyle w:val="BodyText"/>
              <w:spacing w:after="0"/>
              <w:rPr>
                <w:rFonts w:cs="Times New Roman"/>
                <w:lang w:val="sr-Cyrl-CS"/>
              </w:rPr>
            </w:pPr>
            <w:r w:rsidRPr="00895819">
              <w:rPr>
                <w:rFonts w:cs="Times New Roman"/>
                <w:lang w:val="sr-Cyrl-CS"/>
              </w:rPr>
              <w:t xml:space="preserve">означава средства добијена путем: </w:t>
            </w:r>
          </w:p>
          <w:p w14:paraId="6AB259A8" w14:textId="0C713E6D" w:rsidR="00A072EF" w:rsidRPr="00895819" w:rsidRDefault="007A6BE0" w:rsidP="007A6BE0">
            <w:pPr>
              <w:pStyle w:val="Num4"/>
              <w:numPr>
                <w:ilvl w:val="0"/>
                <w:numId w:val="0"/>
              </w:numPr>
              <w:spacing w:after="0"/>
              <w:ind w:left="421" w:hanging="421"/>
              <w:rPr>
                <w:lang w:val="sr-Cyrl-CS"/>
              </w:rPr>
            </w:pPr>
            <w:r w:rsidRPr="00895819">
              <w:rPr>
                <w:lang w:val="sr-Cyrl-CS"/>
              </w:rPr>
              <w:t>(а)</w:t>
            </w:r>
            <w:r w:rsidRPr="00895819">
              <w:rPr>
                <w:lang w:val="sr-Cyrl-CS"/>
              </w:rPr>
              <w:tab/>
            </w:r>
            <w:r w:rsidR="00A072EF" w:rsidRPr="00895819">
              <w:rPr>
                <w:lang w:val="sr-Cyrl-CS"/>
              </w:rPr>
              <w:t xml:space="preserve">извршења било ког предикатног кривичног дела, како се наводи у Глосару 40 препорука ФАТФ-а под </w:t>
            </w:r>
            <w:r w:rsidR="007C25D7" w:rsidRPr="00895819">
              <w:rPr>
                <w:i/>
                <w:iCs/>
                <w:lang w:val="sr-Cyrl-CS"/>
              </w:rPr>
              <w:t>„</w:t>
            </w:r>
            <w:r w:rsidR="00A072EF" w:rsidRPr="00895819">
              <w:rPr>
                <w:i/>
                <w:iCs/>
                <w:lang w:val="sr-Cyrl-CS"/>
              </w:rPr>
              <w:t>Одређене категорије кривичних дела</w:t>
            </w:r>
            <w:r w:rsidR="007C25D7" w:rsidRPr="00895819">
              <w:rPr>
                <w:i/>
                <w:lang w:val="sr-Cyrl-CS"/>
              </w:rPr>
              <w:t>”</w:t>
            </w:r>
            <w:r w:rsidR="00A072EF" w:rsidRPr="00895819">
              <w:rPr>
                <w:lang w:val="sr-Cyrl-CS"/>
              </w:rPr>
              <w:t xml:space="preserve"> (https://www.fatf-gafi.org/media/fatf/documents/recommendations/pdfs/FATF%20Recommendations%202012.pdf);</w:t>
            </w:r>
          </w:p>
          <w:p w14:paraId="5726709D" w14:textId="14C12E37" w:rsidR="00A072EF" w:rsidRPr="00895819" w:rsidRDefault="007A6BE0" w:rsidP="007A6BE0">
            <w:pPr>
              <w:pStyle w:val="Num4"/>
              <w:numPr>
                <w:ilvl w:val="0"/>
                <w:numId w:val="0"/>
              </w:numPr>
              <w:spacing w:after="0"/>
              <w:ind w:left="421" w:hanging="421"/>
              <w:rPr>
                <w:lang w:val="sr-Cyrl-CS"/>
              </w:rPr>
            </w:pPr>
            <w:r w:rsidRPr="00895819">
              <w:rPr>
                <w:lang w:val="sr-Cyrl-CS"/>
              </w:rPr>
              <w:t>(б)</w:t>
            </w:r>
            <w:r w:rsidRPr="00895819">
              <w:rPr>
                <w:lang w:val="sr-Cyrl-CS"/>
              </w:rPr>
              <w:tab/>
            </w:r>
            <w:r w:rsidR="00A072EF" w:rsidRPr="00895819">
              <w:rPr>
                <w:lang w:val="sr-Cyrl-CS"/>
              </w:rPr>
              <w:t>било које Коруптивне радње; или</w:t>
            </w:r>
          </w:p>
          <w:p w14:paraId="78BB2BD8" w14:textId="5BC57D76" w:rsidR="00A072EF" w:rsidRPr="00895819" w:rsidRDefault="007A6BE0" w:rsidP="007A6BE0">
            <w:pPr>
              <w:pStyle w:val="Num4"/>
              <w:numPr>
                <w:ilvl w:val="0"/>
                <w:numId w:val="0"/>
              </w:numPr>
              <w:spacing w:after="0"/>
              <w:ind w:left="421" w:hanging="421"/>
              <w:rPr>
                <w:lang w:val="sr-Cyrl-CS"/>
              </w:rPr>
            </w:pPr>
            <w:r w:rsidRPr="00895819">
              <w:rPr>
                <w:lang w:val="sr-Cyrl-CS"/>
              </w:rPr>
              <w:t>(ц)</w:t>
            </w:r>
            <w:r w:rsidRPr="00895819">
              <w:rPr>
                <w:lang w:val="sr-Cyrl-CS"/>
              </w:rPr>
              <w:tab/>
            </w:r>
            <w:r w:rsidR="00A072EF" w:rsidRPr="00895819">
              <w:rPr>
                <w:lang w:val="sr-Cyrl-CS"/>
              </w:rPr>
              <w:t xml:space="preserve">било које Преваре против Финансијских интереса Европске заједнице, ако и када је примењиво. </w:t>
            </w:r>
          </w:p>
        </w:tc>
      </w:tr>
      <w:tr w:rsidR="00A072EF" w:rsidRPr="00895819" w14:paraId="2F92E632" w14:textId="77777777" w:rsidTr="00485361">
        <w:tc>
          <w:tcPr>
            <w:tcW w:w="1780" w:type="pct"/>
          </w:tcPr>
          <w:p w14:paraId="464F158A" w14:textId="77777777" w:rsidR="00A072EF" w:rsidRPr="00895819" w:rsidRDefault="00A072EF" w:rsidP="00A072EF">
            <w:pPr>
              <w:pStyle w:val="BodyText"/>
              <w:spacing w:after="0"/>
              <w:rPr>
                <w:rFonts w:cs="Times New Roman"/>
                <w:b/>
                <w:lang w:val="sr-Cyrl-CS"/>
              </w:rPr>
            </w:pPr>
            <w:r w:rsidRPr="00895819">
              <w:rPr>
                <w:rFonts w:cs="Times New Roman"/>
                <w:b/>
                <w:lang w:val="sr-Cyrl-CS"/>
              </w:rPr>
              <w:t>Индексна стопа</w:t>
            </w:r>
          </w:p>
        </w:tc>
        <w:tc>
          <w:tcPr>
            <w:tcW w:w="3220" w:type="pct"/>
          </w:tcPr>
          <w:p w14:paraId="62FA18B6" w14:textId="41ADF528" w:rsidR="00A072EF" w:rsidRPr="00895819" w:rsidRDefault="00A072EF" w:rsidP="008938CF">
            <w:pPr>
              <w:pStyle w:val="BodyText"/>
              <w:spacing w:after="0"/>
              <w:rPr>
                <w:rFonts w:cs="Times New Roman"/>
                <w:lang w:val="sr-Cyrl-CS"/>
              </w:rPr>
            </w:pPr>
            <w:r w:rsidRPr="00895819">
              <w:rPr>
                <w:rFonts w:cs="Times New Roman"/>
                <w:lang w:val="sr-Cyrl-CS"/>
              </w:rPr>
              <w:t xml:space="preserve">означава TEC 10 дневни индекс, десетогодишњу константну стопу доспећа приказану на дневној основи на релевантној страни котације Референтне финансијске институције или било који други индекс који може заменити TEC 10 дневни индекс. На Датум потписивања Индексна стопа </w:t>
            </w:r>
            <w:r w:rsidR="008938CF" w:rsidRPr="00895819">
              <w:rPr>
                <w:rFonts w:cs="Times New Roman"/>
                <w:lang w:val="sr-Cyrl-CS"/>
              </w:rPr>
              <w:t>износи два кома деведесет пет процената (2,95</w:t>
            </w:r>
            <w:r w:rsidRPr="00895819">
              <w:rPr>
                <w:rFonts w:cs="Times New Roman"/>
                <w:lang w:val="sr-Cyrl-CS"/>
              </w:rPr>
              <w:t>%) годишње.</w:t>
            </w:r>
          </w:p>
        </w:tc>
      </w:tr>
      <w:tr w:rsidR="00A072EF" w:rsidRPr="00895819" w14:paraId="6A5561E9" w14:textId="77777777" w:rsidTr="00485361">
        <w:tc>
          <w:tcPr>
            <w:tcW w:w="1780" w:type="pct"/>
          </w:tcPr>
          <w:p w14:paraId="3195CB1B" w14:textId="77777777" w:rsidR="00A072EF" w:rsidRPr="00895819" w:rsidRDefault="00A072EF" w:rsidP="00A072EF">
            <w:pPr>
              <w:pStyle w:val="BodyText"/>
              <w:spacing w:after="0"/>
              <w:rPr>
                <w:rFonts w:cs="Times New Roman"/>
                <w:b/>
                <w:lang w:val="sr-Cyrl-CS"/>
              </w:rPr>
            </w:pPr>
            <w:r w:rsidRPr="00895819">
              <w:rPr>
                <w:rFonts w:cs="Times New Roman"/>
                <w:b/>
                <w:lang w:val="sr-Cyrl-CS"/>
              </w:rPr>
              <w:t>Постројења</w:t>
            </w:r>
          </w:p>
        </w:tc>
        <w:tc>
          <w:tcPr>
            <w:tcW w:w="3220" w:type="pct"/>
          </w:tcPr>
          <w:p w14:paraId="5A9D9476" w14:textId="12A22922" w:rsidR="00A072EF" w:rsidRPr="00895819" w:rsidRDefault="00A072EF" w:rsidP="008938CF">
            <w:pPr>
              <w:pStyle w:val="BodyText"/>
              <w:spacing w:after="0"/>
              <w:rPr>
                <w:rFonts w:cs="Times New Roman"/>
                <w:lang w:val="sr-Cyrl-CS"/>
              </w:rPr>
            </w:pPr>
            <w:r w:rsidRPr="00895819">
              <w:rPr>
                <w:szCs w:val="22"/>
                <w:lang w:val="sr-Cyrl-CS"/>
              </w:rPr>
              <w:t xml:space="preserve">у складу са чланом 11 Закона о климатским променама, означава стационарну техничку јединицу у којој се обавља једна или више активности које производе емисије </w:t>
            </w:r>
            <w:r w:rsidR="008938CF" w:rsidRPr="00895819">
              <w:rPr>
                <w:szCs w:val="22"/>
                <w:lang w:val="sr-Cyrl-CS"/>
              </w:rPr>
              <w:t>GHG</w:t>
            </w:r>
          </w:p>
        </w:tc>
      </w:tr>
      <w:tr w:rsidR="00A072EF" w:rsidRPr="00895819" w14:paraId="6850CC84" w14:textId="77777777" w:rsidTr="00485361">
        <w:tc>
          <w:tcPr>
            <w:tcW w:w="1780" w:type="pct"/>
          </w:tcPr>
          <w:p w14:paraId="689A08D3" w14:textId="77777777" w:rsidR="00A072EF" w:rsidRPr="00895819" w:rsidRDefault="00A072EF" w:rsidP="00A072EF">
            <w:pPr>
              <w:pStyle w:val="BodyText"/>
              <w:spacing w:after="0"/>
              <w:rPr>
                <w:rFonts w:cs="Times New Roman"/>
                <w:b/>
                <w:lang w:val="sr-Cyrl-CS"/>
              </w:rPr>
            </w:pPr>
            <w:r w:rsidRPr="00895819">
              <w:rPr>
                <w:rFonts w:cs="Times New Roman"/>
                <w:b/>
                <w:lang w:val="sr-Cyrl-CS"/>
              </w:rPr>
              <w:t>Институције</w:t>
            </w:r>
          </w:p>
        </w:tc>
        <w:tc>
          <w:tcPr>
            <w:tcW w:w="3220" w:type="pct"/>
          </w:tcPr>
          <w:p w14:paraId="7851770B" w14:textId="475C416D" w:rsidR="00A072EF" w:rsidRPr="00895819" w:rsidRDefault="00A072EF" w:rsidP="00A072EF">
            <w:pPr>
              <w:pStyle w:val="BodyText"/>
              <w:spacing w:after="0"/>
              <w:rPr>
                <w:rFonts w:cs="Times New Roman"/>
                <w:lang w:val="sr-Cyrl-CS"/>
              </w:rPr>
            </w:pPr>
            <w:r w:rsidRPr="00895819">
              <w:rPr>
                <w:rFonts w:cs="Times New Roman"/>
                <w:lang w:val="sr-Cyrl-CS"/>
              </w:rPr>
              <w:t xml:space="preserve">означава седам (7) уговарача који ће бити укључени у ширење коришћења зелених јавних набавки, као део ДЛИ5: КЈН, МЗЖС, МП, МГСИ, МЗ, МПВШ и </w:t>
            </w:r>
            <w:r w:rsidR="00EC1289" w:rsidRPr="00895819">
              <w:rPr>
                <w:rFonts w:cs="Times New Roman"/>
                <w:lang w:val="sr-Cyrl-CS"/>
              </w:rPr>
              <w:t>УЗПРО</w:t>
            </w:r>
            <w:r w:rsidRPr="00895819">
              <w:rPr>
                <w:rFonts w:cs="Times New Roman"/>
                <w:lang w:val="sr-Cyrl-CS"/>
              </w:rPr>
              <w:t>.</w:t>
            </w:r>
          </w:p>
        </w:tc>
      </w:tr>
      <w:tr w:rsidR="00A072EF" w:rsidRPr="00895819" w14:paraId="70BA6BAC" w14:textId="77777777" w:rsidTr="00485361">
        <w:tc>
          <w:tcPr>
            <w:tcW w:w="1780" w:type="pct"/>
          </w:tcPr>
          <w:p w14:paraId="7EC2D6F7" w14:textId="77777777" w:rsidR="00A072EF" w:rsidRPr="00895819" w:rsidRDefault="00A072EF" w:rsidP="00A072EF">
            <w:pPr>
              <w:pStyle w:val="BodyText"/>
              <w:spacing w:after="0"/>
              <w:rPr>
                <w:rFonts w:cs="Times New Roman"/>
                <w:lang w:val="sr-Cyrl-CS"/>
              </w:rPr>
            </w:pPr>
            <w:r w:rsidRPr="00895819">
              <w:rPr>
                <w:rFonts w:cs="Times New Roman"/>
                <w:b/>
                <w:lang w:val="sr-Cyrl-CS"/>
              </w:rPr>
              <w:t>Каматни период(и)</w:t>
            </w:r>
          </w:p>
        </w:tc>
        <w:tc>
          <w:tcPr>
            <w:tcW w:w="3220" w:type="pct"/>
          </w:tcPr>
          <w:p w14:paraId="13BDBAF8" w14:textId="77777777" w:rsidR="00A072EF" w:rsidRPr="00895819" w:rsidRDefault="00A072EF" w:rsidP="00A072EF">
            <w:pPr>
              <w:pStyle w:val="BodyText"/>
              <w:spacing w:after="0"/>
              <w:rPr>
                <w:rFonts w:cs="Times New Roman"/>
                <w:lang w:val="sr-Cyrl-CS"/>
              </w:rPr>
            </w:pPr>
            <w:r w:rsidRPr="00895819">
              <w:rPr>
                <w:rFonts w:cs="Times New Roman"/>
                <w:lang w:val="sr-Cyrl-CS"/>
              </w:rPr>
              <w:t>означава сваки период од Датума плаћања (укључујући тај датум) до следећег Датума плаћања (не укључујући тај датум). За свако повлачење у оквиру Кредита, први каматни период почиње на Датум повлачења средстава (укључујући тај датум) и завршава се следећег наредног Датума плаћања (не укључујући тај датум).</w:t>
            </w:r>
          </w:p>
        </w:tc>
      </w:tr>
      <w:tr w:rsidR="00A072EF" w:rsidRPr="00895819" w14:paraId="52D6EEA6" w14:textId="77777777" w:rsidTr="00485361">
        <w:tc>
          <w:tcPr>
            <w:tcW w:w="1780" w:type="pct"/>
          </w:tcPr>
          <w:p w14:paraId="3AC18C70" w14:textId="77777777" w:rsidR="00A072EF" w:rsidRPr="00895819" w:rsidRDefault="00A072EF" w:rsidP="00A072EF">
            <w:pPr>
              <w:pStyle w:val="BodyText"/>
              <w:spacing w:after="0"/>
              <w:rPr>
                <w:rFonts w:cs="Times New Roman"/>
                <w:lang w:val="sr-Cyrl-CS"/>
              </w:rPr>
            </w:pPr>
            <w:r w:rsidRPr="00895819">
              <w:rPr>
                <w:rFonts w:cs="Times New Roman"/>
                <w:b/>
                <w:lang w:val="sr-Cyrl-CS"/>
              </w:rPr>
              <w:lastRenderedPageBreak/>
              <w:t xml:space="preserve">Каматна стопа </w:t>
            </w:r>
          </w:p>
        </w:tc>
        <w:tc>
          <w:tcPr>
            <w:tcW w:w="3220" w:type="pct"/>
          </w:tcPr>
          <w:p w14:paraId="2E356E58" w14:textId="77777777" w:rsidR="00A072EF" w:rsidRPr="00895819" w:rsidRDefault="00A072EF" w:rsidP="00A072EF">
            <w:pPr>
              <w:pStyle w:val="BodyText"/>
              <w:spacing w:after="0"/>
              <w:rPr>
                <w:rFonts w:cs="Times New Roman"/>
                <w:lang w:val="sr-Cyrl-CS"/>
              </w:rPr>
            </w:pPr>
            <w:r w:rsidRPr="00895819">
              <w:rPr>
                <w:rFonts w:cs="Times New Roman"/>
                <w:lang w:val="sr-Cyrl-CS"/>
              </w:rPr>
              <w:t>означава каматну стопу изражену процентуално и утврђену у складу са чланом 4.1 (</w:t>
            </w:r>
            <w:r w:rsidRPr="00895819">
              <w:rPr>
                <w:rFonts w:cs="Times New Roman"/>
                <w:i/>
                <w:lang w:val="sr-Cyrl-CS"/>
              </w:rPr>
              <w:t>Каматна стопа</w:t>
            </w:r>
            <w:r w:rsidRPr="00895819">
              <w:rPr>
                <w:rFonts w:cs="Times New Roman"/>
                <w:lang w:val="sr-Cyrl-CS"/>
              </w:rPr>
              <w:t>).</w:t>
            </w:r>
          </w:p>
        </w:tc>
      </w:tr>
      <w:tr w:rsidR="00A072EF" w:rsidRPr="00895819" w14:paraId="04933437" w14:textId="77777777" w:rsidTr="00485361">
        <w:tc>
          <w:tcPr>
            <w:tcW w:w="1780" w:type="pct"/>
          </w:tcPr>
          <w:p w14:paraId="1A8E377D" w14:textId="77777777" w:rsidR="00A072EF" w:rsidRPr="00895819" w:rsidRDefault="00A072EF" w:rsidP="00A072EF">
            <w:pPr>
              <w:pStyle w:val="BodyText"/>
              <w:spacing w:after="0"/>
              <w:rPr>
                <w:rFonts w:cs="Times New Roman"/>
                <w:b/>
                <w:lang w:val="sr-Cyrl-CS"/>
              </w:rPr>
            </w:pPr>
            <w:r w:rsidRPr="00895819">
              <w:rPr>
                <w:rFonts w:cs="Times New Roman"/>
                <w:b/>
                <w:lang w:val="sr-Cyrl-CS"/>
              </w:rPr>
              <w:t>Међуресорна радна група</w:t>
            </w:r>
          </w:p>
        </w:tc>
        <w:tc>
          <w:tcPr>
            <w:tcW w:w="3220" w:type="pct"/>
          </w:tcPr>
          <w:p w14:paraId="5CF38070" w14:textId="1BFD535D" w:rsidR="00A072EF" w:rsidRPr="00895819" w:rsidRDefault="00A072EF" w:rsidP="00A072EF">
            <w:pPr>
              <w:pStyle w:val="BodyText"/>
              <w:spacing w:after="0"/>
              <w:rPr>
                <w:rFonts w:cs="Times New Roman"/>
                <w:lang w:val="sr-Cyrl-CS"/>
              </w:rPr>
            </w:pPr>
            <w:r w:rsidRPr="00895819">
              <w:rPr>
                <w:rFonts w:cs="Times New Roman"/>
                <w:lang w:val="sr-Cyrl-CS"/>
              </w:rPr>
              <w:t>означава Међуресорну радну групу за реформу јавних финансија ради остваривања циљева Зелене агенде која је основана Одлуком Владе бр</w:t>
            </w:r>
            <w:r w:rsidR="00EC1289" w:rsidRPr="00895819">
              <w:rPr>
                <w:rFonts w:cs="Times New Roman"/>
                <w:lang w:val="sr-Cyrl-CS"/>
              </w:rPr>
              <w:t>. 02-4955/2022-1 од 23. јуна</w:t>
            </w:r>
            <w:r w:rsidRPr="00895819">
              <w:rPr>
                <w:rFonts w:cs="Times New Roman"/>
                <w:lang w:val="sr-Cyrl-CS"/>
              </w:rPr>
              <w:t xml:space="preserve"> 2022. године.</w:t>
            </w:r>
          </w:p>
        </w:tc>
      </w:tr>
      <w:tr w:rsidR="00A072EF" w:rsidRPr="00895819" w14:paraId="33A55017" w14:textId="77777777" w:rsidTr="00485361">
        <w:tc>
          <w:tcPr>
            <w:tcW w:w="1780" w:type="pct"/>
          </w:tcPr>
          <w:p w14:paraId="1E46C832" w14:textId="77777777" w:rsidR="00A072EF" w:rsidRPr="00895819" w:rsidRDefault="00A072EF" w:rsidP="00A072EF">
            <w:pPr>
              <w:pStyle w:val="BodyText"/>
              <w:spacing w:after="0"/>
              <w:rPr>
                <w:rFonts w:cs="Times New Roman"/>
                <w:b/>
                <w:lang w:val="sr-Cyrl-CS"/>
              </w:rPr>
            </w:pPr>
            <w:r w:rsidRPr="00895819">
              <w:rPr>
                <w:rFonts w:cs="Times New Roman"/>
                <w:b/>
                <w:lang w:val="sr-Cyrl-CS"/>
              </w:rPr>
              <w:t>Ресорна министарства</w:t>
            </w:r>
          </w:p>
        </w:tc>
        <w:tc>
          <w:tcPr>
            <w:tcW w:w="3220" w:type="pct"/>
          </w:tcPr>
          <w:p w14:paraId="1C7AF212" w14:textId="0C09D04E" w:rsidR="00A072EF" w:rsidRPr="00895819" w:rsidRDefault="00A072EF" w:rsidP="00A072EF">
            <w:pPr>
              <w:pStyle w:val="BodyText"/>
              <w:spacing w:after="0"/>
              <w:rPr>
                <w:rFonts w:cs="Times New Roman"/>
                <w:lang w:val="sr-Cyrl-CS"/>
              </w:rPr>
            </w:pPr>
            <w:r w:rsidRPr="00895819">
              <w:rPr>
                <w:szCs w:val="22"/>
                <w:lang w:val="sr-Cyrl-CS"/>
              </w:rPr>
              <w:t>означава министарства Зајмопримца, осим МФ, са делегираним овлашћењем за извршење буџета, како је утврђено Законом о министарствима Зајмопримца, уредно објављеном у Службеном гласнику Зајмопримца бр. 128/2020 од 26. октобра 2020.</w:t>
            </w:r>
            <w:r w:rsidR="00C804D3" w:rsidRPr="00895819">
              <w:rPr>
                <w:szCs w:val="22"/>
                <w:lang w:val="sr-Cyrl-CS"/>
              </w:rPr>
              <w:t xml:space="preserve"> године</w:t>
            </w:r>
            <w:r w:rsidRPr="00895819">
              <w:rPr>
                <w:szCs w:val="22"/>
                <w:lang w:val="sr-Cyrl-CS"/>
              </w:rPr>
              <w:t xml:space="preserve"> и бр. 116/2022 од 22. октобра 2022. године.</w:t>
            </w:r>
          </w:p>
        </w:tc>
      </w:tr>
      <w:tr w:rsidR="00A072EF" w:rsidRPr="00895819" w14:paraId="25833BE2" w14:textId="77777777" w:rsidTr="00485361">
        <w:tc>
          <w:tcPr>
            <w:tcW w:w="1780" w:type="pct"/>
          </w:tcPr>
          <w:p w14:paraId="67FE5AFE" w14:textId="77777777" w:rsidR="00A072EF" w:rsidRPr="00895819" w:rsidRDefault="00A072EF" w:rsidP="00A072EF">
            <w:pPr>
              <w:pStyle w:val="BodyText"/>
              <w:spacing w:after="0"/>
              <w:rPr>
                <w:rFonts w:cs="Times New Roman"/>
                <w:b/>
                <w:lang w:val="sr-Cyrl-CS"/>
              </w:rPr>
            </w:pPr>
            <w:r w:rsidRPr="00895819">
              <w:rPr>
                <w:rFonts w:cs="Times New Roman"/>
                <w:b/>
                <w:lang w:val="sr-Cyrl-CS"/>
              </w:rPr>
              <w:t>Списак приоритетних пројеката</w:t>
            </w:r>
          </w:p>
        </w:tc>
        <w:tc>
          <w:tcPr>
            <w:tcW w:w="3220" w:type="pct"/>
          </w:tcPr>
          <w:p w14:paraId="23F5BDE8" w14:textId="77777777" w:rsidR="00A072EF" w:rsidRPr="00895819" w:rsidRDefault="00A072EF" w:rsidP="00A072EF">
            <w:pPr>
              <w:pStyle w:val="BodyText"/>
              <w:spacing w:after="0"/>
              <w:rPr>
                <w:rFonts w:cs="Times New Roman"/>
                <w:lang w:val="sr-Cyrl-CS"/>
              </w:rPr>
            </w:pPr>
            <w:r w:rsidRPr="00895819">
              <w:rPr>
                <w:szCs w:val="22"/>
                <w:lang w:val="sr-Cyrl-CS"/>
              </w:rPr>
              <w:t>означава списак из члана 3 Уредбе о управљању капиталним пројектима.</w:t>
            </w:r>
          </w:p>
        </w:tc>
      </w:tr>
      <w:tr w:rsidR="00A072EF" w:rsidRPr="00895819" w14:paraId="4523D8CA" w14:textId="77777777" w:rsidTr="00485361">
        <w:tc>
          <w:tcPr>
            <w:tcW w:w="1780" w:type="pct"/>
          </w:tcPr>
          <w:p w14:paraId="369D1555" w14:textId="77777777" w:rsidR="00A072EF" w:rsidRPr="00895819" w:rsidRDefault="00A072EF" w:rsidP="00A072EF">
            <w:pPr>
              <w:pStyle w:val="BodyText"/>
              <w:spacing w:after="0"/>
              <w:rPr>
                <w:rFonts w:cs="Times New Roman"/>
                <w:lang w:val="sr-Cyrl-CS"/>
              </w:rPr>
            </w:pPr>
            <w:r w:rsidRPr="00895819">
              <w:rPr>
                <w:rFonts w:cs="Times New Roman"/>
                <w:b/>
                <w:lang w:val="sr-Cyrl-CS"/>
              </w:rPr>
              <w:t>Маржа</w:t>
            </w:r>
          </w:p>
        </w:tc>
        <w:tc>
          <w:tcPr>
            <w:tcW w:w="3220" w:type="pct"/>
          </w:tcPr>
          <w:p w14:paraId="43483B9D" w14:textId="77777777" w:rsidR="00A072EF" w:rsidRPr="00895819" w:rsidRDefault="00A072EF" w:rsidP="00A072EF">
            <w:pPr>
              <w:pStyle w:val="BodyText"/>
              <w:spacing w:after="0"/>
              <w:rPr>
                <w:rFonts w:cs="Times New Roman"/>
                <w:lang w:val="sr-Cyrl-CS"/>
              </w:rPr>
            </w:pPr>
            <w:r w:rsidRPr="00895819">
              <w:rPr>
                <w:rFonts w:cs="Times New Roman"/>
                <w:lang w:val="sr-Cyrl-CS"/>
              </w:rPr>
              <w:t xml:space="preserve">означава шездесет пет (65) базних поена на годишњем нивоу. </w:t>
            </w:r>
          </w:p>
        </w:tc>
      </w:tr>
      <w:tr w:rsidR="00A072EF" w:rsidRPr="00895819" w14:paraId="7DF5013E" w14:textId="77777777" w:rsidTr="00485361">
        <w:tc>
          <w:tcPr>
            <w:tcW w:w="1780" w:type="pct"/>
          </w:tcPr>
          <w:p w14:paraId="0B40A6A9" w14:textId="77777777" w:rsidR="00A072EF" w:rsidRPr="00895819" w:rsidRDefault="00A072EF" w:rsidP="00A072EF">
            <w:pPr>
              <w:pStyle w:val="BodyText"/>
              <w:spacing w:after="0"/>
              <w:jc w:val="left"/>
              <w:rPr>
                <w:rFonts w:cs="Times New Roman"/>
                <w:b/>
                <w:szCs w:val="22"/>
                <w:lang w:val="sr-Cyrl-CS"/>
              </w:rPr>
            </w:pPr>
            <w:r w:rsidRPr="00895819">
              <w:rPr>
                <w:rFonts w:cs="Times New Roman"/>
                <w:b/>
                <w:szCs w:val="22"/>
                <w:lang w:val="sr-Cyrl-CS"/>
              </w:rPr>
              <w:t>Случај поремећаја тржишта</w:t>
            </w:r>
          </w:p>
        </w:tc>
        <w:tc>
          <w:tcPr>
            <w:tcW w:w="3220" w:type="pct"/>
          </w:tcPr>
          <w:p w14:paraId="4A465CBD" w14:textId="77777777" w:rsidR="00A072EF" w:rsidRPr="00895819" w:rsidRDefault="00A072EF" w:rsidP="00A072EF">
            <w:pPr>
              <w:pStyle w:val="BodyText"/>
              <w:spacing w:after="0"/>
              <w:rPr>
                <w:rFonts w:cs="Times New Roman"/>
                <w:b/>
                <w:szCs w:val="22"/>
                <w:lang w:val="sr-Cyrl-CS"/>
              </w:rPr>
            </w:pPr>
            <w:r w:rsidRPr="00895819">
              <w:rPr>
                <w:rFonts w:cs="Times New Roman"/>
                <w:szCs w:val="22"/>
                <w:lang w:val="sr-Cyrl-CS"/>
              </w:rPr>
              <w:t>означава појаву једног од следећих догађаја:</w:t>
            </w:r>
          </w:p>
          <w:p w14:paraId="0860931C" w14:textId="26B6B7F6" w:rsidR="00A072EF" w:rsidRPr="00895819" w:rsidRDefault="00C804D3" w:rsidP="00C804D3">
            <w:pPr>
              <w:pStyle w:val="AATitre6"/>
              <w:numPr>
                <w:ilvl w:val="0"/>
                <w:numId w:val="0"/>
              </w:numPr>
              <w:ind w:left="720" w:hanging="720"/>
              <w:rPr>
                <w:lang w:val="sr-Cyrl-CS"/>
              </w:rPr>
            </w:pPr>
            <w:r w:rsidRPr="00895819">
              <w:rPr>
                <w:szCs w:val="22"/>
                <w:lang w:val="sr-Cyrl-CS"/>
              </w:rPr>
              <w:t>(а)</w:t>
            </w:r>
            <w:r w:rsidRPr="00895819">
              <w:rPr>
                <w:szCs w:val="22"/>
                <w:lang w:val="sr-Cyrl-CS"/>
              </w:rPr>
              <w:tab/>
            </w:r>
            <w:r w:rsidR="00016477" w:rsidRPr="00895819">
              <w:rPr>
                <w:szCs w:val="22"/>
                <w:lang w:val="sr-Cyrl-CS"/>
              </w:rPr>
              <w:t>EURIBOR</w:t>
            </w:r>
            <w:r w:rsidR="00016477" w:rsidRPr="00895819">
              <w:rPr>
                <w:lang w:val="sr-Cyrl-CS"/>
              </w:rPr>
              <w:t xml:space="preserve"> </w:t>
            </w:r>
            <w:r w:rsidR="00A072EF" w:rsidRPr="00895819">
              <w:rPr>
                <w:lang w:val="sr-Cyrl-CS"/>
              </w:rPr>
              <w:t xml:space="preserve">не одређује Европски институт за тржиште новца (ЕММИ), или било који његов правни следбеник, у 11:00 сати по бриселском времену, два (2) Радна дана пре првог дана релевантног Каматног периода или на Датум утврђивања стопе; или; </w:t>
            </w:r>
          </w:p>
          <w:p w14:paraId="7BF8417B" w14:textId="76F40E7F" w:rsidR="00A072EF" w:rsidRPr="00895819" w:rsidRDefault="00C804D3" w:rsidP="00C804D3">
            <w:pPr>
              <w:pStyle w:val="AATitre6"/>
              <w:numPr>
                <w:ilvl w:val="0"/>
                <w:numId w:val="0"/>
              </w:numPr>
              <w:ind w:left="720" w:hanging="720"/>
              <w:rPr>
                <w:lang w:val="sr-Cyrl-CS"/>
              </w:rPr>
            </w:pPr>
            <w:r w:rsidRPr="00895819">
              <w:rPr>
                <w:lang w:val="sr-Cyrl-CS"/>
              </w:rPr>
              <w:t>(б)</w:t>
            </w:r>
            <w:r w:rsidRPr="00895819">
              <w:rPr>
                <w:lang w:val="sr-Cyrl-CS"/>
              </w:rPr>
              <w:tab/>
            </w:r>
            <w:r w:rsidR="00A072EF" w:rsidRPr="00895819">
              <w:rPr>
                <w:lang w:val="sr-Cyrl-CS"/>
              </w:rPr>
              <w:t xml:space="preserve">пре затварања пословања Европског међубанкарског тржишта, два (2) Радна дана пре првог дана релевантног Каматног периода или на Датум утврђивања стопе, Зајмопримац добија обавештење од Зајмодавца да (i) би трошак Зајмодавца који се односи на прибављање одговарајућих ресурса на релевантном међубанкарском тржишту био већи од </w:t>
            </w:r>
            <w:r w:rsidR="00016477" w:rsidRPr="00895819">
              <w:rPr>
                <w:szCs w:val="22"/>
                <w:lang w:val="sr-Cyrl-CS"/>
              </w:rPr>
              <w:t>EURIBOR</w:t>
            </w:r>
            <w:r w:rsidR="00A072EF" w:rsidRPr="00895819">
              <w:rPr>
                <w:lang w:val="sr-Cyrl-CS"/>
              </w:rPr>
              <w:t>-а за релевантни Каматни период; или (ii) не може или неће моћи да прибави одговарајуће ресурсе на релевантном међубанкарском тржишту у редовном току пословања за потребе финансирања релевантног Повлачења средстава у релевантном временском периоду.</w:t>
            </w:r>
          </w:p>
        </w:tc>
      </w:tr>
      <w:tr w:rsidR="00A072EF" w:rsidRPr="00895819" w14:paraId="3AFE4C02" w14:textId="77777777" w:rsidTr="00485361">
        <w:tc>
          <w:tcPr>
            <w:tcW w:w="1780" w:type="pct"/>
          </w:tcPr>
          <w:p w14:paraId="3B3DA794" w14:textId="77777777" w:rsidR="00A072EF" w:rsidRPr="00895819" w:rsidRDefault="00A072EF" w:rsidP="00A072EF">
            <w:pPr>
              <w:pStyle w:val="BodyText"/>
              <w:spacing w:after="0"/>
              <w:rPr>
                <w:rFonts w:cs="Times New Roman"/>
                <w:b/>
                <w:lang w:val="sr-Cyrl-CS"/>
              </w:rPr>
            </w:pPr>
            <w:r w:rsidRPr="00895819">
              <w:rPr>
                <w:rFonts w:cs="Times New Roman"/>
                <w:b/>
                <w:lang w:val="sr-Cyrl-CS"/>
              </w:rPr>
              <w:t>Значајна негативна последица</w:t>
            </w:r>
          </w:p>
        </w:tc>
        <w:tc>
          <w:tcPr>
            <w:tcW w:w="3220" w:type="pct"/>
          </w:tcPr>
          <w:p w14:paraId="47529C93" w14:textId="77777777" w:rsidR="00A072EF" w:rsidRPr="00895819" w:rsidRDefault="00A072EF" w:rsidP="00A072EF">
            <w:pPr>
              <w:pStyle w:val="BodyText"/>
              <w:spacing w:after="0"/>
              <w:rPr>
                <w:rFonts w:cs="Times New Roman"/>
                <w:lang w:val="sr-Cyrl-CS"/>
              </w:rPr>
            </w:pPr>
            <w:r w:rsidRPr="00895819">
              <w:rPr>
                <w:rFonts w:cs="Times New Roman"/>
                <w:lang w:val="sr-Cyrl-CS"/>
              </w:rPr>
              <w:t xml:space="preserve">означава значајну негативну последицу по: </w:t>
            </w:r>
          </w:p>
          <w:p w14:paraId="474D9C01" w14:textId="32687B1C" w:rsidR="00A072EF" w:rsidRPr="00895819" w:rsidRDefault="00C804D3" w:rsidP="00C804D3">
            <w:pPr>
              <w:pStyle w:val="Num4"/>
              <w:numPr>
                <w:ilvl w:val="0"/>
                <w:numId w:val="0"/>
              </w:numPr>
              <w:spacing w:after="0"/>
              <w:ind w:left="720" w:hanging="720"/>
              <w:rPr>
                <w:lang w:val="sr-Cyrl-CS"/>
              </w:rPr>
            </w:pPr>
            <w:r w:rsidRPr="00895819">
              <w:rPr>
                <w:lang w:val="sr-Cyrl-CS"/>
              </w:rPr>
              <w:t>(а)</w:t>
            </w:r>
            <w:r w:rsidRPr="00895819">
              <w:rPr>
                <w:lang w:val="sr-Cyrl-CS"/>
              </w:rPr>
              <w:tab/>
            </w:r>
            <w:r w:rsidR="00A072EF" w:rsidRPr="00895819">
              <w:rPr>
                <w:lang w:val="sr-Cyrl-CS"/>
              </w:rPr>
              <w:t xml:space="preserve">Операцију, уколико би угрозила имплементацију и функционисање Операције у складу са овим </w:t>
            </w:r>
            <w:r w:rsidR="00892068" w:rsidRPr="00895819">
              <w:rPr>
                <w:lang w:val="sr-Cyrl-CS"/>
              </w:rPr>
              <w:t>у</w:t>
            </w:r>
            <w:r w:rsidR="00A072EF" w:rsidRPr="00895819">
              <w:rPr>
                <w:lang w:val="sr-Cyrl-CS"/>
              </w:rPr>
              <w:t>говором;</w:t>
            </w:r>
          </w:p>
          <w:p w14:paraId="07669BB9" w14:textId="3929B0F2" w:rsidR="00A072EF" w:rsidRPr="00895819" w:rsidRDefault="00C804D3" w:rsidP="00C804D3">
            <w:pPr>
              <w:pStyle w:val="Num4"/>
              <w:numPr>
                <w:ilvl w:val="0"/>
                <w:numId w:val="0"/>
              </w:numPr>
              <w:spacing w:after="0"/>
              <w:ind w:left="720" w:hanging="720"/>
              <w:rPr>
                <w:lang w:val="sr-Cyrl-CS"/>
              </w:rPr>
            </w:pPr>
            <w:r w:rsidRPr="00895819">
              <w:rPr>
                <w:lang w:val="sr-Cyrl-CS"/>
              </w:rPr>
              <w:t>(б)</w:t>
            </w:r>
            <w:r w:rsidRPr="00895819">
              <w:rPr>
                <w:lang w:val="sr-Cyrl-CS"/>
              </w:rPr>
              <w:tab/>
            </w:r>
            <w:r w:rsidR="00A072EF" w:rsidRPr="00895819">
              <w:rPr>
                <w:lang w:val="sr-Cyrl-CS"/>
              </w:rPr>
              <w:t xml:space="preserve">пословање, имовину, финансијско стање Зајмопримца или његову способност да испуни своје обавезе према овом </w:t>
            </w:r>
            <w:r w:rsidR="00892068" w:rsidRPr="00895819">
              <w:rPr>
                <w:lang w:val="sr-Cyrl-CS"/>
              </w:rPr>
              <w:t>у</w:t>
            </w:r>
            <w:r w:rsidR="00A072EF" w:rsidRPr="00895819">
              <w:rPr>
                <w:lang w:val="sr-Cyrl-CS"/>
              </w:rPr>
              <w:t>говору;</w:t>
            </w:r>
          </w:p>
          <w:p w14:paraId="0670B505" w14:textId="7075601C" w:rsidR="00A072EF" w:rsidRPr="00895819" w:rsidRDefault="00C804D3" w:rsidP="00C804D3">
            <w:pPr>
              <w:pStyle w:val="Num4"/>
              <w:numPr>
                <w:ilvl w:val="0"/>
                <w:numId w:val="0"/>
              </w:numPr>
              <w:spacing w:after="0"/>
              <w:ind w:left="720" w:hanging="720"/>
              <w:rPr>
                <w:lang w:val="sr-Cyrl-CS"/>
              </w:rPr>
            </w:pPr>
            <w:r w:rsidRPr="00895819">
              <w:rPr>
                <w:lang w:val="sr-Cyrl-CS"/>
              </w:rPr>
              <w:t>(ц)</w:t>
            </w:r>
            <w:r w:rsidRPr="00895819">
              <w:rPr>
                <w:lang w:val="sr-Cyrl-CS"/>
              </w:rPr>
              <w:tab/>
            </w:r>
            <w:r w:rsidR="00A072EF" w:rsidRPr="00895819">
              <w:rPr>
                <w:lang w:val="sr-Cyrl-CS"/>
              </w:rPr>
              <w:t xml:space="preserve">важење и извршивост овог </w:t>
            </w:r>
            <w:r w:rsidR="00892068" w:rsidRPr="00895819">
              <w:rPr>
                <w:lang w:val="sr-Cyrl-CS"/>
              </w:rPr>
              <w:t>у</w:t>
            </w:r>
            <w:r w:rsidR="00A072EF" w:rsidRPr="00895819">
              <w:rPr>
                <w:lang w:val="sr-Cyrl-CS"/>
              </w:rPr>
              <w:t>говора; или</w:t>
            </w:r>
          </w:p>
          <w:p w14:paraId="2CDD25C2" w14:textId="77E7D0F8" w:rsidR="00A072EF" w:rsidRPr="00895819" w:rsidRDefault="00C804D3" w:rsidP="00C804D3">
            <w:pPr>
              <w:pStyle w:val="Num4"/>
              <w:numPr>
                <w:ilvl w:val="0"/>
                <w:numId w:val="0"/>
              </w:numPr>
              <w:spacing w:after="0"/>
              <w:ind w:left="720" w:hanging="720"/>
              <w:rPr>
                <w:lang w:val="sr-Cyrl-CS"/>
              </w:rPr>
            </w:pPr>
            <w:r w:rsidRPr="00895819">
              <w:rPr>
                <w:lang w:val="sr-Cyrl-CS"/>
              </w:rPr>
              <w:t>(д)</w:t>
            </w:r>
            <w:r w:rsidRPr="00895819">
              <w:rPr>
                <w:lang w:val="sr-Cyrl-CS"/>
              </w:rPr>
              <w:tab/>
            </w:r>
            <w:r w:rsidR="00A072EF" w:rsidRPr="00895819">
              <w:rPr>
                <w:lang w:val="sr-Cyrl-CS"/>
              </w:rPr>
              <w:t xml:space="preserve">било које право или правни лек Зајмодавца према овом </w:t>
            </w:r>
            <w:r w:rsidR="00892068" w:rsidRPr="00895819">
              <w:rPr>
                <w:lang w:val="sr-Cyrl-CS"/>
              </w:rPr>
              <w:t>у</w:t>
            </w:r>
            <w:r w:rsidR="00A072EF" w:rsidRPr="00895819">
              <w:rPr>
                <w:lang w:val="sr-Cyrl-CS"/>
              </w:rPr>
              <w:t xml:space="preserve">говору. </w:t>
            </w:r>
          </w:p>
        </w:tc>
      </w:tr>
      <w:tr w:rsidR="00A072EF" w:rsidRPr="00895819" w14:paraId="71F2F757" w14:textId="77777777" w:rsidTr="00485361">
        <w:tc>
          <w:tcPr>
            <w:tcW w:w="1780" w:type="pct"/>
          </w:tcPr>
          <w:p w14:paraId="48B6BBF9" w14:textId="77777777" w:rsidR="00A072EF" w:rsidRPr="00895819" w:rsidRDefault="00A072EF" w:rsidP="00A072EF">
            <w:pPr>
              <w:pStyle w:val="BodyText"/>
              <w:spacing w:after="0"/>
              <w:rPr>
                <w:rFonts w:cs="Times New Roman"/>
                <w:b/>
                <w:lang w:val="sr-Cyrl-CS"/>
              </w:rPr>
            </w:pPr>
            <w:r w:rsidRPr="00895819">
              <w:rPr>
                <w:rFonts w:cs="Times New Roman"/>
                <w:b/>
                <w:lang w:val="sr-Cyrl-CS"/>
              </w:rPr>
              <w:t>MПШВ</w:t>
            </w:r>
          </w:p>
        </w:tc>
        <w:tc>
          <w:tcPr>
            <w:tcW w:w="3220" w:type="pct"/>
          </w:tcPr>
          <w:p w14:paraId="255611BB" w14:textId="77777777" w:rsidR="00A072EF" w:rsidRPr="00895819" w:rsidRDefault="00A072EF" w:rsidP="00A072EF">
            <w:pPr>
              <w:pStyle w:val="BodyText"/>
              <w:spacing w:after="0"/>
              <w:rPr>
                <w:lang w:val="sr-Cyrl-CS"/>
              </w:rPr>
            </w:pPr>
            <w:r w:rsidRPr="00895819">
              <w:rPr>
                <w:lang w:val="sr-Cyrl-CS"/>
              </w:rPr>
              <w:t xml:space="preserve">означава Министарство пољопривреде, шумарства и водопривреде и било ког правног следбеника. </w:t>
            </w:r>
          </w:p>
        </w:tc>
      </w:tr>
      <w:tr w:rsidR="00A072EF" w:rsidRPr="00895819" w14:paraId="11D7917B" w14:textId="77777777" w:rsidTr="00485361">
        <w:tc>
          <w:tcPr>
            <w:tcW w:w="1780" w:type="pct"/>
          </w:tcPr>
          <w:p w14:paraId="1107BE98" w14:textId="77777777" w:rsidR="00A072EF" w:rsidRPr="00895819" w:rsidRDefault="00A072EF" w:rsidP="00A072EF">
            <w:pPr>
              <w:pStyle w:val="BodyText"/>
              <w:spacing w:after="0"/>
              <w:rPr>
                <w:rFonts w:cs="Times New Roman"/>
                <w:b/>
                <w:lang w:val="sr-Cyrl-CS"/>
              </w:rPr>
            </w:pPr>
            <w:r w:rsidRPr="00895819">
              <w:rPr>
                <w:rFonts w:cs="Times New Roman"/>
                <w:b/>
                <w:lang w:val="sr-Cyrl-CS"/>
              </w:rPr>
              <w:t>МГСИ</w:t>
            </w:r>
          </w:p>
        </w:tc>
        <w:tc>
          <w:tcPr>
            <w:tcW w:w="3220" w:type="pct"/>
          </w:tcPr>
          <w:p w14:paraId="7127759A" w14:textId="77777777" w:rsidR="00A072EF" w:rsidRPr="00895819" w:rsidRDefault="00A072EF" w:rsidP="00A072EF">
            <w:pPr>
              <w:pStyle w:val="BodyText"/>
              <w:spacing w:after="0"/>
              <w:rPr>
                <w:lang w:val="sr-Cyrl-CS"/>
              </w:rPr>
            </w:pPr>
            <w:r w:rsidRPr="00895819">
              <w:rPr>
                <w:lang w:val="sr-Cyrl-CS"/>
              </w:rPr>
              <w:t>означава Министарство грађевинарства, саобраћаја и инфраструктуре и било ког правног следбеника.</w:t>
            </w:r>
          </w:p>
        </w:tc>
      </w:tr>
      <w:tr w:rsidR="00A072EF" w:rsidRPr="00895819" w14:paraId="0D2C4F31" w14:textId="77777777" w:rsidTr="00485361">
        <w:tc>
          <w:tcPr>
            <w:tcW w:w="1780" w:type="pct"/>
          </w:tcPr>
          <w:p w14:paraId="15F4CAF7" w14:textId="77777777" w:rsidR="00A072EF" w:rsidRPr="00895819" w:rsidRDefault="00A072EF" w:rsidP="00A072EF">
            <w:pPr>
              <w:pStyle w:val="BodyText"/>
              <w:spacing w:after="0"/>
              <w:rPr>
                <w:rFonts w:cs="Times New Roman"/>
                <w:b/>
                <w:lang w:val="sr-Cyrl-CS"/>
              </w:rPr>
            </w:pPr>
            <w:r w:rsidRPr="00895819">
              <w:rPr>
                <w:rFonts w:cs="Times New Roman"/>
                <w:b/>
                <w:lang w:val="sr-Cyrl-CS"/>
              </w:rPr>
              <w:lastRenderedPageBreak/>
              <w:t>МП</w:t>
            </w:r>
          </w:p>
        </w:tc>
        <w:tc>
          <w:tcPr>
            <w:tcW w:w="3220" w:type="pct"/>
          </w:tcPr>
          <w:p w14:paraId="6B1B30CE" w14:textId="77777777" w:rsidR="00A072EF" w:rsidRPr="00895819" w:rsidRDefault="00A072EF" w:rsidP="00A072EF">
            <w:pPr>
              <w:pStyle w:val="BodyText"/>
              <w:spacing w:after="0"/>
              <w:rPr>
                <w:lang w:val="sr-Cyrl-CS"/>
              </w:rPr>
            </w:pPr>
            <w:r w:rsidRPr="00895819">
              <w:rPr>
                <w:lang w:val="sr-Cyrl-CS"/>
              </w:rPr>
              <w:t>означава Министарство привреде и било ког правног следбеника.</w:t>
            </w:r>
          </w:p>
        </w:tc>
      </w:tr>
      <w:tr w:rsidR="00A072EF" w:rsidRPr="00895819" w14:paraId="47E7A117" w14:textId="77777777" w:rsidTr="00485361">
        <w:tc>
          <w:tcPr>
            <w:tcW w:w="1780" w:type="pct"/>
          </w:tcPr>
          <w:p w14:paraId="77E6C41E" w14:textId="77777777" w:rsidR="00A072EF" w:rsidRPr="00895819" w:rsidRDefault="00A072EF" w:rsidP="00A072EF">
            <w:pPr>
              <w:pStyle w:val="BodyText"/>
              <w:spacing w:after="0"/>
              <w:rPr>
                <w:rFonts w:cs="Times New Roman"/>
                <w:b/>
                <w:lang w:val="sr-Cyrl-CS"/>
              </w:rPr>
            </w:pPr>
            <w:r w:rsidRPr="00895819">
              <w:rPr>
                <w:rFonts w:cs="Times New Roman"/>
                <w:b/>
                <w:lang w:val="sr-Cyrl-CS"/>
              </w:rPr>
              <w:t>МЗЖС</w:t>
            </w:r>
          </w:p>
        </w:tc>
        <w:tc>
          <w:tcPr>
            <w:tcW w:w="3220" w:type="pct"/>
          </w:tcPr>
          <w:p w14:paraId="6AFEB160" w14:textId="77777777" w:rsidR="00A072EF" w:rsidRPr="00895819" w:rsidRDefault="00A072EF" w:rsidP="00A072EF">
            <w:pPr>
              <w:pStyle w:val="BodyText"/>
              <w:spacing w:after="0"/>
              <w:rPr>
                <w:lang w:val="sr-Cyrl-CS"/>
              </w:rPr>
            </w:pPr>
            <w:r w:rsidRPr="00895819">
              <w:rPr>
                <w:lang w:val="sr-Cyrl-CS"/>
              </w:rPr>
              <w:t xml:space="preserve">означава Министарство заштите животне средине и било ког правног следбеника. </w:t>
            </w:r>
          </w:p>
        </w:tc>
      </w:tr>
      <w:tr w:rsidR="00A072EF" w:rsidRPr="00895819" w14:paraId="2A670D54" w14:textId="77777777" w:rsidTr="00485361">
        <w:tc>
          <w:tcPr>
            <w:tcW w:w="1780" w:type="pct"/>
          </w:tcPr>
          <w:p w14:paraId="1C1BDAE1" w14:textId="77777777" w:rsidR="00A072EF" w:rsidRPr="00895819" w:rsidRDefault="00A072EF" w:rsidP="00A072EF">
            <w:pPr>
              <w:pStyle w:val="BodyText"/>
              <w:spacing w:after="0"/>
              <w:rPr>
                <w:rFonts w:cs="Times New Roman"/>
                <w:b/>
                <w:lang w:val="sr-Cyrl-CS"/>
              </w:rPr>
            </w:pPr>
            <w:r w:rsidRPr="00895819">
              <w:rPr>
                <w:rFonts w:cs="Times New Roman"/>
                <w:b/>
                <w:lang w:val="sr-Cyrl-CS"/>
              </w:rPr>
              <w:t>МФ</w:t>
            </w:r>
          </w:p>
        </w:tc>
        <w:tc>
          <w:tcPr>
            <w:tcW w:w="3220" w:type="pct"/>
          </w:tcPr>
          <w:p w14:paraId="73A8B650" w14:textId="77777777" w:rsidR="00A072EF" w:rsidRPr="00895819" w:rsidRDefault="00A072EF" w:rsidP="00A072EF">
            <w:pPr>
              <w:pStyle w:val="BodyText"/>
              <w:spacing w:after="0"/>
              <w:rPr>
                <w:lang w:val="sr-Cyrl-CS"/>
              </w:rPr>
            </w:pPr>
            <w:r w:rsidRPr="00895819">
              <w:rPr>
                <w:lang w:val="sr-Cyrl-CS"/>
              </w:rPr>
              <w:t>означава Министарство финансија и било ког правног следбеника.</w:t>
            </w:r>
          </w:p>
        </w:tc>
      </w:tr>
      <w:tr w:rsidR="00A072EF" w:rsidRPr="00895819" w14:paraId="695E081A" w14:textId="77777777" w:rsidTr="00485361">
        <w:tc>
          <w:tcPr>
            <w:tcW w:w="1780" w:type="pct"/>
          </w:tcPr>
          <w:p w14:paraId="4E772981" w14:textId="77777777" w:rsidR="00A072EF" w:rsidRPr="00895819" w:rsidRDefault="00A072EF" w:rsidP="00A072EF">
            <w:pPr>
              <w:pStyle w:val="BodyText"/>
              <w:spacing w:after="0"/>
              <w:rPr>
                <w:rFonts w:cs="Times New Roman"/>
                <w:b/>
                <w:lang w:val="sr-Cyrl-CS"/>
              </w:rPr>
            </w:pPr>
            <w:r w:rsidRPr="00895819">
              <w:rPr>
                <w:rFonts w:cs="Times New Roman"/>
                <w:b/>
                <w:lang w:val="sr-Cyrl-CS"/>
              </w:rPr>
              <w:t>МЗ</w:t>
            </w:r>
          </w:p>
        </w:tc>
        <w:tc>
          <w:tcPr>
            <w:tcW w:w="3220" w:type="pct"/>
          </w:tcPr>
          <w:p w14:paraId="4C801979" w14:textId="77777777" w:rsidR="00A072EF" w:rsidRPr="00895819" w:rsidRDefault="00A072EF" w:rsidP="00A072EF">
            <w:pPr>
              <w:pStyle w:val="BodyText"/>
              <w:spacing w:after="0"/>
              <w:rPr>
                <w:lang w:val="sr-Cyrl-CS"/>
              </w:rPr>
            </w:pPr>
            <w:r w:rsidRPr="00895819">
              <w:rPr>
                <w:lang w:val="sr-Cyrl-CS"/>
              </w:rPr>
              <w:t>означава Министарство здравља и било ког правног следбеника.</w:t>
            </w:r>
          </w:p>
        </w:tc>
      </w:tr>
      <w:tr w:rsidR="00A072EF" w:rsidRPr="00895819" w14:paraId="4BB29810" w14:textId="77777777" w:rsidTr="00485361">
        <w:tc>
          <w:tcPr>
            <w:tcW w:w="1780" w:type="pct"/>
          </w:tcPr>
          <w:p w14:paraId="5769C2C8" w14:textId="77777777" w:rsidR="00A072EF" w:rsidRPr="00895819" w:rsidRDefault="00A072EF" w:rsidP="00A072EF">
            <w:pPr>
              <w:pStyle w:val="BodyText"/>
              <w:spacing w:after="0"/>
              <w:rPr>
                <w:rFonts w:cs="Times New Roman"/>
                <w:b/>
                <w:lang w:val="sr-Cyrl-CS"/>
              </w:rPr>
            </w:pPr>
            <w:r w:rsidRPr="00895819">
              <w:rPr>
                <w:rFonts w:cs="Times New Roman"/>
                <w:b/>
                <w:lang w:val="sr-Cyrl-CS"/>
              </w:rPr>
              <w:t>МРЕ</w:t>
            </w:r>
          </w:p>
        </w:tc>
        <w:tc>
          <w:tcPr>
            <w:tcW w:w="3220" w:type="pct"/>
          </w:tcPr>
          <w:p w14:paraId="0F625DBB" w14:textId="77777777" w:rsidR="00A072EF" w:rsidRPr="00895819" w:rsidRDefault="00A072EF" w:rsidP="00A072EF">
            <w:pPr>
              <w:pStyle w:val="BodyText"/>
              <w:spacing w:after="0"/>
              <w:rPr>
                <w:lang w:val="sr-Cyrl-CS"/>
              </w:rPr>
            </w:pPr>
            <w:r w:rsidRPr="00895819">
              <w:rPr>
                <w:lang w:val="sr-Cyrl-CS"/>
              </w:rPr>
              <w:t>означава Министарство рударства и енергетике и било ког правног следбеника.</w:t>
            </w:r>
          </w:p>
        </w:tc>
      </w:tr>
      <w:tr w:rsidR="00A072EF" w:rsidRPr="00895819" w14:paraId="14BC2710" w14:textId="77777777" w:rsidTr="00485361">
        <w:tc>
          <w:tcPr>
            <w:tcW w:w="1780" w:type="pct"/>
          </w:tcPr>
          <w:p w14:paraId="1D808272" w14:textId="77777777" w:rsidR="00A072EF" w:rsidRPr="00895819" w:rsidRDefault="00A072EF" w:rsidP="00A072EF">
            <w:pPr>
              <w:pStyle w:val="BodyText"/>
              <w:spacing w:after="0"/>
              <w:rPr>
                <w:rFonts w:cs="Times New Roman"/>
                <w:b/>
                <w:lang w:val="sr-Cyrl-CS"/>
              </w:rPr>
            </w:pPr>
            <w:r w:rsidRPr="00895819">
              <w:rPr>
                <w:rFonts w:cs="Times New Roman"/>
                <w:b/>
                <w:lang w:val="sr-Cyrl-CS"/>
              </w:rPr>
              <w:t xml:space="preserve">Ненаменско коришћење средстава или имовине АФД </w:t>
            </w:r>
          </w:p>
          <w:p w14:paraId="661900B7" w14:textId="77777777" w:rsidR="00A072EF" w:rsidRPr="00895819" w:rsidRDefault="00A072EF" w:rsidP="00A072EF">
            <w:pPr>
              <w:pStyle w:val="BodyText"/>
              <w:spacing w:after="0"/>
              <w:rPr>
                <w:rFonts w:cs="Times New Roman"/>
                <w:b/>
                <w:lang w:val="sr-Cyrl-CS"/>
              </w:rPr>
            </w:pPr>
          </w:p>
        </w:tc>
        <w:tc>
          <w:tcPr>
            <w:tcW w:w="3220" w:type="pct"/>
          </w:tcPr>
          <w:p w14:paraId="683D5A40" w14:textId="77777777" w:rsidR="00A072EF" w:rsidRPr="00895819" w:rsidRDefault="00A072EF" w:rsidP="00A072EF">
            <w:pPr>
              <w:pStyle w:val="BodyText"/>
              <w:spacing w:after="0"/>
              <w:rPr>
                <w:rFonts w:cs="Times New Roman"/>
                <w:lang w:val="sr-Cyrl-CS"/>
              </w:rPr>
            </w:pPr>
            <w:r w:rsidRPr="00895819">
              <w:rPr>
                <w:lang w:val="sr-Cyrl-CS"/>
              </w:rPr>
              <w:t>означава свесно, намерно и немарно непоштовање, непримерено и/или недозвољено коришћење ресурса, средстава и имовине Зајмодавца.</w:t>
            </w:r>
          </w:p>
        </w:tc>
      </w:tr>
      <w:tr w:rsidR="00A072EF" w:rsidRPr="00895819" w14:paraId="073A5793" w14:textId="77777777" w:rsidTr="00485361">
        <w:tc>
          <w:tcPr>
            <w:tcW w:w="1780" w:type="pct"/>
            <w:tcBorders>
              <w:bottom w:val="single" w:sz="4" w:space="0" w:color="auto"/>
            </w:tcBorders>
          </w:tcPr>
          <w:p w14:paraId="1133542D" w14:textId="77777777" w:rsidR="00A072EF" w:rsidRPr="00895819" w:rsidRDefault="00A072EF" w:rsidP="00A072EF">
            <w:pPr>
              <w:pStyle w:val="BodyText"/>
              <w:spacing w:after="0"/>
              <w:rPr>
                <w:rFonts w:cs="Times New Roman"/>
                <w:b/>
                <w:lang w:val="sr-Cyrl-CS"/>
              </w:rPr>
            </w:pPr>
            <w:r w:rsidRPr="00895819">
              <w:rPr>
                <w:rFonts w:cs="Times New Roman"/>
                <w:b/>
                <w:lang w:val="sr-Cyrl-CS"/>
              </w:rPr>
              <w:t xml:space="preserve">Прање новца </w:t>
            </w:r>
          </w:p>
        </w:tc>
        <w:tc>
          <w:tcPr>
            <w:tcW w:w="3220" w:type="pct"/>
            <w:tcBorders>
              <w:bottom w:val="single" w:sz="4" w:space="0" w:color="auto"/>
            </w:tcBorders>
          </w:tcPr>
          <w:p w14:paraId="79310122" w14:textId="77777777" w:rsidR="00A072EF" w:rsidRPr="00895819" w:rsidRDefault="00A072EF" w:rsidP="00A072EF">
            <w:pPr>
              <w:widowControl w:val="0"/>
              <w:spacing w:line="240" w:lineRule="atLeast"/>
              <w:rPr>
                <w:bCs/>
                <w:lang w:val="sr-Cyrl-CS"/>
              </w:rPr>
            </w:pPr>
            <w:r w:rsidRPr="00895819">
              <w:rPr>
                <w:bCs/>
                <w:lang w:val="sr-Cyrl-CS"/>
              </w:rPr>
              <w:t>означава:</w:t>
            </w:r>
          </w:p>
          <w:p w14:paraId="68057DCB" w14:textId="77777777" w:rsidR="00A072EF" w:rsidRPr="00895819" w:rsidRDefault="00A072EF" w:rsidP="00A072EF">
            <w:pPr>
              <w:pStyle w:val="ListParagraph"/>
              <w:widowControl w:val="0"/>
              <w:numPr>
                <w:ilvl w:val="0"/>
                <w:numId w:val="32"/>
              </w:numPr>
              <w:spacing w:line="240" w:lineRule="atLeast"/>
              <w:ind w:left="457" w:hanging="437"/>
              <w:contextualSpacing/>
              <w:rPr>
                <w:rFonts w:eastAsia="Times New Roman"/>
                <w:bCs/>
                <w:szCs w:val="20"/>
                <w:lang w:val="sr-Cyrl-CS" w:eastAsia="fr-FR"/>
              </w:rPr>
            </w:pPr>
            <w:r w:rsidRPr="00895819">
              <w:rPr>
                <w:rFonts w:eastAsia="Times New Roman"/>
                <w:bCs/>
                <w:szCs w:val="20"/>
                <w:lang w:val="sr-Cyrl-CS" w:eastAsia="fr-FR"/>
              </w:rPr>
              <w:t xml:space="preserve">радњу којом се на било који начин омогућава лажно правдање порекла имовине или прихода починиоца кривичног дела или прекршаја који му је донео директну или индиректну корист; или </w:t>
            </w:r>
          </w:p>
          <w:p w14:paraId="35B7CC1C" w14:textId="77777777" w:rsidR="00A072EF" w:rsidRPr="00895819" w:rsidRDefault="00A072EF" w:rsidP="00A072EF">
            <w:pPr>
              <w:pStyle w:val="ListParagraph"/>
              <w:widowControl w:val="0"/>
              <w:spacing w:line="240" w:lineRule="atLeast"/>
              <w:ind w:left="457"/>
              <w:contextualSpacing/>
              <w:rPr>
                <w:rFonts w:eastAsia="Times New Roman"/>
                <w:bCs/>
                <w:szCs w:val="20"/>
                <w:lang w:val="sr-Cyrl-CS" w:eastAsia="fr-FR"/>
              </w:rPr>
            </w:pPr>
          </w:p>
          <w:p w14:paraId="671E0F35" w14:textId="77777777" w:rsidR="00A072EF" w:rsidRPr="00895819" w:rsidRDefault="00A072EF" w:rsidP="00A072EF">
            <w:pPr>
              <w:pStyle w:val="ListParagraph"/>
              <w:widowControl w:val="0"/>
              <w:numPr>
                <w:ilvl w:val="0"/>
                <w:numId w:val="32"/>
              </w:numPr>
              <w:spacing w:line="240" w:lineRule="atLeast"/>
              <w:ind w:left="457" w:hanging="437"/>
              <w:contextualSpacing/>
              <w:rPr>
                <w:rFonts w:eastAsia="Times New Roman"/>
                <w:bCs/>
                <w:szCs w:val="20"/>
                <w:lang w:val="sr-Cyrl-CS" w:eastAsia="fr-FR"/>
              </w:rPr>
            </w:pPr>
            <w:r w:rsidRPr="00895819">
              <w:rPr>
                <w:szCs w:val="20"/>
                <w:lang w:val="sr-Cyrl-CS"/>
              </w:rPr>
              <w:t>радњу којом се помаже при улагању, прикривању или претварању директне или индиректне зараде стечене кривичном радњом или прекршајем.</w:t>
            </w:r>
          </w:p>
        </w:tc>
      </w:tr>
      <w:tr w:rsidR="00A072EF" w:rsidRPr="00895819" w14:paraId="29F5B703" w14:textId="77777777" w:rsidTr="00485361">
        <w:tc>
          <w:tcPr>
            <w:tcW w:w="1780" w:type="pct"/>
            <w:tcBorders>
              <w:bottom w:val="single" w:sz="4" w:space="0" w:color="auto"/>
            </w:tcBorders>
          </w:tcPr>
          <w:p w14:paraId="643E446B" w14:textId="77777777" w:rsidR="00A072EF" w:rsidRPr="00895819" w:rsidRDefault="00A072EF" w:rsidP="00A072EF">
            <w:pPr>
              <w:pStyle w:val="BodyText"/>
              <w:spacing w:after="0"/>
              <w:rPr>
                <w:rFonts w:cs="Times New Roman"/>
                <w:b/>
                <w:lang w:val="sr-Cyrl-CS"/>
              </w:rPr>
            </w:pPr>
            <w:r w:rsidRPr="00895819">
              <w:rPr>
                <w:rFonts w:cs="Times New Roman"/>
                <w:b/>
                <w:lang w:val="sr-Cyrl-CS"/>
              </w:rPr>
              <w:t>МРВ</w:t>
            </w:r>
          </w:p>
        </w:tc>
        <w:tc>
          <w:tcPr>
            <w:tcW w:w="3220" w:type="pct"/>
            <w:tcBorders>
              <w:bottom w:val="single" w:sz="4" w:space="0" w:color="auto"/>
            </w:tcBorders>
          </w:tcPr>
          <w:p w14:paraId="43D3A88B" w14:textId="25C35ECE" w:rsidR="00A072EF" w:rsidRPr="00895819" w:rsidRDefault="00A072EF" w:rsidP="00A072EF">
            <w:pPr>
              <w:widowControl w:val="0"/>
              <w:spacing w:line="240" w:lineRule="atLeast"/>
              <w:rPr>
                <w:bCs/>
                <w:lang w:val="sr-Cyrl-CS"/>
              </w:rPr>
            </w:pPr>
            <w:r w:rsidRPr="00895819">
              <w:rPr>
                <w:bCs/>
                <w:lang w:val="sr-Cyrl-CS"/>
              </w:rPr>
              <w:t xml:space="preserve">означава Праћење, Извештавање и Верификацију – систем успостављен за праћење </w:t>
            </w:r>
            <w:r w:rsidR="007A6BE0" w:rsidRPr="00895819">
              <w:rPr>
                <w:lang w:val="sr-Cyrl-CS"/>
              </w:rPr>
              <w:t>GHG</w:t>
            </w:r>
            <w:r w:rsidR="007A6BE0" w:rsidRPr="00895819">
              <w:rPr>
                <w:bCs/>
                <w:lang w:val="sr-Cyrl-CS"/>
              </w:rPr>
              <w:t xml:space="preserve"> </w:t>
            </w:r>
            <w:r w:rsidRPr="00895819">
              <w:rPr>
                <w:bCs/>
                <w:lang w:val="sr-Cyrl-CS"/>
              </w:rPr>
              <w:t>емисија и имплементацију климатских политика.</w:t>
            </w:r>
          </w:p>
        </w:tc>
      </w:tr>
      <w:tr w:rsidR="00A072EF" w:rsidRPr="00895819" w14:paraId="0CFDCD1C" w14:textId="77777777" w:rsidTr="00485361">
        <w:tc>
          <w:tcPr>
            <w:tcW w:w="1780" w:type="pct"/>
            <w:tcBorders>
              <w:bottom w:val="single" w:sz="4" w:space="0" w:color="auto"/>
            </w:tcBorders>
          </w:tcPr>
          <w:p w14:paraId="527AB1C0" w14:textId="77777777" w:rsidR="00A072EF" w:rsidRPr="00895819" w:rsidRDefault="00A072EF" w:rsidP="00A072EF">
            <w:pPr>
              <w:pStyle w:val="BodyText"/>
              <w:spacing w:after="0"/>
              <w:rPr>
                <w:rFonts w:cs="Times New Roman"/>
                <w:b/>
                <w:lang w:val="sr-Cyrl-CS"/>
              </w:rPr>
            </w:pPr>
            <w:r w:rsidRPr="00895819">
              <w:rPr>
                <w:rFonts w:cs="Times New Roman"/>
                <w:b/>
                <w:lang w:val="sr-Cyrl-CS"/>
              </w:rPr>
              <w:t xml:space="preserve">НДЦ </w:t>
            </w:r>
          </w:p>
        </w:tc>
        <w:tc>
          <w:tcPr>
            <w:tcW w:w="3220" w:type="pct"/>
            <w:tcBorders>
              <w:bottom w:val="single" w:sz="4" w:space="0" w:color="auto"/>
            </w:tcBorders>
          </w:tcPr>
          <w:p w14:paraId="4801ED6A" w14:textId="77777777" w:rsidR="00A072EF" w:rsidRPr="00895819" w:rsidRDefault="00A072EF" w:rsidP="00A072EF">
            <w:pPr>
              <w:widowControl w:val="0"/>
              <w:spacing w:line="240" w:lineRule="atLeast"/>
              <w:rPr>
                <w:bCs/>
                <w:lang w:val="sr-Cyrl-CS"/>
              </w:rPr>
            </w:pPr>
            <w:r w:rsidRPr="00895819">
              <w:rPr>
                <w:szCs w:val="22"/>
                <w:lang w:val="sr-Cyrl-CS"/>
              </w:rPr>
              <w:t xml:space="preserve">означава национално утврђени допринос у складу са Оквирном конвенцијом Уједињених нација о промени климе. </w:t>
            </w:r>
          </w:p>
        </w:tc>
      </w:tr>
      <w:tr w:rsidR="00A072EF" w:rsidRPr="00895819" w14:paraId="026E987D" w14:textId="77777777" w:rsidTr="00485361">
        <w:tc>
          <w:tcPr>
            <w:tcW w:w="1780" w:type="pct"/>
            <w:tcBorders>
              <w:bottom w:val="single" w:sz="4" w:space="0" w:color="auto"/>
            </w:tcBorders>
          </w:tcPr>
          <w:p w14:paraId="7FB2573A" w14:textId="77777777" w:rsidR="00A072EF" w:rsidRPr="00895819" w:rsidRDefault="00A072EF" w:rsidP="00A072EF">
            <w:pPr>
              <w:pStyle w:val="BodyText"/>
              <w:spacing w:after="0"/>
              <w:rPr>
                <w:rFonts w:cs="Times New Roman"/>
                <w:b/>
                <w:lang w:val="sr-Cyrl-CS"/>
              </w:rPr>
            </w:pPr>
            <w:r w:rsidRPr="00895819">
              <w:rPr>
                <w:rFonts w:cs="Times New Roman"/>
                <w:b/>
                <w:lang w:val="sr-Cyrl-CS"/>
              </w:rPr>
              <w:t>Радња ометања сарадње</w:t>
            </w:r>
          </w:p>
          <w:p w14:paraId="77C944C7" w14:textId="77777777" w:rsidR="00A072EF" w:rsidRPr="00895819" w:rsidRDefault="00A072EF" w:rsidP="00A072EF">
            <w:pPr>
              <w:widowControl w:val="0"/>
              <w:spacing w:line="240" w:lineRule="atLeast"/>
              <w:rPr>
                <w:rFonts w:ascii="Arial" w:hAnsi="Arial" w:cs="Arial"/>
                <w:sz w:val="20"/>
                <w:lang w:val="sr-Cyrl-CS"/>
              </w:rPr>
            </w:pPr>
          </w:p>
          <w:p w14:paraId="7F60781B" w14:textId="77777777" w:rsidR="00A072EF" w:rsidRPr="00895819" w:rsidRDefault="00A072EF" w:rsidP="00A072EF">
            <w:pPr>
              <w:widowControl w:val="0"/>
              <w:spacing w:line="240" w:lineRule="atLeast"/>
              <w:rPr>
                <w:rFonts w:ascii="Arial" w:hAnsi="Arial" w:cs="Arial"/>
                <w:sz w:val="20"/>
                <w:lang w:val="sr-Cyrl-CS"/>
              </w:rPr>
            </w:pPr>
          </w:p>
          <w:p w14:paraId="32ECA0B7" w14:textId="77777777" w:rsidR="00A072EF" w:rsidRPr="00895819" w:rsidRDefault="00A072EF" w:rsidP="00A072EF">
            <w:pPr>
              <w:widowControl w:val="0"/>
              <w:spacing w:line="240" w:lineRule="atLeast"/>
              <w:rPr>
                <w:rFonts w:ascii="Arial" w:hAnsi="Arial" w:cs="Arial"/>
                <w:sz w:val="20"/>
                <w:lang w:val="sr-Cyrl-CS"/>
              </w:rPr>
            </w:pPr>
          </w:p>
          <w:p w14:paraId="3ADE5E87" w14:textId="77777777" w:rsidR="00A072EF" w:rsidRPr="00895819" w:rsidRDefault="00A072EF" w:rsidP="00A072EF">
            <w:pPr>
              <w:widowControl w:val="0"/>
              <w:spacing w:line="240" w:lineRule="atLeast"/>
              <w:rPr>
                <w:rFonts w:ascii="Arial" w:hAnsi="Arial" w:cs="Arial"/>
                <w:sz w:val="20"/>
                <w:lang w:val="sr-Cyrl-CS"/>
              </w:rPr>
            </w:pPr>
          </w:p>
          <w:p w14:paraId="7FDD36E8" w14:textId="77777777" w:rsidR="00A072EF" w:rsidRPr="00895819" w:rsidRDefault="00A072EF" w:rsidP="00A072EF">
            <w:pPr>
              <w:widowControl w:val="0"/>
              <w:spacing w:line="240" w:lineRule="atLeast"/>
              <w:rPr>
                <w:rFonts w:ascii="Arial" w:hAnsi="Arial" w:cs="Arial"/>
                <w:sz w:val="20"/>
                <w:lang w:val="sr-Cyrl-CS"/>
              </w:rPr>
            </w:pPr>
          </w:p>
          <w:p w14:paraId="649068A0" w14:textId="77777777" w:rsidR="00A072EF" w:rsidRPr="00895819" w:rsidRDefault="00A072EF" w:rsidP="00A072EF">
            <w:pPr>
              <w:widowControl w:val="0"/>
              <w:spacing w:line="240" w:lineRule="atLeast"/>
              <w:rPr>
                <w:rFonts w:ascii="Arial" w:hAnsi="Arial" w:cs="Arial"/>
                <w:sz w:val="20"/>
                <w:lang w:val="sr-Cyrl-CS"/>
              </w:rPr>
            </w:pPr>
          </w:p>
          <w:p w14:paraId="130AB631" w14:textId="77777777" w:rsidR="00A072EF" w:rsidRPr="00895819" w:rsidRDefault="00A072EF" w:rsidP="00A072EF">
            <w:pPr>
              <w:widowControl w:val="0"/>
              <w:spacing w:line="240" w:lineRule="atLeast"/>
              <w:rPr>
                <w:rFonts w:ascii="Arial" w:hAnsi="Arial" w:cs="Arial"/>
                <w:sz w:val="20"/>
                <w:lang w:val="sr-Cyrl-CS"/>
              </w:rPr>
            </w:pPr>
          </w:p>
          <w:p w14:paraId="1CFC3724" w14:textId="77777777" w:rsidR="00A072EF" w:rsidRPr="00895819" w:rsidRDefault="00A072EF" w:rsidP="00A072EF">
            <w:pPr>
              <w:widowControl w:val="0"/>
              <w:spacing w:line="240" w:lineRule="atLeast"/>
              <w:rPr>
                <w:rFonts w:ascii="Arial" w:hAnsi="Arial" w:cs="Arial"/>
                <w:sz w:val="20"/>
                <w:lang w:val="sr-Cyrl-CS"/>
              </w:rPr>
            </w:pPr>
          </w:p>
          <w:p w14:paraId="12DC228B" w14:textId="77777777" w:rsidR="00A072EF" w:rsidRPr="00895819" w:rsidRDefault="00A072EF" w:rsidP="00A072EF">
            <w:pPr>
              <w:widowControl w:val="0"/>
              <w:spacing w:line="240" w:lineRule="atLeast"/>
              <w:rPr>
                <w:rFonts w:ascii="Arial" w:hAnsi="Arial" w:cs="Arial"/>
                <w:sz w:val="20"/>
                <w:lang w:val="sr-Cyrl-CS"/>
              </w:rPr>
            </w:pPr>
          </w:p>
          <w:p w14:paraId="2225E665" w14:textId="77777777" w:rsidR="00A072EF" w:rsidRPr="00895819" w:rsidRDefault="00A072EF" w:rsidP="00A072EF">
            <w:pPr>
              <w:widowControl w:val="0"/>
              <w:spacing w:line="240" w:lineRule="atLeast"/>
              <w:rPr>
                <w:rFonts w:ascii="Arial" w:hAnsi="Arial" w:cs="Arial"/>
                <w:sz w:val="20"/>
                <w:lang w:val="sr-Cyrl-CS"/>
              </w:rPr>
            </w:pPr>
          </w:p>
          <w:p w14:paraId="23047780" w14:textId="77777777" w:rsidR="00A072EF" w:rsidRPr="00895819" w:rsidRDefault="00A072EF" w:rsidP="00A072EF">
            <w:pPr>
              <w:widowControl w:val="0"/>
              <w:spacing w:line="240" w:lineRule="atLeast"/>
              <w:rPr>
                <w:rFonts w:ascii="Arial" w:hAnsi="Arial" w:cs="Arial"/>
                <w:sz w:val="20"/>
                <w:lang w:val="sr-Cyrl-CS"/>
              </w:rPr>
            </w:pPr>
          </w:p>
          <w:p w14:paraId="7D6935EC" w14:textId="77777777" w:rsidR="00A072EF" w:rsidRPr="00895819" w:rsidRDefault="00A072EF" w:rsidP="00A072EF">
            <w:pPr>
              <w:widowControl w:val="0"/>
              <w:spacing w:line="240" w:lineRule="atLeast"/>
              <w:rPr>
                <w:rFonts w:ascii="Arial" w:hAnsi="Arial" w:cs="Arial"/>
                <w:sz w:val="20"/>
                <w:lang w:val="sr-Cyrl-CS"/>
              </w:rPr>
            </w:pPr>
          </w:p>
          <w:p w14:paraId="4846A96D" w14:textId="77777777" w:rsidR="00A072EF" w:rsidRPr="00895819" w:rsidRDefault="00A072EF" w:rsidP="00A072EF">
            <w:pPr>
              <w:pStyle w:val="BodyText"/>
              <w:spacing w:after="0"/>
              <w:rPr>
                <w:rFonts w:cs="Times New Roman"/>
                <w:b/>
                <w:lang w:val="sr-Cyrl-CS"/>
              </w:rPr>
            </w:pPr>
          </w:p>
        </w:tc>
        <w:tc>
          <w:tcPr>
            <w:tcW w:w="3220" w:type="pct"/>
            <w:tcBorders>
              <w:bottom w:val="single" w:sz="4" w:space="0" w:color="auto"/>
            </w:tcBorders>
          </w:tcPr>
          <w:p w14:paraId="59DE9CD4" w14:textId="77777777" w:rsidR="00A072EF" w:rsidRPr="00895819" w:rsidRDefault="00A072EF" w:rsidP="00A072EF">
            <w:pPr>
              <w:widowControl w:val="0"/>
              <w:spacing w:line="240" w:lineRule="atLeast"/>
              <w:rPr>
                <w:bCs/>
                <w:lang w:val="sr-Cyrl-CS"/>
              </w:rPr>
            </w:pPr>
            <w:r w:rsidRPr="00895819">
              <w:rPr>
                <w:bCs/>
                <w:lang w:val="sr-Cyrl-CS"/>
              </w:rPr>
              <w:t>означава:</w:t>
            </w:r>
          </w:p>
          <w:p w14:paraId="4C334FE0" w14:textId="77777777" w:rsidR="00A072EF" w:rsidRPr="00895819" w:rsidRDefault="00A072EF" w:rsidP="00A072EF">
            <w:pPr>
              <w:pStyle w:val="ListParagraph"/>
              <w:widowControl w:val="0"/>
              <w:numPr>
                <w:ilvl w:val="0"/>
                <w:numId w:val="31"/>
              </w:numPr>
              <w:spacing w:line="240" w:lineRule="atLeast"/>
              <w:ind w:hanging="539"/>
              <w:contextualSpacing/>
              <w:rPr>
                <w:rFonts w:eastAsia="Times New Roman"/>
                <w:bCs/>
                <w:szCs w:val="20"/>
                <w:lang w:val="sr-Cyrl-CS" w:eastAsia="fr-FR"/>
              </w:rPr>
            </w:pPr>
            <w:r w:rsidRPr="00895819">
              <w:rPr>
                <w:rFonts w:eastAsia="Times New Roman"/>
                <w:bCs/>
                <w:szCs w:val="20"/>
                <w:lang w:val="sr-Cyrl-CS" w:eastAsia="fr-FR"/>
              </w:rPr>
              <w:t>радњу уништавања, фалсификовања, измене, прикривања или неоправданог ускраћивања доказа или било којих других информација, докумената или евиденције који се желе открити у вези са истрагом Зајмодавца о наводима о забрањеним праксама да би се материјално ометала истрага; или давање лажних изјава како би се материјално ометала истрага навода о забрањеним праксама; или</w:t>
            </w:r>
          </w:p>
          <w:p w14:paraId="678C1C90" w14:textId="77777777" w:rsidR="00A072EF" w:rsidRPr="00895819" w:rsidRDefault="00A072EF" w:rsidP="00A072EF">
            <w:pPr>
              <w:pStyle w:val="ListParagraph"/>
              <w:widowControl w:val="0"/>
              <w:spacing w:line="240" w:lineRule="atLeast"/>
              <w:rPr>
                <w:rFonts w:eastAsia="Times New Roman"/>
                <w:bCs/>
                <w:szCs w:val="20"/>
                <w:lang w:val="sr-Cyrl-CS" w:eastAsia="fr-FR"/>
              </w:rPr>
            </w:pPr>
          </w:p>
          <w:p w14:paraId="0530B880" w14:textId="77777777" w:rsidR="00A072EF" w:rsidRPr="00895819" w:rsidRDefault="00A072EF" w:rsidP="00A072EF">
            <w:pPr>
              <w:pStyle w:val="ListParagraph"/>
              <w:widowControl w:val="0"/>
              <w:numPr>
                <w:ilvl w:val="0"/>
                <w:numId w:val="31"/>
              </w:numPr>
              <w:spacing w:line="240" w:lineRule="atLeast"/>
              <w:ind w:hanging="539"/>
              <w:contextualSpacing/>
              <w:rPr>
                <w:rFonts w:eastAsia="Times New Roman"/>
                <w:bCs/>
                <w:szCs w:val="20"/>
                <w:lang w:val="sr-Cyrl-CS" w:eastAsia="fr-FR"/>
              </w:rPr>
            </w:pPr>
            <w:r w:rsidRPr="00895819">
              <w:rPr>
                <w:rFonts w:eastAsia="Times New Roman"/>
                <w:bCs/>
                <w:szCs w:val="20"/>
                <w:lang w:val="sr-Cyrl-CS" w:eastAsia="fr-FR"/>
              </w:rPr>
              <w:t>чин претње, узнемиравања или застрашивања било које стране како би се спречило откривања информација које се односе на истрагу коју води Зајмодавац, или наставак истраге; или</w:t>
            </w:r>
          </w:p>
          <w:p w14:paraId="3922C777" w14:textId="77777777" w:rsidR="00A072EF" w:rsidRPr="00895819" w:rsidRDefault="00A072EF" w:rsidP="00A072EF">
            <w:pPr>
              <w:pStyle w:val="ListParagraph"/>
              <w:widowControl w:val="0"/>
              <w:spacing w:line="240" w:lineRule="atLeast"/>
              <w:rPr>
                <w:rFonts w:eastAsia="Times New Roman"/>
                <w:bCs/>
                <w:szCs w:val="20"/>
                <w:lang w:val="sr-Cyrl-CS" w:eastAsia="fr-FR"/>
              </w:rPr>
            </w:pPr>
          </w:p>
          <w:p w14:paraId="064AE638" w14:textId="77777777" w:rsidR="00A072EF" w:rsidRPr="00895819" w:rsidRDefault="00A072EF" w:rsidP="00A072EF">
            <w:pPr>
              <w:pStyle w:val="ListParagraph"/>
              <w:widowControl w:val="0"/>
              <w:numPr>
                <w:ilvl w:val="0"/>
                <w:numId w:val="31"/>
              </w:numPr>
              <w:spacing w:line="240" w:lineRule="atLeast"/>
              <w:ind w:hanging="539"/>
              <w:contextualSpacing/>
              <w:rPr>
                <w:rFonts w:eastAsia="Times New Roman"/>
                <w:bCs/>
                <w:szCs w:val="20"/>
                <w:lang w:val="sr-Cyrl-CS" w:eastAsia="fr-FR"/>
              </w:rPr>
            </w:pPr>
            <w:r w:rsidRPr="00895819">
              <w:rPr>
                <w:rFonts w:eastAsia="Times New Roman"/>
                <w:bCs/>
                <w:szCs w:val="20"/>
                <w:lang w:val="sr-Cyrl-CS" w:eastAsia="fr-FR"/>
              </w:rPr>
              <w:t xml:space="preserve">свака радња предузета у циљу материјалног ометања Зајмодавца у остваривању његових уговорних права на ревизију, инспекцију или приступ информацијама у контексту истраге засноване на наводима о забрањеним праксама. </w:t>
            </w:r>
          </w:p>
        </w:tc>
      </w:tr>
      <w:tr w:rsidR="00A072EF" w:rsidRPr="00895819" w14:paraId="0CE8DB9E" w14:textId="77777777" w:rsidTr="004F2BDA">
        <w:tc>
          <w:tcPr>
            <w:tcW w:w="1780" w:type="pct"/>
          </w:tcPr>
          <w:p w14:paraId="67DC91FB" w14:textId="77777777" w:rsidR="00A072EF" w:rsidRPr="00895819" w:rsidRDefault="00A072EF" w:rsidP="00A072EF">
            <w:pPr>
              <w:pStyle w:val="BodyText"/>
              <w:spacing w:after="0"/>
              <w:rPr>
                <w:rFonts w:cs="Times New Roman"/>
                <w:b/>
                <w:lang w:val="sr-Cyrl-CS"/>
              </w:rPr>
            </w:pPr>
            <w:r w:rsidRPr="00895819">
              <w:rPr>
                <w:rFonts w:cs="Times New Roman"/>
                <w:b/>
                <w:lang w:val="sr-Cyrl-CS"/>
              </w:rPr>
              <w:lastRenderedPageBreak/>
              <w:t>Операција</w:t>
            </w:r>
          </w:p>
        </w:tc>
        <w:tc>
          <w:tcPr>
            <w:tcW w:w="3220" w:type="pct"/>
          </w:tcPr>
          <w:p w14:paraId="13D92839" w14:textId="70E91460" w:rsidR="00A072EF" w:rsidRPr="00895819" w:rsidRDefault="00A072EF" w:rsidP="00A072EF">
            <w:pPr>
              <w:widowControl w:val="0"/>
              <w:spacing w:line="240" w:lineRule="atLeast"/>
              <w:rPr>
                <w:bCs/>
                <w:lang w:val="sr-Cyrl-CS"/>
              </w:rPr>
            </w:pPr>
            <w:r w:rsidRPr="00895819">
              <w:rPr>
                <w:lang w:val="sr-Cyrl-CS"/>
              </w:rPr>
              <w:t>означава операцију која се састоји из Програма и Техничке помоћи описане у Прилогу 2 (</w:t>
            </w:r>
            <w:r w:rsidR="00C804D3" w:rsidRPr="00895819">
              <w:rPr>
                <w:i/>
                <w:iCs/>
                <w:lang w:val="sr-Cyrl-CS"/>
              </w:rPr>
              <w:t>Опис О</w:t>
            </w:r>
            <w:r w:rsidRPr="00895819">
              <w:rPr>
                <w:i/>
                <w:iCs/>
                <w:lang w:val="sr-Cyrl-CS"/>
              </w:rPr>
              <w:t>перације</w:t>
            </w:r>
            <w:r w:rsidRPr="00895819">
              <w:rPr>
                <w:lang w:val="sr-Cyrl-CS"/>
              </w:rPr>
              <w:t>).</w:t>
            </w:r>
          </w:p>
        </w:tc>
      </w:tr>
      <w:tr w:rsidR="00A072EF" w:rsidRPr="00895819" w14:paraId="2D8C6C83" w14:textId="77777777" w:rsidTr="004F2BDA">
        <w:tc>
          <w:tcPr>
            <w:tcW w:w="1780" w:type="pct"/>
          </w:tcPr>
          <w:p w14:paraId="5C3DE5C2" w14:textId="77777777" w:rsidR="00A072EF" w:rsidRPr="00895819" w:rsidRDefault="00A072EF" w:rsidP="00A072EF">
            <w:pPr>
              <w:pStyle w:val="BodyText"/>
              <w:spacing w:after="0"/>
              <w:rPr>
                <w:rFonts w:cs="Times New Roman"/>
                <w:b/>
                <w:lang w:val="sr-Cyrl-CS"/>
              </w:rPr>
            </w:pPr>
            <w:r w:rsidRPr="00895819">
              <w:rPr>
                <w:rFonts w:cs="Times New Roman"/>
                <w:b/>
                <w:lang w:val="sr-Cyrl-CS"/>
              </w:rPr>
              <w:t>Датум завршетка Операције</w:t>
            </w:r>
          </w:p>
        </w:tc>
        <w:tc>
          <w:tcPr>
            <w:tcW w:w="3220" w:type="pct"/>
          </w:tcPr>
          <w:p w14:paraId="4DA42781" w14:textId="04752C78" w:rsidR="00A072EF" w:rsidRPr="00895819" w:rsidRDefault="00A072EF" w:rsidP="00A072EF">
            <w:pPr>
              <w:widowControl w:val="0"/>
              <w:spacing w:line="240" w:lineRule="atLeast"/>
              <w:rPr>
                <w:bCs/>
                <w:lang w:val="sr-Cyrl-CS"/>
              </w:rPr>
            </w:pPr>
            <w:r w:rsidRPr="00895819">
              <w:rPr>
                <w:lang w:val="sr-Cyrl-CS"/>
              </w:rPr>
              <w:t>означава датум техничког окончања Операције који се очекује 31. децембра 2026.</w:t>
            </w:r>
            <w:r w:rsidR="00013E8C" w:rsidRPr="00895819">
              <w:rPr>
                <w:lang w:val="sr-Cyrl-CS"/>
              </w:rPr>
              <w:t xml:space="preserve"> године.</w:t>
            </w:r>
          </w:p>
        </w:tc>
      </w:tr>
      <w:tr w:rsidR="00A072EF" w:rsidRPr="00895819" w14:paraId="7B2E3F02" w14:textId="77777777" w:rsidTr="00485361">
        <w:tc>
          <w:tcPr>
            <w:tcW w:w="1780" w:type="pct"/>
          </w:tcPr>
          <w:p w14:paraId="7F2B9F99" w14:textId="77777777" w:rsidR="00A072EF" w:rsidRPr="00895819" w:rsidRDefault="00A072EF" w:rsidP="00A072EF">
            <w:pPr>
              <w:pStyle w:val="BodyText"/>
              <w:spacing w:after="0"/>
              <w:rPr>
                <w:rFonts w:cs="Times New Roman"/>
                <w:b/>
                <w:lang w:val="sr-Cyrl-CS"/>
              </w:rPr>
            </w:pPr>
            <w:r w:rsidRPr="00895819">
              <w:rPr>
                <w:rFonts w:cs="Times New Roman"/>
                <w:b/>
                <w:lang w:val="sr-Cyrl-CS"/>
              </w:rPr>
              <w:t>Јединица за координацију Операције или ЈКО</w:t>
            </w:r>
          </w:p>
        </w:tc>
        <w:tc>
          <w:tcPr>
            <w:tcW w:w="3220" w:type="pct"/>
          </w:tcPr>
          <w:p w14:paraId="4796B1C2" w14:textId="54237A4D" w:rsidR="00A072EF" w:rsidRPr="00895819" w:rsidRDefault="00A072EF" w:rsidP="00A072EF">
            <w:pPr>
              <w:pStyle w:val="BodyText"/>
              <w:spacing w:after="0"/>
              <w:rPr>
                <w:rFonts w:cs="Times New Roman"/>
                <w:lang w:val="sr-Cyrl-CS"/>
              </w:rPr>
            </w:pPr>
            <w:r w:rsidRPr="00895819">
              <w:rPr>
                <w:rFonts w:cs="Times New Roman"/>
                <w:lang w:val="sr-Cyrl-CS"/>
              </w:rPr>
              <w:t xml:space="preserve">означава јединицу при МФ из члана </w:t>
            </w:r>
            <w:r w:rsidR="00013E8C" w:rsidRPr="00895819">
              <w:rPr>
                <w:szCs w:val="22"/>
                <w:lang w:val="sr-Cyrl-CS"/>
              </w:rPr>
              <w:t>11.16 (б</w:t>
            </w:r>
            <w:r w:rsidRPr="00895819">
              <w:rPr>
                <w:szCs w:val="22"/>
                <w:lang w:val="sr-Cyrl-CS"/>
              </w:rPr>
              <w:t xml:space="preserve">) овог </w:t>
            </w:r>
            <w:r w:rsidR="00892068" w:rsidRPr="00895819">
              <w:rPr>
                <w:szCs w:val="22"/>
                <w:lang w:val="sr-Cyrl-CS"/>
              </w:rPr>
              <w:t>у</w:t>
            </w:r>
            <w:r w:rsidRPr="00895819">
              <w:rPr>
                <w:szCs w:val="22"/>
                <w:lang w:val="sr-Cyrl-CS"/>
              </w:rPr>
              <w:t>говора.</w:t>
            </w:r>
          </w:p>
        </w:tc>
      </w:tr>
      <w:tr w:rsidR="00A072EF" w:rsidRPr="00895819" w14:paraId="5F4C3155" w14:textId="77777777" w:rsidTr="00485361">
        <w:tc>
          <w:tcPr>
            <w:tcW w:w="1780" w:type="pct"/>
          </w:tcPr>
          <w:p w14:paraId="38342045" w14:textId="0AA0F5B1" w:rsidR="00A072EF" w:rsidRPr="00895819" w:rsidRDefault="00A072EF" w:rsidP="00013E8C">
            <w:pPr>
              <w:pStyle w:val="BodyText"/>
              <w:spacing w:after="0"/>
              <w:rPr>
                <w:rFonts w:cs="Times New Roman"/>
                <w:b/>
                <w:lang w:val="sr-Cyrl-CS"/>
              </w:rPr>
            </w:pPr>
            <w:r w:rsidRPr="00895819">
              <w:rPr>
                <w:rFonts w:cs="Times New Roman"/>
                <w:b/>
                <w:lang w:val="sr-Cyrl-CS"/>
              </w:rPr>
              <w:t xml:space="preserve">Приручник за имплементацију Операције </w:t>
            </w:r>
            <w:r w:rsidRPr="00895819">
              <w:rPr>
                <w:rFonts w:cs="Times New Roman"/>
                <w:b/>
                <w:i/>
                <w:iCs/>
                <w:lang w:val="sr-Cyrl-CS"/>
              </w:rPr>
              <w:t>или</w:t>
            </w:r>
            <w:r w:rsidRPr="00895819">
              <w:rPr>
                <w:rFonts w:cs="Times New Roman"/>
                <w:b/>
                <w:lang w:val="sr-Cyrl-CS"/>
              </w:rPr>
              <w:t xml:space="preserve"> O</w:t>
            </w:r>
            <w:r w:rsidR="00013E8C" w:rsidRPr="00895819">
              <w:rPr>
                <w:rFonts w:cs="Times New Roman"/>
                <w:b/>
                <w:lang w:val="sr-Cyrl-CS"/>
              </w:rPr>
              <w:t>И</w:t>
            </w:r>
            <w:r w:rsidRPr="00895819">
              <w:rPr>
                <w:rFonts w:cs="Times New Roman"/>
                <w:b/>
                <w:lang w:val="sr-Cyrl-CS"/>
              </w:rPr>
              <w:t>M</w:t>
            </w:r>
          </w:p>
        </w:tc>
        <w:tc>
          <w:tcPr>
            <w:tcW w:w="3220" w:type="pct"/>
          </w:tcPr>
          <w:p w14:paraId="42C6CA50" w14:textId="77777777" w:rsidR="00A072EF" w:rsidRPr="00895819" w:rsidRDefault="00A072EF" w:rsidP="00A072EF">
            <w:pPr>
              <w:pStyle w:val="BodyText"/>
              <w:spacing w:after="0"/>
              <w:rPr>
                <w:rFonts w:cs="Times New Roman"/>
                <w:lang w:val="sr-Cyrl-CS"/>
              </w:rPr>
            </w:pPr>
            <w:r w:rsidRPr="00895819">
              <w:rPr>
                <w:rFonts w:cs="Times New Roman"/>
                <w:lang w:val="sr-Cyrl-CS"/>
              </w:rPr>
              <w:t>означава документ који дефинише протоколе за верификацију ДЛИ програма, поступак њихове верификације, захтеве за техничко и финансијско извештавање, као и све друге техничке, социјалне, еколошке, фидуцијарне и друге обавезе везане за Операцију и неопходне за адекватну имплементацију Операције.</w:t>
            </w:r>
          </w:p>
        </w:tc>
      </w:tr>
      <w:tr w:rsidR="00A072EF" w:rsidRPr="00895819" w14:paraId="2C682BA2" w14:textId="77777777" w:rsidTr="00485361">
        <w:tc>
          <w:tcPr>
            <w:tcW w:w="1780" w:type="pct"/>
          </w:tcPr>
          <w:p w14:paraId="090D74A8" w14:textId="77777777" w:rsidR="00A072EF" w:rsidRPr="00895819" w:rsidRDefault="00A072EF" w:rsidP="00A072EF">
            <w:pPr>
              <w:pStyle w:val="BodyText"/>
              <w:spacing w:after="0"/>
              <w:rPr>
                <w:rFonts w:cs="Times New Roman"/>
                <w:lang w:val="sr-Cyrl-CS"/>
              </w:rPr>
            </w:pPr>
            <w:r w:rsidRPr="00895819">
              <w:rPr>
                <w:rFonts w:cs="Times New Roman"/>
                <w:b/>
                <w:lang w:val="sr-Cyrl-CS"/>
              </w:rPr>
              <w:t>Неизмирена главница</w:t>
            </w:r>
          </w:p>
        </w:tc>
        <w:tc>
          <w:tcPr>
            <w:tcW w:w="3220" w:type="pct"/>
          </w:tcPr>
          <w:p w14:paraId="6440FE49" w14:textId="77777777" w:rsidR="00A072EF" w:rsidRPr="00895819" w:rsidRDefault="00A072EF" w:rsidP="00A072EF">
            <w:pPr>
              <w:pStyle w:val="BodyText"/>
              <w:spacing w:after="0"/>
              <w:rPr>
                <w:rFonts w:cs="Times New Roman"/>
                <w:lang w:val="sr-Cyrl-CS"/>
              </w:rPr>
            </w:pPr>
            <w:r w:rsidRPr="00895819">
              <w:rPr>
                <w:rFonts w:cs="Times New Roman"/>
                <w:lang w:val="sr-Cyrl-CS"/>
              </w:rPr>
              <w:t>означава, у вези са било којим Повлачењем средстава, Неизмирену главницу доспелу по основу таквог Повлачења средстава, која одговара износу повлачења које је Зајмодавац исплатио Зајмопримцу, умањену за укупан износ рата главнице које је Зајмопримац отплатио Зајмодавцу у односу на такво Повлачење средстава.</w:t>
            </w:r>
          </w:p>
        </w:tc>
      </w:tr>
      <w:tr w:rsidR="00A072EF" w:rsidRPr="00895819" w14:paraId="7D537733" w14:textId="77777777" w:rsidTr="00485361">
        <w:tc>
          <w:tcPr>
            <w:tcW w:w="1780" w:type="pct"/>
          </w:tcPr>
          <w:p w14:paraId="335EBC05" w14:textId="77777777" w:rsidR="00A072EF" w:rsidRPr="00895819" w:rsidRDefault="00A072EF" w:rsidP="00A072EF">
            <w:pPr>
              <w:pStyle w:val="BodyText"/>
              <w:spacing w:after="0"/>
              <w:rPr>
                <w:rFonts w:cs="Times New Roman"/>
                <w:lang w:val="sr-Cyrl-CS"/>
              </w:rPr>
            </w:pPr>
            <w:r w:rsidRPr="00895819">
              <w:rPr>
                <w:rFonts w:cs="Times New Roman"/>
                <w:b/>
                <w:lang w:val="sr-Cyrl-CS"/>
              </w:rPr>
              <w:t>Датуми плаћања</w:t>
            </w:r>
          </w:p>
        </w:tc>
        <w:tc>
          <w:tcPr>
            <w:tcW w:w="3220" w:type="pct"/>
          </w:tcPr>
          <w:p w14:paraId="545FE14F" w14:textId="77777777" w:rsidR="00A072EF" w:rsidRPr="00895819" w:rsidRDefault="00A072EF" w:rsidP="00A072EF">
            <w:pPr>
              <w:pStyle w:val="BodyText"/>
              <w:spacing w:after="0"/>
              <w:rPr>
                <w:rFonts w:cs="Times New Roman"/>
                <w:lang w:val="sr-Cyrl-CS"/>
              </w:rPr>
            </w:pPr>
            <w:r w:rsidRPr="00895819">
              <w:rPr>
                <w:rFonts w:cs="Times New Roman"/>
                <w:lang w:val="sr-Cyrl-CS"/>
              </w:rPr>
              <w:t>означава 15. април и 15. октобар сваке године.</w:t>
            </w:r>
          </w:p>
        </w:tc>
      </w:tr>
      <w:tr w:rsidR="00A072EF" w:rsidRPr="00895819" w14:paraId="30CDA44A" w14:textId="77777777" w:rsidTr="00485361">
        <w:tc>
          <w:tcPr>
            <w:tcW w:w="1780" w:type="pct"/>
          </w:tcPr>
          <w:p w14:paraId="0610E820" w14:textId="77777777" w:rsidR="00A072EF" w:rsidRPr="00895819" w:rsidRDefault="00A072EF" w:rsidP="00A072EF">
            <w:pPr>
              <w:pStyle w:val="BodyText"/>
              <w:spacing w:after="0"/>
              <w:rPr>
                <w:rFonts w:cs="Times New Roman"/>
                <w:b/>
                <w:lang w:val="sr-Cyrl-CS"/>
              </w:rPr>
            </w:pPr>
            <w:r w:rsidRPr="00895819">
              <w:rPr>
                <w:rFonts w:cs="Times New Roman"/>
                <w:b/>
                <w:lang w:val="sr-Cyrl-CS"/>
              </w:rPr>
              <w:t>Случај поремећаја платног промета</w:t>
            </w:r>
          </w:p>
        </w:tc>
        <w:tc>
          <w:tcPr>
            <w:tcW w:w="3220" w:type="pct"/>
          </w:tcPr>
          <w:p w14:paraId="51A5CC32" w14:textId="77777777" w:rsidR="00A072EF" w:rsidRPr="00895819" w:rsidRDefault="00A072EF" w:rsidP="00A072EF">
            <w:pPr>
              <w:pStyle w:val="BodyText"/>
              <w:spacing w:after="0"/>
              <w:rPr>
                <w:rFonts w:cs="Times New Roman"/>
                <w:lang w:val="sr-Cyrl-CS"/>
              </w:rPr>
            </w:pPr>
            <w:r w:rsidRPr="00895819">
              <w:rPr>
                <w:rFonts w:cs="Times New Roman"/>
                <w:lang w:val="sr-Cyrl-CS"/>
              </w:rPr>
              <w:t xml:space="preserve">означава један или оба следећа случаја: </w:t>
            </w:r>
          </w:p>
          <w:p w14:paraId="60977952" w14:textId="62F5ED87" w:rsidR="00A072EF" w:rsidRPr="00895819" w:rsidRDefault="00013E8C" w:rsidP="00013E8C">
            <w:pPr>
              <w:pStyle w:val="Num4"/>
              <w:numPr>
                <w:ilvl w:val="0"/>
                <w:numId w:val="0"/>
              </w:numPr>
              <w:spacing w:after="0"/>
              <w:ind w:left="421" w:hanging="421"/>
              <w:rPr>
                <w:lang w:val="sr-Cyrl-CS"/>
              </w:rPr>
            </w:pPr>
            <w:r w:rsidRPr="00895819">
              <w:rPr>
                <w:lang w:val="sr-Cyrl-CS"/>
              </w:rPr>
              <w:t>(а)</w:t>
            </w:r>
            <w:r w:rsidRPr="00895819">
              <w:rPr>
                <w:lang w:val="sr-Cyrl-CS"/>
              </w:rPr>
              <w:tab/>
            </w:r>
            <w:r w:rsidR="00A072EF" w:rsidRPr="00895819">
              <w:rPr>
                <w:lang w:val="sr-Cyrl-CS"/>
              </w:rPr>
              <w:t xml:space="preserve">суштински поремећај платних или комуникационих система или финансијских тржишта који је, у сваком случају, потребан како би се извршило плаћање у вези са Кредитом (или на други начин ради трансакција предвиђених овим </w:t>
            </w:r>
            <w:r w:rsidR="00892068" w:rsidRPr="00895819">
              <w:rPr>
                <w:lang w:val="sr-Cyrl-CS"/>
              </w:rPr>
              <w:t>у</w:t>
            </w:r>
            <w:r w:rsidR="00A072EF" w:rsidRPr="00895819">
              <w:rPr>
                <w:lang w:val="sr-Cyrl-CS"/>
              </w:rPr>
              <w:t xml:space="preserve">говором), под условом да прекид није узроковала било која Страна и да је ван њихове контроле; или </w:t>
            </w:r>
          </w:p>
          <w:p w14:paraId="2E1632DB" w14:textId="340D6BAF" w:rsidR="00A072EF" w:rsidRPr="00895819" w:rsidRDefault="00013E8C" w:rsidP="00013E8C">
            <w:pPr>
              <w:pStyle w:val="Num4"/>
              <w:numPr>
                <w:ilvl w:val="0"/>
                <w:numId w:val="0"/>
              </w:numPr>
              <w:spacing w:after="0"/>
              <w:ind w:left="421" w:hanging="421"/>
              <w:rPr>
                <w:lang w:val="sr-Cyrl-CS"/>
              </w:rPr>
            </w:pPr>
            <w:r w:rsidRPr="00895819">
              <w:rPr>
                <w:lang w:val="sr-Cyrl-CS"/>
              </w:rPr>
              <w:t>(б)</w:t>
            </w:r>
            <w:r w:rsidRPr="00895819">
              <w:rPr>
                <w:lang w:val="sr-Cyrl-CS"/>
              </w:rPr>
              <w:tab/>
            </w:r>
            <w:r w:rsidR="00A072EF" w:rsidRPr="00895819">
              <w:rPr>
                <w:lang w:val="sr-Cyrl-CS"/>
              </w:rPr>
              <w:t>појава било ког другог догађаја који резултира поремећајем (техничке или системске природе) у трезору или платном промету Стране или било које друге стране а која спречава:</w:t>
            </w:r>
          </w:p>
          <w:p w14:paraId="24A9BCE6" w14:textId="2E32420B" w:rsidR="00A072EF" w:rsidRPr="00895819" w:rsidRDefault="00A072EF" w:rsidP="00A072EF">
            <w:pPr>
              <w:pStyle w:val="Num5"/>
              <w:tabs>
                <w:tab w:val="num" w:pos="877"/>
              </w:tabs>
              <w:spacing w:after="0"/>
              <w:ind w:left="877" w:hanging="425"/>
              <w:rPr>
                <w:lang w:val="sr-Cyrl-CS"/>
              </w:rPr>
            </w:pPr>
            <w:r w:rsidRPr="00895819">
              <w:rPr>
                <w:lang w:val="sr-Cyrl-CS"/>
              </w:rPr>
              <w:t xml:space="preserve">извршење обавеза плаћања према овом </w:t>
            </w:r>
            <w:r w:rsidR="00892068" w:rsidRPr="00895819">
              <w:rPr>
                <w:lang w:val="sr-Cyrl-CS"/>
              </w:rPr>
              <w:t>у</w:t>
            </w:r>
            <w:r w:rsidRPr="00895819">
              <w:rPr>
                <w:lang w:val="sr-Cyrl-CS"/>
              </w:rPr>
              <w:t>говору; или</w:t>
            </w:r>
          </w:p>
          <w:p w14:paraId="1EC08605" w14:textId="700B12E9" w:rsidR="00A072EF" w:rsidRPr="00895819" w:rsidRDefault="00A072EF" w:rsidP="00A072EF">
            <w:pPr>
              <w:pStyle w:val="Num5"/>
              <w:numPr>
                <w:ilvl w:val="4"/>
                <w:numId w:val="19"/>
              </w:numPr>
              <w:tabs>
                <w:tab w:val="num" w:pos="877"/>
              </w:tabs>
              <w:spacing w:after="0"/>
              <w:ind w:left="877" w:hanging="425"/>
              <w:rPr>
                <w:lang w:val="sr-Cyrl-CS"/>
              </w:rPr>
            </w:pPr>
            <w:r w:rsidRPr="00895819">
              <w:rPr>
                <w:lang w:val="sr-Cyrl-CS"/>
              </w:rPr>
              <w:t xml:space="preserve">комуникацију са другим Странама у складу са условима овог </w:t>
            </w:r>
            <w:r w:rsidR="00892068" w:rsidRPr="00895819">
              <w:rPr>
                <w:lang w:val="sr-Cyrl-CS"/>
              </w:rPr>
              <w:t>у</w:t>
            </w:r>
            <w:r w:rsidRPr="00895819">
              <w:rPr>
                <w:lang w:val="sr-Cyrl-CS"/>
              </w:rPr>
              <w:t xml:space="preserve">говора; </w:t>
            </w:r>
          </w:p>
          <w:p w14:paraId="5AE225B6" w14:textId="77777777" w:rsidR="00A072EF" w:rsidRPr="00895819" w:rsidRDefault="00A072EF" w:rsidP="00A072EF">
            <w:pPr>
              <w:pStyle w:val="BodyText1"/>
              <w:spacing w:after="0"/>
              <w:rPr>
                <w:lang w:val="sr-Cyrl-CS"/>
              </w:rPr>
            </w:pPr>
            <w:r w:rsidRPr="00895819">
              <w:rPr>
                <w:lang w:val="sr-Cyrl-CS"/>
              </w:rPr>
              <w:t xml:space="preserve">коју (у оба случаја) није проузроковала ни једна Страна и ван је њихове контроле. </w:t>
            </w:r>
          </w:p>
        </w:tc>
      </w:tr>
      <w:tr w:rsidR="00A072EF" w:rsidRPr="00895819" w14:paraId="2C484CB3" w14:textId="77777777" w:rsidTr="00485361">
        <w:tc>
          <w:tcPr>
            <w:tcW w:w="1780" w:type="pct"/>
          </w:tcPr>
          <w:p w14:paraId="5C24774F" w14:textId="77777777" w:rsidR="00A072EF" w:rsidRPr="00895819" w:rsidRDefault="00A072EF" w:rsidP="00A072EF">
            <w:pPr>
              <w:pStyle w:val="BodyText"/>
              <w:spacing w:after="0"/>
              <w:rPr>
                <w:rFonts w:cs="Times New Roman"/>
                <w:b/>
                <w:lang w:val="sr-Cyrl-CS"/>
              </w:rPr>
            </w:pPr>
            <w:r w:rsidRPr="00895819">
              <w:rPr>
                <w:rFonts w:cs="Times New Roman"/>
                <w:b/>
                <w:lang w:val="sr-Cyrl-CS"/>
              </w:rPr>
              <w:t>ПИМИС</w:t>
            </w:r>
          </w:p>
        </w:tc>
        <w:tc>
          <w:tcPr>
            <w:tcW w:w="3220" w:type="pct"/>
          </w:tcPr>
          <w:p w14:paraId="7E01F606" w14:textId="77777777" w:rsidR="00A072EF" w:rsidRPr="00895819" w:rsidRDefault="00A072EF" w:rsidP="00A072EF">
            <w:pPr>
              <w:pStyle w:val="BodyText"/>
              <w:spacing w:after="0"/>
              <w:rPr>
                <w:lang w:val="sr-Cyrl-CS"/>
              </w:rPr>
            </w:pPr>
            <w:r w:rsidRPr="00895819">
              <w:rPr>
                <w:szCs w:val="22"/>
                <w:lang w:val="sr-Cyrl-CS"/>
              </w:rPr>
              <w:t>означава информациони систем за управљање јавним улагањима Зајмопримца.</w:t>
            </w:r>
          </w:p>
        </w:tc>
      </w:tr>
      <w:tr w:rsidR="00A072EF" w:rsidRPr="00895819" w14:paraId="686CBBF3" w14:textId="77777777" w:rsidTr="00485361">
        <w:tc>
          <w:tcPr>
            <w:tcW w:w="1780" w:type="pct"/>
          </w:tcPr>
          <w:p w14:paraId="6CB34711" w14:textId="77777777" w:rsidR="00A072EF" w:rsidRPr="00895819" w:rsidRDefault="00A072EF" w:rsidP="00A072EF">
            <w:pPr>
              <w:pStyle w:val="BodyText"/>
              <w:spacing w:after="0"/>
              <w:rPr>
                <w:rFonts w:cs="Times New Roman"/>
                <w:b/>
                <w:lang w:val="sr-Cyrl-CS"/>
              </w:rPr>
            </w:pPr>
            <w:r w:rsidRPr="00895819">
              <w:rPr>
                <w:rFonts w:cs="Times New Roman"/>
                <w:b/>
                <w:lang w:val="sr-Cyrl-CS"/>
              </w:rPr>
              <w:t>ДЈП</w:t>
            </w:r>
          </w:p>
        </w:tc>
        <w:tc>
          <w:tcPr>
            <w:tcW w:w="3220" w:type="pct"/>
          </w:tcPr>
          <w:p w14:paraId="34BA416D" w14:textId="2BF713CA" w:rsidR="00A072EF" w:rsidRPr="00895819" w:rsidRDefault="00F94788" w:rsidP="007C5FF6">
            <w:pPr>
              <w:pStyle w:val="BodyText"/>
              <w:spacing w:after="0"/>
              <w:rPr>
                <w:rFonts w:cs="Times New Roman"/>
                <w:lang w:val="sr-Cyrl-CS"/>
              </w:rPr>
            </w:pPr>
            <w:r w:rsidRPr="00895819">
              <w:rPr>
                <w:szCs w:val="22"/>
                <w:lang w:val="sr-Cyrl-CS"/>
              </w:rPr>
              <w:t xml:space="preserve">означава стратегије, програме, акционе планове и концепт политике, у складу са чланом </w:t>
            </w:r>
            <w:r w:rsidR="00013E8C" w:rsidRPr="00895819">
              <w:rPr>
                <w:szCs w:val="22"/>
                <w:lang w:val="sr-Cyrl-CS"/>
              </w:rPr>
              <w:t>10. Закона о систему планирања З</w:t>
            </w:r>
            <w:r w:rsidRPr="00895819">
              <w:rPr>
                <w:szCs w:val="22"/>
                <w:lang w:val="sr-Cyrl-CS"/>
              </w:rPr>
              <w:t>ајмопримца, уредно објављен у Службеном</w:t>
            </w:r>
            <w:r w:rsidR="00013E8C" w:rsidRPr="00895819">
              <w:rPr>
                <w:szCs w:val="22"/>
                <w:lang w:val="sr-Cyrl-CS"/>
              </w:rPr>
              <w:t xml:space="preserve"> гласнику Зајмопримца бр.</w:t>
            </w:r>
            <w:r w:rsidR="007C5FF6" w:rsidRPr="00895819">
              <w:rPr>
                <w:szCs w:val="22"/>
                <w:lang w:val="sr-Cyrl-CS"/>
              </w:rPr>
              <w:t xml:space="preserve"> 30/</w:t>
            </w:r>
            <w:r w:rsidR="00013E8C" w:rsidRPr="00895819">
              <w:rPr>
                <w:szCs w:val="22"/>
                <w:lang w:val="sr-Cyrl-CS"/>
              </w:rPr>
              <w:t>20</w:t>
            </w:r>
            <w:r w:rsidRPr="00895819">
              <w:rPr>
                <w:szCs w:val="22"/>
                <w:lang w:val="sr-Cyrl-CS"/>
              </w:rPr>
              <w:t>18 од 20.</w:t>
            </w:r>
            <w:r w:rsidR="00013E8C" w:rsidRPr="00895819">
              <w:rPr>
                <w:szCs w:val="22"/>
                <w:lang w:val="sr-Cyrl-CS"/>
              </w:rPr>
              <w:t xml:space="preserve"> </w:t>
            </w:r>
            <w:r w:rsidR="007C5FF6" w:rsidRPr="00895819">
              <w:rPr>
                <w:szCs w:val="22"/>
                <w:lang w:val="sr-Cyrl-CS"/>
              </w:rPr>
              <w:t>април</w:t>
            </w:r>
            <w:r w:rsidR="00013E8C" w:rsidRPr="00895819">
              <w:rPr>
                <w:szCs w:val="22"/>
                <w:lang w:val="sr-Cyrl-CS"/>
              </w:rPr>
              <w:t>а</w:t>
            </w:r>
            <w:r w:rsidR="007C5FF6" w:rsidRPr="00895819">
              <w:rPr>
                <w:szCs w:val="22"/>
                <w:lang w:val="sr-Cyrl-CS"/>
              </w:rPr>
              <w:t xml:space="preserve"> </w:t>
            </w:r>
            <w:r w:rsidRPr="00895819">
              <w:rPr>
                <w:szCs w:val="22"/>
                <w:lang w:val="sr-Cyrl-CS"/>
              </w:rPr>
              <w:t>2018.</w:t>
            </w:r>
            <w:r w:rsidR="007C5FF6" w:rsidRPr="00895819">
              <w:rPr>
                <w:szCs w:val="22"/>
                <w:lang w:val="sr-Cyrl-CS"/>
              </w:rPr>
              <w:t xml:space="preserve"> године.</w:t>
            </w:r>
          </w:p>
        </w:tc>
      </w:tr>
      <w:tr w:rsidR="00F94788" w:rsidRPr="00895819" w14:paraId="4ABFCD2E" w14:textId="77777777" w:rsidTr="00485361">
        <w:tc>
          <w:tcPr>
            <w:tcW w:w="1780" w:type="pct"/>
          </w:tcPr>
          <w:p w14:paraId="2E7352D0" w14:textId="1D82BA2F" w:rsidR="00F94788" w:rsidRPr="00895819" w:rsidRDefault="00013E8C" w:rsidP="00F94788">
            <w:pPr>
              <w:pStyle w:val="BodyText"/>
              <w:spacing w:after="0"/>
              <w:rPr>
                <w:rFonts w:cs="Times New Roman"/>
                <w:b/>
                <w:lang w:val="sr-Cyrl-CS"/>
              </w:rPr>
            </w:pPr>
            <w:r w:rsidRPr="00895819">
              <w:rPr>
                <w:rFonts w:cs="Times New Roman"/>
                <w:b/>
                <w:lang w:val="sr-Cyrl-CS"/>
              </w:rPr>
              <w:t>КЈН</w:t>
            </w:r>
          </w:p>
        </w:tc>
        <w:tc>
          <w:tcPr>
            <w:tcW w:w="3220" w:type="pct"/>
          </w:tcPr>
          <w:p w14:paraId="193CC0DE" w14:textId="6080D4B3" w:rsidR="00F94788" w:rsidRPr="00895819" w:rsidRDefault="00F94788" w:rsidP="00013E8C">
            <w:pPr>
              <w:pStyle w:val="BodyText"/>
              <w:spacing w:after="0"/>
              <w:rPr>
                <w:rFonts w:cs="Times New Roman"/>
                <w:lang w:val="sr-Cyrl-CS"/>
              </w:rPr>
            </w:pPr>
            <w:r w:rsidRPr="00895819">
              <w:rPr>
                <w:lang w:val="sr-Cyrl-CS"/>
              </w:rPr>
              <w:t xml:space="preserve">означава </w:t>
            </w:r>
            <w:r w:rsidR="00013E8C" w:rsidRPr="00895819">
              <w:rPr>
                <w:lang w:val="sr-Cyrl-CS"/>
              </w:rPr>
              <w:t>Канцеларију</w:t>
            </w:r>
            <w:r w:rsidRPr="00895819">
              <w:rPr>
                <w:lang w:val="sr-Cyrl-CS"/>
              </w:rPr>
              <w:t xml:space="preserve"> за јавне набавке и било ког правног следбеника.</w:t>
            </w:r>
          </w:p>
        </w:tc>
      </w:tr>
      <w:tr w:rsidR="00F94788" w:rsidRPr="00895819" w14:paraId="74E8DD33" w14:textId="77777777" w:rsidTr="00485361">
        <w:tc>
          <w:tcPr>
            <w:tcW w:w="1780" w:type="pct"/>
          </w:tcPr>
          <w:p w14:paraId="3B2F30F5" w14:textId="77777777" w:rsidR="00F94788" w:rsidRPr="00895819" w:rsidRDefault="00F94788" w:rsidP="00F94788">
            <w:pPr>
              <w:pStyle w:val="BodyText"/>
              <w:spacing w:after="0"/>
              <w:rPr>
                <w:rFonts w:cs="Times New Roman"/>
                <w:b/>
                <w:lang w:val="sr-Cyrl-CS"/>
              </w:rPr>
            </w:pPr>
            <w:r w:rsidRPr="00895819">
              <w:rPr>
                <w:rFonts w:cs="Times New Roman"/>
                <w:b/>
                <w:lang w:val="sr-Cyrl-CS"/>
              </w:rPr>
              <w:t>РСЈП</w:t>
            </w:r>
          </w:p>
        </w:tc>
        <w:tc>
          <w:tcPr>
            <w:tcW w:w="3220" w:type="pct"/>
          </w:tcPr>
          <w:p w14:paraId="1C75F947" w14:textId="77777777" w:rsidR="00F94788" w:rsidRPr="00895819" w:rsidRDefault="00F94788" w:rsidP="00F94788">
            <w:pPr>
              <w:pStyle w:val="BodyText"/>
              <w:spacing w:after="0"/>
              <w:rPr>
                <w:rFonts w:cs="Times New Roman"/>
                <w:lang w:val="sr-Cyrl-CS"/>
              </w:rPr>
            </w:pPr>
            <w:r w:rsidRPr="00895819">
              <w:rPr>
                <w:lang w:val="sr-Cyrl-CS"/>
              </w:rPr>
              <w:t>означава Републички секретаријат за јавне политике и било ког правног следбеника.</w:t>
            </w:r>
          </w:p>
        </w:tc>
      </w:tr>
      <w:tr w:rsidR="00F94788" w:rsidRPr="00895819" w14:paraId="29E29B67" w14:textId="77777777" w:rsidTr="00485361">
        <w:tc>
          <w:tcPr>
            <w:tcW w:w="1780" w:type="pct"/>
          </w:tcPr>
          <w:p w14:paraId="247AE783" w14:textId="77777777" w:rsidR="00F94788" w:rsidRPr="00895819" w:rsidRDefault="00F94788" w:rsidP="00F94788">
            <w:pPr>
              <w:pStyle w:val="BodyText"/>
              <w:spacing w:after="0"/>
              <w:rPr>
                <w:rFonts w:cs="Times New Roman"/>
                <w:b/>
                <w:lang w:val="sr-Cyrl-CS"/>
              </w:rPr>
            </w:pPr>
            <w:r w:rsidRPr="00895819">
              <w:rPr>
                <w:rFonts w:cs="Times New Roman"/>
                <w:b/>
                <w:lang w:val="sr-Cyrl-CS"/>
              </w:rPr>
              <w:lastRenderedPageBreak/>
              <w:t>Обештећење за превремену отплату</w:t>
            </w:r>
          </w:p>
        </w:tc>
        <w:tc>
          <w:tcPr>
            <w:tcW w:w="3220" w:type="pct"/>
          </w:tcPr>
          <w:p w14:paraId="1A105B58" w14:textId="77777777" w:rsidR="00F94788" w:rsidRPr="00895819" w:rsidRDefault="00F94788" w:rsidP="00F94788">
            <w:pPr>
              <w:pStyle w:val="BodyText"/>
              <w:spacing w:after="0"/>
              <w:rPr>
                <w:rFonts w:cs="Times New Roman"/>
                <w:lang w:val="sr-Cyrl-CS"/>
              </w:rPr>
            </w:pPr>
            <w:r w:rsidRPr="00895819">
              <w:rPr>
                <w:rFonts w:cs="Times New Roman"/>
                <w:lang w:val="sr-Cyrl-CS"/>
              </w:rPr>
              <w:t xml:space="preserve">означава обештећење обрачунато применом следећег процента на износ Кредита који је превремено отплаћен: </w:t>
            </w:r>
          </w:p>
          <w:p w14:paraId="008CEEC7" w14:textId="77777777" w:rsidR="00F94788" w:rsidRPr="00895819" w:rsidRDefault="00F94788" w:rsidP="00F94788">
            <w:pPr>
              <w:pStyle w:val="Bullet1"/>
              <w:spacing w:after="0"/>
              <w:ind w:left="452" w:hanging="452"/>
              <w:rPr>
                <w:rFonts w:cs="Times New Roman"/>
                <w:lang w:val="sr-Cyrl-CS"/>
              </w:rPr>
            </w:pPr>
            <w:r w:rsidRPr="00895819">
              <w:rPr>
                <w:rFonts w:cs="Times New Roman"/>
                <w:lang w:val="sr-Cyrl-CS"/>
              </w:rPr>
              <w:t>ако се отплата догоди пре треће годишњице (не укључујући је) од Датума потписивања: два кома педесет процента (2,50%);</w:t>
            </w:r>
          </w:p>
          <w:p w14:paraId="39B0F76C" w14:textId="77777777" w:rsidR="00F94788" w:rsidRPr="00895819" w:rsidRDefault="00F94788" w:rsidP="00F94788">
            <w:pPr>
              <w:pStyle w:val="Bullet1"/>
              <w:spacing w:after="0"/>
              <w:ind w:left="452" w:hanging="452"/>
              <w:rPr>
                <w:rFonts w:cs="Times New Roman"/>
                <w:lang w:val="sr-Cyrl-CS"/>
              </w:rPr>
            </w:pPr>
            <w:r w:rsidRPr="00895819">
              <w:rPr>
                <w:rFonts w:cs="Times New Roman"/>
                <w:lang w:val="sr-Cyrl-CS"/>
              </w:rPr>
              <w:t>ако се отплата догоди између треће годишњице (укључујући је) и четврте годишњице (не укључујући је) од Датума потписивања: два процента (2,00%);</w:t>
            </w:r>
          </w:p>
          <w:p w14:paraId="5510CDBD" w14:textId="77777777" w:rsidR="00F94788" w:rsidRPr="00895819" w:rsidRDefault="00F94788" w:rsidP="00F94788">
            <w:pPr>
              <w:pStyle w:val="Bullet1"/>
              <w:spacing w:after="0"/>
              <w:ind w:left="452" w:hanging="452"/>
              <w:rPr>
                <w:rFonts w:cs="Times New Roman"/>
                <w:lang w:val="sr-Cyrl-CS"/>
              </w:rPr>
            </w:pPr>
            <w:r w:rsidRPr="00895819">
              <w:rPr>
                <w:rFonts w:cs="Times New Roman"/>
                <w:lang w:val="sr-Cyrl-CS"/>
              </w:rPr>
              <w:t xml:space="preserve">ако се отплата догоди између четврте годишњице (укључујући је) и пете годишњице (не укључујући је) од Датума потписивања: један кома педесет процената (1,50%); </w:t>
            </w:r>
          </w:p>
          <w:p w14:paraId="00B1B95C" w14:textId="77777777" w:rsidR="00F94788" w:rsidRPr="00895819" w:rsidRDefault="00F94788" w:rsidP="00F94788">
            <w:pPr>
              <w:pStyle w:val="Bullet1"/>
              <w:spacing w:after="0"/>
              <w:ind w:left="452" w:hanging="452"/>
              <w:rPr>
                <w:rFonts w:cs="Times New Roman"/>
                <w:lang w:val="sr-Cyrl-CS"/>
              </w:rPr>
            </w:pPr>
            <w:r w:rsidRPr="00895819">
              <w:rPr>
                <w:rFonts w:cs="Times New Roman"/>
                <w:lang w:val="sr-Cyrl-CS"/>
              </w:rPr>
              <w:t xml:space="preserve">ако се отплата догоди између пете годишњице (укључујући је) и шесте годишњице (не укључујући је) од Датума потписивања: један проценат (1,00%); </w:t>
            </w:r>
          </w:p>
          <w:p w14:paraId="3D20AEE7" w14:textId="77777777" w:rsidR="00F94788" w:rsidRPr="00895819" w:rsidRDefault="00F94788" w:rsidP="00F94788">
            <w:pPr>
              <w:pStyle w:val="Bullet1"/>
              <w:spacing w:after="0"/>
              <w:ind w:left="452" w:hanging="452"/>
              <w:rPr>
                <w:rFonts w:cs="Times New Roman"/>
                <w:lang w:val="sr-Cyrl-CS"/>
              </w:rPr>
            </w:pPr>
            <w:r w:rsidRPr="00895819">
              <w:rPr>
                <w:rFonts w:cs="Times New Roman"/>
                <w:lang w:val="sr-Cyrl-CS"/>
              </w:rPr>
              <w:t>ако се отплата догоди након шесте годишњице (укључујући је) од Датума потписивања: пола процента (0.50%).</w:t>
            </w:r>
          </w:p>
        </w:tc>
      </w:tr>
      <w:tr w:rsidR="00F94788" w:rsidRPr="00895819" w14:paraId="35740622" w14:textId="77777777" w:rsidTr="00485361">
        <w:tc>
          <w:tcPr>
            <w:tcW w:w="1780" w:type="pct"/>
            <w:tcBorders>
              <w:bottom w:val="single" w:sz="4" w:space="0" w:color="auto"/>
            </w:tcBorders>
          </w:tcPr>
          <w:p w14:paraId="737ACD5C" w14:textId="77777777" w:rsidR="00F94788" w:rsidRPr="00895819" w:rsidRDefault="00F94788" w:rsidP="00F94788">
            <w:pPr>
              <w:pStyle w:val="BodyText"/>
              <w:spacing w:after="0"/>
              <w:rPr>
                <w:rFonts w:cs="Times New Roman"/>
                <w:b/>
                <w:lang w:val="sr-Cyrl-CS"/>
              </w:rPr>
            </w:pPr>
            <w:r w:rsidRPr="00895819">
              <w:rPr>
                <w:rFonts w:cs="Times New Roman"/>
                <w:b/>
                <w:lang w:val="sr-Cyrl-CS"/>
              </w:rPr>
              <w:t>Програм</w:t>
            </w:r>
          </w:p>
        </w:tc>
        <w:tc>
          <w:tcPr>
            <w:tcW w:w="3220" w:type="pct"/>
            <w:tcBorders>
              <w:bottom w:val="single" w:sz="4" w:space="0" w:color="auto"/>
            </w:tcBorders>
          </w:tcPr>
          <w:p w14:paraId="49254279" w14:textId="77777777" w:rsidR="00F94788" w:rsidRPr="00895819" w:rsidRDefault="00F94788" w:rsidP="00F94788">
            <w:pPr>
              <w:widowControl w:val="0"/>
              <w:spacing w:line="240" w:lineRule="atLeast"/>
              <w:rPr>
                <w:bCs/>
                <w:lang w:val="sr-Cyrl-CS"/>
              </w:rPr>
            </w:pPr>
            <w:r w:rsidRPr="00895819">
              <w:rPr>
                <w:bCs/>
                <w:lang w:val="sr-Cyrl-CS"/>
              </w:rPr>
              <w:t>означава програм описан у Прилогу 2 (</w:t>
            </w:r>
            <w:r w:rsidRPr="00895819">
              <w:rPr>
                <w:bCs/>
                <w:i/>
                <w:iCs/>
                <w:lang w:val="sr-Cyrl-CS"/>
              </w:rPr>
              <w:t>Опис Операције</w:t>
            </w:r>
            <w:r w:rsidRPr="00895819">
              <w:rPr>
                <w:bCs/>
                <w:lang w:val="sr-Cyrl-CS"/>
              </w:rPr>
              <w:t>).</w:t>
            </w:r>
          </w:p>
        </w:tc>
      </w:tr>
      <w:tr w:rsidR="00F94788" w:rsidRPr="00895819" w14:paraId="6F98B4C9" w14:textId="77777777" w:rsidTr="00485361">
        <w:tc>
          <w:tcPr>
            <w:tcW w:w="1780" w:type="pct"/>
            <w:tcBorders>
              <w:bottom w:val="single" w:sz="4" w:space="0" w:color="auto"/>
            </w:tcBorders>
          </w:tcPr>
          <w:p w14:paraId="3F1C0897" w14:textId="77777777" w:rsidR="00F94788" w:rsidRPr="00895819" w:rsidRDefault="00F94788" w:rsidP="00F94788">
            <w:pPr>
              <w:pStyle w:val="BodyText"/>
              <w:spacing w:after="0"/>
              <w:rPr>
                <w:rFonts w:cs="Times New Roman"/>
                <w:b/>
                <w:lang w:val="sr-Cyrl-CS"/>
              </w:rPr>
            </w:pPr>
            <w:r w:rsidRPr="00895819">
              <w:rPr>
                <w:rFonts w:cs="Times New Roman"/>
                <w:b/>
                <w:lang w:val="sr-Cyrl-CS"/>
              </w:rPr>
              <w:t xml:space="preserve">Забрањена радња (радње) </w:t>
            </w:r>
          </w:p>
        </w:tc>
        <w:tc>
          <w:tcPr>
            <w:tcW w:w="3220" w:type="pct"/>
            <w:tcBorders>
              <w:bottom w:val="single" w:sz="4" w:space="0" w:color="auto"/>
            </w:tcBorders>
          </w:tcPr>
          <w:p w14:paraId="31825236" w14:textId="77777777" w:rsidR="00F94788" w:rsidRPr="00895819" w:rsidRDefault="00F94788" w:rsidP="00F94788">
            <w:pPr>
              <w:widowControl w:val="0"/>
              <w:spacing w:line="240" w:lineRule="atLeast"/>
              <w:rPr>
                <w:bCs/>
                <w:lang w:val="sr-Cyrl-CS"/>
              </w:rPr>
            </w:pPr>
            <w:r w:rsidRPr="00895819">
              <w:rPr>
                <w:bCs/>
                <w:lang w:val="sr-Cyrl-CS"/>
              </w:rPr>
              <w:t>означава анти-конкурентске праксе, дела корупције, преваре, преваре против финансијских интереса Европске уније, Радње ометања сарадње, злоупотребу средстава или имовине АФД-а, као и свако кршење било ког важећег закона о борби против прања новца и финансирања тероризма.</w:t>
            </w:r>
          </w:p>
        </w:tc>
      </w:tr>
      <w:tr w:rsidR="00F94788" w:rsidRPr="00895819" w14:paraId="2E864AB6" w14:textId="77777777" w:rsidTr="00485361">
        <w:tc>
          <w:tcPr>
            <w:tcW w:w="1780" w:type="pct"/>
          </w:tcPr>
          <w:p w14:paraId="505C74AF" w14:textId="77777777" w:rsidR="00F94788" w:rsidRPr="00895819" w:rsidRDefault="00F94788" w:rsidP="00F94788">
            <w:pPr>
              <w:pStyle w:val="BodyText"/>
              <w:spacing w:after="0"/>
              <w:rPr>
                <w:rFonts w:cs="Times New Roman"/>
                <w:lang w:val="sr-Cyrl-CS"/>
              </w:rPr>
            </w:pPr>
            <w:r w:rsidRPr="00895819">
              <w:rPr>
                <w:rFonts w:cs="Times New Roman"/>
                <w:b/>
                <w:lang w:val="sr-Cyrl-CS"/>
              </w:rPr>
              <w:t>Јавни функционер</w:t>
            </w:r>
          </w:p>
        </w:tc>
        <w:tc>
          <w:tcPr>
            <w:tcW w:w="3220" w:type="pct"/>
          </w:tcPr>
          <w:p w14:paraId="05F54C8C" w14:textId="77777777" w:rsidR="00F94788" w:rsidRPr="00895819" w:rsidRDefault="00F94788" w:rsidP="00F94788">
            <w:pPr>
              <w:pStyle w:val="BodyText"/>
              <w:spacing w:after="0"/>
              <w:rPr>
                <w:rFonts w:cs="Times New Roman"/>
                <w:lang w:val="sr-Cyrl-CS"/>
              </w:rPr>
            </w:pPr>
            <w:r w:rsidRPr="00895819">
              <w:rPr>
                <w:rFonts w:cs="Times New Roman"/>
                <w:lang w:val="sr-Cyrl-CS"/>
              </w:rPr>
              <w:t>означава (i) било ког носиоца законодавне, извршне административне или судске функције, било да је именован или изабран, сталан или привремен, плаћен или неплаћен, без обзира на функцију; или (ii) било коју другу особу дефинисану као јавни функционер у складу са законом јурисдикције Зајмопримца; и (iii) било које друго лице које врши јавну функцију, укључујући јавну агенцију или организацију или пружа јавне услуге.</w:t>
            </w:r>
          </w:p>
        </w:tc>
      </w:tr>
      <w:tr w:rsidR="00F94788" w:rsidRPr="00895819" w14:paraId="063F7073" w14:textId="77777777" w:rsidTr="00485361">
        <w:tc>
          <w:tcPr>
            <w:tcW w:w="1780" w:type="pct"/>
          </w:tcPr>
          <w:p w14:paraId="70ECF644" w14:textId="77777777" w:rsidR="00F94788" w:rsidRPr="00895819" w:rsidRDefault="00F94788" w:rsidP="00F94788">
            <w:pPr>
              <w:pStyle w:val="BodyText"/>
              <w:spacing w:after="0"/>
              <w:rPr>
                <w:rFonts w:cs="Times New Roman"/>
                <w:lang w:val="sr-Cyrl-CS"/>
              </w:rPr>
            </w:pPr>
            <w:r w:rsidRPr="00895819">
              <w:rPr>
                <w:rFonts w:cs="Times New Roman"/>
                <w:b/>
                <w:lang w:val="sr-Cyrl-CS"/>
              </w:rPr>
              <w:t>Конверзија стопе</w:t>
            </w:r>
          </w:p>
        </w:tc>
        <w:tc>
          <w:tcPr>
            <w:tcW w:w="3220" w:type="pct"/>
          </w:tcPr>
          <w:p w14:paraId="4DB079DA" w14:textId="77777777" w:rsidR="00F94788" w:rsidRPr="00895819" w:rsidRDefault="00F94788" w:rsidP="00F94788">
            <w:pPr>
              <w:pStyle w:val="BodyText"/>
              <w:spacing w:after="0"/>
              <w:rPr>
                <w:rFonts w:cs="Times New Roman"/>
                <w:lang w:val="sr-Cyrl-CS"/>
              </w:rPr>
            </w:pPr>
            <w:r w:rsidRPr="00895819">
              <w:rPr>
                <w:bCs w:val="0"/>
                <w:lang w:val="sr-Cyrl-CS"/>
              </w:rPr>
              <w:t>означава конверзију променљиве стопе која се примењује на целокупан Кредит или његов део у фиксну стопу у складу са чланом 4.1 (</w:t>
            </w:r>
            <w:r w:rsidRPr="00895819">
              <w:rPr>
                <w:bCs w:val="0"/>
                <w:i/>
                <w:lang w:val="sr-Cyrl-CS"/>
              </w:rPr>
              <w:t>Каматна стопа</w:t>
            </w:r>
            <w:r w:rsidRPr="00895819">
              <w:rPr>
                <w:rFonts w:cs="Times New Roman"/>
                <w:lang w:val="sr-Cyrl-CS"/>
              </w:rPr>
              <w:t>).</w:t>
            </w:r>
          </w:p>
        </w:tc>
      </w:tr>
      <w:tr w:rsidR="00F94788" w:rsidRPr="00895819" w14:paraId="68048BD2" w14:textId="77777777" w:rsidTr="00485361">
        <w:tc>
          <w:tcPr>
            <w:tcW w:w="1780" w:type="pct"/>
          </w:tcPr>
          <w:p w14:paraId="4AC98D7F" w14:textId="77777777" w:rsidR="00F94788" w:rsidRPr="00895819" w:rsidRDefault="00F94788" w:rsidP="00F94788">
            <w:pPr>
              <w:pStyle w:val="BodyText"/>
              <w:spacing w:after="0"/>
              <w:rPr>
                <w:rFonts w:cs="Times New Roman"/>
                <w:lang w:val="sr-Cyrl-CS"/>
              </w:rPr>
            </w:pPr>
            <w:r w:rsidRPr="00895819">
              <w:rPr>
                <w:rFonts w:cs="Times New Roman"/>
                <w:b/>
                <w:lang w:val="sr-Cyrl-CS"/>
              </w:rPr>
              <w:t>Захтев за конверзију стопе</w:t>
            </w:r>
          </w:p>
        </w:tc>
        <w:tc>
          <w:tcPr>
            <w:tcW w:w="3220" w:type="pct"/>
          </w:tcPr>
          <w:p w14:paraId="314610F0" w14:textId="77777777" w:rsidR="00F94788" w:rsidRPr="00895819" w:rsidRDefault="00F94788" w:rsidP="00F94788">
            <w:pPr>
              <w:pStyle w:val="BodyText"/>
              <w:spacing w:after="0"/>
              <w:rPr>
                <w:rFonts w:cs="Times New Roman"/>
                <w:lang w:val="sr-Cyrl-CS"/>
              </w:rPr>
            </w:pPr>
            <w:r w:rsidRPr="00895819">
              <w:rPr>
                <w:bCs w:val="0"/>
                <w:lang w:val="sr-Cyrl-CS"/>
              </w:rPr>
              <w:t>означава захтев суштински у форми датој у Прилогу 5Ц (</w:t>
            </w:r>
            <w:r w:rsidRPr="00895819">
              <w:rPr>
                <w:i/>
                <w:lang w:val="sr-Cyrl-CS"/>
              </w:rPr>
              <w:t>Образац захтева за конверзију стопе</w:t>
            </w:r>
            <w:r w:rsidRPr="00895819">
              <w:rPr>
                <w:rFonts w:cs="Times New Roman"/>
                <w:lang w:val="sr-Cyrl-CS"/>
              </w:rPr>
              <w:t>).</w:t>
            </w:r>
          </w:p>
        </w:tc>
      </w:tr>
      <w:tr w:rsidR="00F94788" w:rsidRPr="00895819" w14:paraId="43CF0638" w14:textId="77777777" w:rsidTr="00485361">
        <w:tc>
          <w:tcPr>
            <w:tcW w:w="1780" w:type="pct"/>
          </w:tcPr>
          <w:p w14:paraId="1174DFD1" w14:textId="77777777" w:rsidR="00F94788" w:rsidRPr="00895819" w:rsidRDefault="00F94788" w:rsidP="00F94788">
            <w:pPr>
              <w:pStyle w:val="BodyText"/>
              <w:spacing w:after="0"/>
              <w:rPr>
                <w:rFonts w:cs="Times New Roman"/>
                <w:lang w:val="sr-Cyrl-CS"/>
              </w:rPr>
            </w:pPr>
            <w:r w:rsidRPr="00895819">
              <w:rPr>
                <w:rFonts w:cs="Times New Roman"/>
                <w:b/>
                <w:lang w:val="sr-Cyrl-CS"/>
              </w:rPr>
              <w:t>Датум утврђивања стопе</w:t>
            </w:r>
          </w:p>
        </w:tc>
        <w:tc>
          <w:tcPr>
            <w:tcW w:w="3220" w:type="pct"/>
          </w:tcPr>
          <w:p w14:paraId="4BBB1750" w14:textId="77777777" w:rsidR="00F94788" w:rsidRPr="00895819" w:rsidRDefault="00F94788" w:rsidP="00F94788">
            <w:pPr>
              <w:pStyle w:val="BodyText"/>
              <w:spacing w:after="0"/>
              <w:rPr>
                <w:rFonts w:cs="Times New Roman"/>
                <w:lang w:val="sr-Cyrl-CS"/>
              </w:rPr>
            </w:pPr>
            <w:r w:rsidRPr="00895819">
              <w:rPr>
                <w:rFonts w:cs="Times New Roman"/>
                <w:lang w:val="sr-Cyrl-CS"/>
              </w:rPr>
              <w:t xml:space="preserve">означава, за свако Повлачење средстава по фиксној каматној стопи или Конверзију стопе: </w:t>
            </w:r>
          </w:p>
          <w:p w14:paraId="637A2F5A" w14:textId="58916184" w:rsidR="00F94788" w:rsidRPr="00895819" w:rsidRDefault="00F94788" w:rsidP="00F94788">
            <w:pPr>
              <w:pStyle w:val="Num5"/>
              <w:numPr>
                <w:ilvl w:val="5"/>
                <w:numId w:val="30"/>
              </w:numPr>
              <w:tabs>
                <w:tab w:val="num" w:pos="877"/>
              </w:tabs>
              <w:spacing w:after="0"/>
              <w:rPr>
                <w:lang w:val="sr-Cyrl-CS"/>
              </w:rPr>
            </w:pPr>
            <w:r w:rsidRPr="00895819">
              <w:rPr>
                <w:lang w:val="sr-Cyrl-CS"/>
              </w:rPr>
              <w:t>прву Среду (или, ако тај дан није Радни дан, одмах следећи Радни дан) након дана пријема Захтева о повлачењу средстава од стране Зајмодавца, под условом да је Зајмодавац примио Захтев за повлачење средстава најмање два (2) цела Радна дана пре наведене Среде;</w:t>
            </w:r>
            <w:r w:rsidR="009E5C1A">
              <w:rPr>
                <w:lang w:val="sr-Cyrl-CS"/>
              </w:rPr>
              <w:br/>
            </w:r>
          </w:p>
          <w:p w14:paraId="617780FC" w14:textId="77777777" w:rsidR="00F94788" w:rsidRPr="00895819" w:rsidRDefault="00F94788" w:rsidP="00F94788">
            <w:pPr>
              <w:pStyle w:val="Num5"/>
              <w:numPr>
                <w:ilvl w:val="5"/>
                <w:numId w:val="30"/>
              </w:numPr>
              <w:tabs>
                <w:tab w:val="num" w:pos="877"/>
              </w:tabs>
              <w:spacing w:after="0"/>
              <w:rPr>
                <w:lang w:val="sr-Cyrl-CS"/>
              </w:rPr>
            </w:pPr>
            <w:r w:rsidRPr="00895819">
              <w:rPr>
                <w:lang w:val="sr-Cyrl-CS"/>
              </w:rPr>
              <w:lastRenderedPageBreak/>
              <w:t>другу Среду (или, ако тај дан није радни дан, одмах следећи радни дан) након дана пријема Захтева о повлачењу средстава од стране Зајмодавца [или Захтева за промену обрачуна камате]</w:t>
            </w:r>
            <w:r w:rsidRPr="00895819">
              <w:rPr>
                <w:vertAlign w:val="superscript"/>
                <w:lang w:val="sr-Cyrl-CS"/>
              </w:rPr>
              <w:footnoteReference w:id="1"/>
            </w:r>
            <w:r w:rsidRPr="00895819">
              <w:rPr>
                <w:lang w:val="sr-Cyrl-CS"/>
              </w:rPr>
              <w:t>.</w:t>
            </w:r>
          </w:p>
          <w:p w14:paraId="409C35F6" w14:textId="77777777" w:rsidR="00F94788" w:rsidRPr="00895819" w:rsidRDefault="00F94788" w:rsidP="00F94788">
            <w:pPr>
              <w:pStyle w:val="Num5"/>
              <w:numPr>
                <w:ilvl w:val="0"/>
                <w:numId w:val="0"/>
              </w:numPr>
              <w:spacing w:after="0"/>
              <w:ind w:left="283"/>
              <w:rPr>
                <w:bCs/>
                <w:lang w:val="sr-Cyrl-CS"/>
              </w:rPr>
            </w:pPr>
          </w:p>
        </w:tc>
      </w:tr>
      <w:tr w:rsidR="00F94788" w:rsidRPr="00895819" w14:paraId="538F128D" w14:textId="77777777" w:rsidTr="00485361">
        <w:tc>
          <w:tcPr>
            <w:tcW w:w="1780" w:type="pct"/>
          </w:tcPr>
          <w:p w14:paraId="782E62BD" w14:textId="77777777" w:rsidR="00F94788" w:rsidRPr="00895819" w:rsidRDefault="00F94788" w:rsidP="00F94788">
            <w:pPr>
              <w:pStyle w:val="BodyText"/>
              <w:spacing w:after="0"/>
              <w:jc w:val="left"/>
              <w:rPr>
                <w:rFonts w:cs="Times New Roman"/>
                <w:b/>
                <w:lang w:val="sr-Cyrl-CS"/>
              </w:rPr>
            </w:pPr>
            <w:r w:rsidRPr="00895819">
              <w:rPr>
                <w:rFonts w:cs="Times New Roman"/>
                <w:b/>
                <w:lang w:val="sr-Cyrl-CS"/>
              </w:rPr>
              <w:lastRenderedPageBreak/>
              <w:t>Референтна финансијска институција</w:t>
            </w:r>
          </w:p>
        </w:tc>
        <w:tc>
          <w:tcPr>
            <w:tcW w:w="3220" w:type="pct"/>
          </w:tcPr>
          <w:p w14:paraId="268EE90B" w14:textId="77777777" w:rsidR="00F94788" w:rsidRPr="00895819" w:rsidRDefault="00F94788" w:rsidP="00F94788">
            <w:pPr>
              <w:pStyle w:val="BodyText"/>
              <w:spacing w:after="0"/>
              <w:rPr>
                <w:rFonts w:cs="Times New Roman"/>
                <w:lang w:val="sr-Cyrl-CS"/>
              </w:rPr>
            </w:pPr>
            <w:r w:rsidRPr="00895819">
              <w:rPr>
                <w:rFonts w:cs="Times New Roman"/>
                <w:lang w:val="sr-Cyrl-CS"/>
              </w:rPr>
              <w:t>означава финансијску институцију коју је Зајмодавац изабрао за одговарајућу референтну финансијску институцију и која редовно објављује котације финансијских инструмената на некој од међународних финансијских информационих мрежа, у складу са праксом коју признаје банкарски сектор.</w:t>
            </w:r>
          </w:p>
        </w:tc>
      </w:tr>
      <w:tr w:rsidR="00F94788" w:rsidRPr="00895819" w14:paraId="0C65B24F" w14:textId="77777777" w:rsidTr="00485361">
        <w:tc>
          <w:tcPr>
            <w:tcW w:w="1780" w:type="pct"/>
          </w:tcPr>
          <w:p w14:paraId="32C796F8" w14:textId="77777777" w:rsidR="00F94788" w:rsidRPr="00895819" w:rsidRDefault="00F94788" w:rsidP="00F94788">
            <w:pPr>
              <w:pStyle w:val="BodyText"/>
              <w:spacing w:after="0"/>
              <w:rPr>
                <w:rFonts w:cs="Times New Roman"/>
                <w:b/>
                <w:lang w:val="sr-Cyrl-CS"/>
              </w:rPr>
            </w:pPr>
            <w:r w:rsidRPr="00895819">
              <w:rPr>
                <w:rFonts w:cs="Times New Roman"/>
                <w:b/>
                <w:lang w:val="sr-Cyrl-CS"/>
              </w:rPr>
              <w:t>Оквир резултата</w:t>
            </w:r>
          </w:p>
        </w:tc>
        <w:tc>
          <w:tcPr>
            <w:tcW w:w="3220" w:type="pct"/>
          </w:tcPr>
          <w:p w14:paraId="2DF78994" w14:textId="62FB5502" w:rsidR="00F94788" w:rsidRPr="00895819" w:rsidRDefault="00F94788" w:rsidP="00EB2AFF">
            <w:pPr>
              <w:pStyle w:val="BodyText"/>
              <w:spacing w:after="0"/>
              <w:rPr>
                <w:rFonts w:cs="Times New Roman"/>
                <w:lang w:val="sr-Cyrl-CS"/>
              </w:rPr>
            </w:pPr>
            <w:r w:rsidRPr="00895819">
              <w:rPr>
                <w:rFonts w:cs="Times New Roman"/>
                <w:lang w:val="sr-Cyrl-CS"/>
              </w:rPr>
              <w:t>означава табелу дату у Прилогу 3Ц у којој су дати показатељи везани за повлачење средстава (ДЛИ) и показатељи међу-резултата (ИРИ) договорени између страна у циљу праћења импл</w:t>
            </w:r>
            <w:r w:rsidR="00EB2AFF" w:rsidRPr="00895819">
              <w:rPr>
                <w:rFonts w:cs="Times New Roman"/>
                <w:lang w:val="sr-Cyrl-CS"/>
              </w:rPr>
              <w:t>ементације Програма и одобрења П</w:t>
            </w:r>
            <w:r w:rsidRPr="00895819">
              <w:rPr>
                <w:rFonts w:cs="Times New Roman"/>
                <w:lang w:val="sr-Cyrl-CS"/>
              </w:rPr>
              <w:t>овлачења средстава</w:t>
            </w:r>
            <w:r w:rsidR="00EB2AFF" w:rsidRPr="00895819">
              <w:rPr>
                <w:rFonts w:cs="Times New Roman"/>
                <w:lang w:val="sr-Cyrl-CS"/>
              </w:rPr>
              <w:t xml:space="preserve"> Кредита</w:t>
            </w:r>
            <w:r w:rsidRPr="00895819">
              <w:rPr>
                <w:rFonts w:cs="Times New Roman"/>
                <w:lang w:val="sr-Cyrl-CS"/>
              </w:rPr>
              <w:t>.</w:t>
            </w:r>
          </w:p>
        </w:tc>
      </w:tr>
      <w:tr w:rsidR="00F94788" w:rsidRPr="00895819" w14:paraId="7E225B74" w14:textId="77777777" w:rsidTr="00485361">
        <w:tc>
          <w:tcPr>
            <w:tcW w:w="1780" w:type="pct"/>
          </w:tcPr>
          <w:p w14:paraId="34763560" w14:textId="77777777" w:rsidR="00F94788" w:rsidRPr="00895819" w:rsidRDefault="00F94788" w:rsidP="00F94788">
            <w:pPr>
              <w:pStyle w:val="BodyText"/>
              <w:spacing w:after="0"/>
              <w:rPr>
                <w:rFonts w:cs="Times New Roman"/>
                <w:b/>
                <w:lang w:val="sr-Cyrl-CS"/>
              </w:rPr>
            </w:pPr>
            <w:r w:rsidRPr="00895819">
              <w:rPr>
                <w:rFonts w:cs="Times New Roman"/>
                <w:b/>
                <w:lang w:val="sr-Cyrl-CS"/>
              </w:rPr>
              <w:t>РДИ</w:t>
            </w:r>
          </w:p>
        </w:tc>
        <w:tc>
          <w:tcPr>
            <w:tcW w:w="3220" w:type="pct"/>
          </w:tcPr>
          <w:p w14:paraId="35EA71F4" w14:textId="77777777" w:rsidR="00F94788" w:rsidRPr="00895819" w:rsidRDefault="00F94788" w:rsidP="00F94788">
            <w:pPr>
              <w:pStyle w:val="BodyText"/>
              <w:spacing w:after="0"/>
              <w:rPr>
                <w:rFonts w:cs="Times New Roman"/>
                <w:lang w:val="sr-Cyrl-CS"/>
              </w:rPr>
            </w:pPr>
            <w:r w:rsidRPr="00895819">
              <w:rPr>
                <w:rFonts w:cs="Times New Roman"/>
                <w:lang w:val="sr-Cyrl-CS"/>
              </w:rPr>
              <w:t xml:space="preserve">означава Републичку дирекцију за имовину </w:t>
            </w:r>
            <w:r w:rsidRPr="00895819">
              <w:rPr>
                <w:lang w:val="sr-Cyrl-CS"/>
              </w:rPr>
              <w:t>и било ког правног следбеника</w:t>
            </w:r>
            <w:r w:rsidRPr="00895819">
              <w:rPr>
                <w:rFonts w:cs="Times New Roman"/>
                <w:lang w:val="sr-Cyrl-CS"/>
              </w:rPr>
              <w:t>.</w:t>
            </w:r>
          </w:p>
        </w:tc>
      </w:tr>
      <w:tr w:rsidR="00F94788" w:rsidRPr="00895819" w14:paraId="27157D2B" w14:textId="77777777" w:rsidTr="00485361">
        <w:tc>
          <w:tcPr>
            <w:tcW w:w="1780" w:type="pct"/>
          </w:tcPr>
          <w:p w14:paraId="071B6BBA" w14:textId="77777777" w:rsidR="00F94788" w:rsidRPr="00895819" w:rsidRDefault="00F94788" w:rsidP="00F94788">
            <w:pPr>
              <w:pStyle w:val="BodyText"/>
              <w:spacing w:after="0"/>
              <w:rPr>
                <w:rFonts w:cs="Times New Roman"/>
                <w:lang w:val="sr-Cyrl-CS"/>
              </w:rPr>
            </w:pPr>
            <w:r w:rsidRPr="00895819">
              <w:rPr>
                <w:rFonts w:cs="Times New Roman"/>
                <w:b/>
                <w:lang w:val="sr-Cyrl-CS"/>
              </w:rPr>
              <w:t>Прилог (Прилози)</w:t>
            </w:r>
          </w:p>
        </w:tc>
        <w:tc>
          <w:tcPr>
            <w:tcW w:w="3220" w:type="pct"/>
          </w:tcPr>
          <w:p w14:paraId="42007857" w14:textId="4358589C" w:rsidR="00F94788" w:rsidRPr="00895819" w:rsidRDefault="00F94788" w:rsidP="00F94788">
            <w:pPr>
              <w:pStyle w:val="BodyText"/>
              <w:spacing w:after="0"/>
              <w:rPr>
                <w:rFonts w:cs="Times New Roman"/>
                <w:lang w:val="sr-Cyrl-CS"/>
              </w:rPr>
            </w:pPr>
            <w:r w:rsidRPr="00895819">
              <w:rPr>
                <w:rFonts w:cs="Times New Roman"/>
                <w:lang w:val="sr-Cyrl-CS"/>
              </w:rPr>
              <w:t xml:space="preserve">означава прилог или прилоге овог </w:t>
            </w:r>
            <w:r w:rsidR="00892068" w:rsidRPr="00895819">
              <w:rPr>
                <w:rFonts w:cs="Times New Roman"/>
                <w:lang w:val="sr-Cyrl-CS"/>
              </w:rPr>
              <w:t>у</w:t>
            </w:r>
            <w:r w:rsidRPr="00895819">
              <w:rPr>
                <w:rFonts w:cs="Times New Roman"/>
                <w:lang w:val="sr-Cyrl-CS"/>
              </w:rPr>
              <w:t xml:space="preserve">говора. </w:t>
            </w:r>
          </w:p>
        </w:tc>
      </w:tr>
      <w:tr w:rsidR="00F94788" w:rsidRPr="00895819" w14:paraId="44DAE97E" w14:textId="77777777" w:rsidTr="00485361">
        <w:tc>
          <w:tcPr>
            <w:tcW w:w="1780" w:type="pct"/>
          </w:tcPr>
          <w:p w14:paraId="7E6FB31C" w14:textId="77777777" w:rsidR="00F94788" w:rsidRPr="00895819" w:rsidRDefault="00F94788" w:rsidP="00F94788">
            <w:pPr>
              <w:pStyle w:val="BodyText"/>
              <w:spacing w:after="0"/>
              <w:rPr>
                <w:rFonts w:cs="Times New Roman"/>
                <w:b/>
                <w:lang w:val="sr-Cyrl-CS"/>
              </w:rPr>
            </w:pPr>
            <w:r w:rsidRPr="00895819">
              <w:rPr>
                <w:rFonts w:cs="Times New Roman"/>
                <w:b/>
                <w:lang w:val="sr-Cyrl-CS"/>
              </w:rPr>
              <w:t>СЕПА</w:t>
            </w:r>
          </w:p>
        </w:tc>
        <w:tc>
          <w:tcPr>
            <w:tcW w:w="3220" w:type="pct"/>
          </w:tcPr>
          <w:p w14:paraId="1E3726DF" w14:textId="77777777" w:rsidR="00F94788" w:rsidRPr="00895819" w:rsidRDefault="00F94788" w:rsidP="00F94788">
            <w:pPr>
              <w:pStyle w:val="BodyText"/>
              <w:spacing w:after="0"/>
              <w:rPr>
                <w:rFonts w:cs="Times New Roman"/>
                <w:snapToGrid w:val="0"/>
                <w:lang w:val="sr-Cyrl-CS"/>
              </w:rPr>
            </w:pPr>
            <w:r w:rsidRPr="00895819">
              <w:rPr>
                <w:rFonts w:cs="Times New Roman"/>
                <w:snapToGrid w:val="0"/>
                <w:lang w:val="sr-Cyrl-CS"/>
              </w:rPr>
              <w:t>означава Агенцију за заштиту животне средине Зајмопримца и било ког правног следбеника.</w:t>
            </w:r>
          </w:p>
        </w:tc>
      </w:tr>
      <w:tr w:rsidR="00F94788" w:rsidRPr="00895819" w14:paraId="7A4FF9ED" w14:textId="77777777" w:rsidTr="00485361">
        <w:tc>
          <w:tcPr>
            <w:tcW w:w="1780" w:type="pct"/>
          </w:tcPr>
          <w:p w14:paraId="1D3C4E42" w14:textId="77777777" w:rsidR="00F94788" w:rsidRPr="00895819" w:rsidRDefault="00F94788" w:rsidP="00F94788">
            <w:pPr>
              <w:pStyle w:val="BodyText"/>
              <w:spacing w:after="0"/>
              <w:rPr>
                <w:rFonts w:cs="Times New Roman"/>
                <w:lang w:val="sr-Cyrl-CS"/>
              </w:rPr>
            </w:pPr>
            <w:r w:rsidRPr="00895819">
              <w:rPr>
                <w:rFonts w:cs="Times New Roman"/>
                <w:b/>
                <w:lang w:val="sr-Cyrl-CS"/>
              </w:rPr>
              <w:t>Датум потписивања</w:t>
            </w:r>
          </w:p>
        </w:tc>
        <w:tc>
          <w:tcPr>
            <w:tcW w:w="3220" w:type="pct"/>
          </w:tcPr>
          <w:p w14:paraId="2D92F865" w14:textId="4D1EFDA0" w:rsidR="00F94788" w:rsidRPr="00895819" w:rsidRDefault="00F94788" w:rsidP="00B34C6C">
            <w:pPr>
              <w:pStyle w:val="BodyText"/>
              <w:spacing w:after="0"/>
              <w:rPr>
                <w:rFonts w:cs="Times New Roman"/>
                <w:snapToGrid w:val="0"/>
                <w:lang w:val="sr-Cyrl-CS"/>
              </w:rPr>
            </w:pPr>
            <w:r w:rsidRPr="00895819">
              <w:rPr>
                <w:rFonts w:cs="Times New Roman"/>
                <w:snapToGrid w:val="0"/>
                <w:lang w:val="sr-Cyrl-CS"/>
              </w:rPr>
              <w:t xml:space="preserve">означава датум када су Стране потписале </w:t>
            </w:r>
            <w:r w:rsidR="00B34C6C" w:rsidRPr="00895819">
              <w:rPr>
                <w:rFonts w:cs="Times New Roman"/>
                <w:snapToGrid w:val="0"/>
                <w:lang w:val="sr-Cyrl-CS"/>
              </w:rPr>
              <w:t>овај у</w:t>
            </w:r>
            <w:r w:rsidRPr="00895819">
              <w:rPr>
                <w:rFonts w:cs="Times New Roman"/>
                <w:snapToGrid w:val="0"/>
                <w:lang w:val="sr-Cyrl-CS"/>
              </w:rPr>
              <w:t>говор.</w:t>
            </w:r>
          </w:p>
        </w:tc>
      </w:tr>
      <w:tr w:rsidR="00F94788" w:rsidRPr="00895819" w14:paraId="030F8A26" w14:textId="77777777" w:rsidTr="00485361">
        <w:tc>
          <w:tcPr>
            <w:tcW w:w="1780" w:type="pct"/>
          </w:tcPr>
          <w:p w14:paraId="693404FD" w14:textId="77777777" w:rsidR="00F94788" w:rsidRPr="00895819" w:rsidRDefault="00F94788" w:rsidP="00F94788">
            <w:pPr>
              <w:pStyle w:val="BodyText"/>
              <w:spacing w:after="0"/>
              <w:rPr>
                <w:rFonts w:cs="Times New Roman"/>
                <w:b/>
                <w:lang w:val="sr-Cyrl-CS"/>
              </w:rPr>
            </w:pPr>
            <w:r w:rsidRPr="00895819">
              <w:rPr>
                <w:rFonts w:cs="Times New Roman"/>
                <w:b/>
                <w:lang w:val="sr-Cyrl-CS"/>
              </w:rPr>
              <w:t xml:space="preserve">Датум утврђивања почетне каматне стопе </w:t>
            </w:r>
          </w:p>
        </w:tc>
        <w:tc>
          <w:tcPr>
            <w:tcW w:w="3220" w:type="pct"/>
          </w:tcPr>
          <w:p w14:paraId="0BB03C8C" w14:textId="5A0C2D46" w:rsidR="00F94788" w:rsidRPr="00895819" w:rsidRDefault="00F94788" w:rsidP="00892068">
            <w:pPr>
              <w:pStyle w:val="BodyText"/>
              <w:spacing w:after="0"/>
              <w:rPr>
                <w:rFonts w:cs="Times New Roman"/>
                <w:lang w:val="sr-Cyrl-CS"/>
              </w:rPr>
            </w:pPr>
            <w:r w:rsidRPr="00895819">
              <w:rPr>
                <w:rFonts w:cs="Times New Roman"/>
                <w:lang w:val="sr-Cyrl-CS"/>
              </w:rPr>
              <w:t xml:space="preserve">означава </w:t>
            </w:r>
            <w:r w:rsidR="00892068" w:rsidRPr="00895819">
              <w:rPr>
                <w:rFonts w:cs="Times New Roman"/>
                <w:lang w:val="sr-Cyrl-CS"/>
              </w:rPr>
              <w:t>21. јун 2023. године.</w:t>
            </w:r>
          </w:p>
        </w:tc>
      </w:tr>
      <w:tr w:rsidR="00F94788" w:rsidRPr="00895819" w14:paraId="11D6010F" w14:textId="77777777" w:rsidTr="00AF2B27">
        <w:trPr>
          <w:trHeight w:val="893"/>
        </w:trPr>
        <w:tc>
          <w:tcPr>
            <w:tcW w:w="1780" w:type="pct"/>
          </w:tcPr>
          <w:p w14:paraId="06338BA1" w14:textId="77777777" w:rsidR="00F94788" w:rsidRPr="00895819" w:rsidRDefault="00F94788" w:rsidP="00F94788">
            <w:pPr>
              <w:pStyle w:val="BodyText"/>
              <w:spacing w:after="0"/>
              <w:rPr>
                <w:rFonts w:cs="Times New Roman"/>
                <w:b/>
                <w:lang w:val="sr-Cyrl-CS"/>
              </w:rPr>
            </w:pPr>
            <w:r w:rsidRPr="00895819">
              <w:rPr>
                <w:rFonts w:cs="Times New Roman"/>
                <w:b/>
                <w:lang w:val="sr-Cyrl-CS"/>
              </w:rPr>
              <w:t>Управљачки одбор</w:t>
            </w:r>
          </w:p>
        </w:tc>
        <w:tc>
          <w:tcPr>
            <w:tcW w:w="3220" w:type="pct"/>
          </w:tcPr>
          <w:p w14:paraId="02805F55" w14:textId="7E540275" w:rsidR="00F94788" w:rsidRPr="00895819" w:rsidRDefault="00F94788" w:rsidP="00F94788">
            <w:pPr>
              <w:pStyle w:val="BodyText"/>
              <w:spacing w:after="0"/>
              <w:rPr>
                <w:rFonts w:cs="Times New Roman"/>
                <w:snapToGrid w:val="0"/>
                <w:lang w:val="sr-Cyrl-CS"/>
              </w:rPr>
            </w:pPr>
            <w:r w:rsidRPr="00895819">
              <w:rPr>
                <w:szCs w:val="22"/>
                <w:lang w:val="sr-Cyrl-CS"/>
              </w:rPr>
              <w:t xml:space="preserve">означава орган из члана 11.16 овог </w:t>
            </w:r>
            <w:r w:rsidR="00892068" w:rsidRPr="00895819">
              <w:rPr>
                <w:szCs w:val="22"/>
                <w:lang w:val="sr-Cyrl-CS"/>
              </w:rPr>
              <w:t>у</w:t>
            </w:r>
            <w:r w:rsidRPr="00895819">
              <w:rPr>
                <w:szCs w:val="22"/>
                <w:lang w:val="sr-Cyrl-CS"/>
              </w:rPr>
              <w:t xml:space="preserve">говора који ће бити оформљен и оперативан током трајања Операције. </w:t>
            </w:r>
          </w:p>
        </w:tc>
      </w:tr>
      <w:tr w:rsidR="00F94788" w:rsidRPr="00895819" w14:paraId="3C10FBCA" w14:textId="77777777" w:rsidTr="00485361">
        <w:tc>
          <w:tcPr>
            <w:tcW w:w="1780" w:type="pct"/>
            <w:vAlign w:val="center"/>
          </w:tcPr>
          <w:p w14:paraId="59F36815" w14:textId="77777777" w:rsidR="00F94788" w:rsidRPr="00895819" w:rsidRDefault="00F94788" w:rsidP="00F94788">
            <w:pPr>
              <w:pStyle w:val="BodyText"/>
              <w:spacing w:after="0"/>
              <w:jc w:val="left"/>
              <w:rPr>
                <w:rFonts w:cs="Times New Roman"/>
                <w:b/>
                <w:lang w:val="sr-Cyrl-CS"/>
              </w:rPr>
            </w:pPr>
            <w:r w:rsidRPr="00895819">
              <w:rPr>
                <w:rFonts w:cs="Times New Roman"/>
                <w:b/>
                <w:lang w:val="sr-Cyrl-CS"/>
              </w:rPr>
              <w:t>Дан салдирања у систему ТА</w:t>
            </w:r>
            <w:r w:rsidRPr="00895819">
              <w:rPr>
                <w:b/>
                <w:lang w:val="sr-Cyrl-CS"/>
              </w:rPr>
              <w:t>РГЕТ</w:t>
            </w:r>
          </w:p>
        </w:tc>
        <w:tc>
          <w:tcPr>
            <w:tcW w:w="3220" w:type="pct"/>
          </w:tcPr>
          <w:p w14:paraId="69ECCA12" w14:textId="6234D230" w:rsidR="00F94788" w:rsidRPr="00895819" w:rsidRDefault="00F94788" w:rsidP="00F94788">
            <w:pPr>
              <w:pStyle w:val="BodyText"/>
              <w:spacing w:after="0"/>
              <w:rPr>
                <w:rFonts w:cs="Times New Roman"/>
                <w:snapToGrid w:val="0"/>
                <w:lang w:val="sr-Cyrl-CS"/>
              </w:rPr>
            </w:pPr>
            <w:r w:rsidRPr="00895819">
              <w:rPr>
                <w:rFonts w:cs="Times New Roman"/>
                <w:snapToGrid w:val="0"/>
                <w:lang w:val="sr-Cyrl-CS"/>
              </w:rPr>
              <w:t>означава дан када је Трансевропски аутоматски систем експресног трансфера бруто плаћања у реалном времену 2 (Т</w:t>
            </w:r>
            <w:r w:rsidRPr="00895819">
              <w:rPr>
                <w:snapToGrid w:val="0"/>
                <w:lang w:val="sr-Cyrl-CS"/>
              </w:rPr>
              <w:t>АРГЕТ</w:t>
            </w:r>
            <w:r w:rsidRPr="00895819">
              <w:rPr>
                <w:rFonts w:cs="Times New Roman"/>
                <w:snapToGrid w:val="0"/>
                <w:lang w:val="sr-Cyrl-CS"/>
              </w:rPr>
              <w:t>2) или било који његов следбеник отворен за плаћање у еврима.</w:t>
            </w:r>
          </w:p>
        </w:tc>
      </w:tr>
      <w:tr w:rsidR="00F94788" w:rsidRPr="00895819" w14:paraId="110CBFCB" w14:textId="77777777" w:rsidTr="00485361">
        <w:tc>
          <w:tcPr>
            <w:tcW w:w="1780" w:type="pct"/>
            <w:vAlign w:val="center"/>
          </w:tcPr>
          <w:p w14:paraId="729859C2" w14:textId="0C271501" w:rsidR="00F94788" w:rsidRPr="00895819" w:rsidRDefault="00F94788" w:rsidP="00F94788">
            <w:pPr>
              <w:pStyle w:val="BodyText"/>
              <w:spacing w:after="0"/>
              <w:jc w:val="left"/>
              <w:rPr>
                <w:rFonts w:cs="Times New Roman"/>
                <w:lang w:val="sr-Cyrl-CS"/>
              </w:rPr>
            </w:pPr>
            <w:r w:rsidRPr="00895819">
              <w:rPr>
                <w:rFonts w:cs="Times New Roman"/>
                <w:b/>
                <w:lang w:val="sr-Cyrl-CS"/>
              </w:rPr>
              <w:t>Порез</w:t>
            </w:r>
            <w:r w:rsidR="00B34C6C" w:rsidRPr="00895819">
              <w:rPr>
                <w:rFonts w:cs="Times New Roman"/>
                <w:b/>
                <w:lang w:val="sr-Cyrl-CS"/>
              </w:rPr>
              <w:t>(</w:t>
            </w:r>
            <w:r w:rsidRPr="00895819">
              <w:rPr>
                <w:rFonts w:cs="Times New Roman"/>
                <w:b/>
                <w:lang w:val="sr-Cyrl-CS"/>
              </w:rPr>
              <w:t>и</w:t>
            </w:r>
            <w:r w:rsidR="00B34C6C" w:rsidRPr="00895819">
              <w:rPr>
                <w:rFonts w:cs="Times New Roman"/>
                <w:b/>
                <w:lang w:val="sr-Cyrl-CS"/>
              </w:rPr>
              <w:t>)</w:t>
            </w:r>
          </w:p>
        </w:tc>
        <w:tc>
          <w:tcPr>
            <w:tcW w:w="3220" w:type="pct"/>
          </w:tcPr>
          <w:p w14:paraId="59B85E76" w14:textId="77777777" w:rsidR="00F94788" w:rsidRPr="00895819" w:rsidRDefault="00F94788" w:rsidP="00F94788">
            <w:pPr>
              <w:pStyle w:val="BodyText"/>
              <w:spacing w:after="0"/>
              <w:rPr>
                <w:rFonts w:cs="Times New Roman"/>
                <w:lang w:val="sr-Cyrl-CS"/>
              </w:rPr>
            </w:pPr>
            <w:r w:rsidRPr="00895819">
              <w:rPr>
                <w:rFonts w:cs="Times New Roman"/>
                <w:lang w:val="sr-Cyrl-CS"/>
              </w:rPr>
              <w:t xml:space="preserve">означавају било који порез, дажбину, намет, царину или друге намете или одбитак сличне природе (укључујући било коју казну или затезну камату у вези са неплаћањем или било којим кашњењем у плаћању било којих таквих износа). </w:t>
            </w:r>
          </w:p>
        </w:tc>
      </w:tr>
      <w:tr w:rsidR="00F94788" w:rsidRPr="00895819" w14:paraId="7F107B5D" w14:textId="77777777" w:rsidTr="00485361">
        <w:tc>
          <w:tcPr>
            <w:tcW w:w="1780" w:type="pct"/>
            <w:vAlign w:val="center"/>
          </w:tcPr>
          <w:p w14:paraId="312689F1" w14:textId="77777777" w:rsidR="00F94788" w:rsidRPr="00895819" w:rsidRDefault="00F94788" w:rsidP="00F94788">
            <w:pPr>
              <w:pStyle w:val="BodyText"/>
              <w:spacing w:after="0"/>
              <w:jc w:val="left"/>
              <w:rPr>
                <w:rFonts w:cs="Times New Roman"/>
                <w:b/>
                <w:lang w:val="sr-Cyrl-CS"/>
              </w:rPr>
            </w:pPr>
            <w:r w:rsidRPr="00895819">
              <w:rPr>
                <w:rFonts w:cs="Times New Roman"/>
                <w:b/>
                <w:lang w:val="sr-Cyrl-CS"/>
              </w:rPr>
              <w:t>Техничка помоћ</w:t>
            </w:r>
          </w:p>
        </w:tc>
        <w:tc>
          <w:tcPr>
            <w:tcW w:w="3220" w:type="pct"/>
          </w:tcPr>
          <w:p w14:paraId="2E86A90F" w14:textId="77777777" w:rsidR="00F94788" w:rsidRPr="00895819" w:rsidRDefault="00F94788" w:rsidP="00F94788">
            <w:pPr>
              <w:pStyle w:val="BodyText"/>
              <w:spacing w:after="0"/>
              <w:rPr>
                <w:rFonts w:cs="Times New Roman"/>
                <w:lang w:val="sr-Cyrl-CS"/>
              </w:rPr>
            </w:pPr>
            <w:r w:rsidRPr="00895819">
              <w:rPr>
                <w:rFonts w:cs="Times New Roman"/>
                <w:lang w:val="sr-Cyrl-CS"/>
              </w:rPr>
              <w:t>означава техничку помоћ описану у Прилогу 2 (</w:t>
            </w:r>
            <w:r w:rsidRPr="00895819">
              <w:rPr>
                <w:rFonts w:cs="Times New Roman"/>
                <w:i/>
                <w:iCs/>
                <w:lang w:val="sr-Cyrl-CS"/>
              </w:rPr>
              <w:t>Опис Операције</w:t>
            </w:r>
            <w:r w:rsidRPr="00895819">
              <w:rPr>
                <w:rFonts w:cs="Times New Roman"/>
                <w:lang w:val="sr-Cyrl-CS"/>
              </w:rPr>
              <w:t>).</w:t>
            </w:r>
          </w:p>
        </w:tc>
      </w:tr>
      <w:tr w:rsidR="00F94788" w:rsidRPr="00895819" w14:paraId="49A0C99D" w14:textId="77777777" w:rsidTr="00485361">
        <w:tc>
          <w:tcPr>
            <w:tcW w:w="1780" w:type="pct"/>
            <w:vAlign w:val="center"/>
          </w:tcPr>
          <w:p w14:paraId="36599399" w14:textId="77777777" w:rsidR="00F94788" w:rsidRPr="00895819" w:rsidRDefault="00F94788" w:rsidP="00F94788">
            <w:pPr>
              <w:pStyle w:val="BodyText"/>
              <w:spacing w:after="0"/>
              <w:jc w:val="left"/>
              <w:rPr>
                <w:rFonts w:cs="Times New Roman"/>
                <w:b/>
                <w:lang w:val="sr-Cyrl-CS"/>
              </w:rPr>
            </w:pPr>
            <w:r w:rsidRPr="00895819">
              <w:rPr>
                <w:b/>
                <w:lang w:val="sr-Cyrl-CS"/>
              </w:rPr>
              <w:t>Транша техничке помоћи</w:t>
            </w:r>
          </w:p>
        </w:tc>
        <w:tc>
          <w:tcPr>
            <w:tcW w:w="3220" w:type="pct"/>
          </w:tcPr>
          <w:p w14:paraId="428A2B02" w14:textId="752430BC" w:rsidR="00F94788" w:rsidRPr="00895819" w:rsidRDefault="00F94788" w:rsidP="00F94788">
            <w:pPr>
              <w:pStyle w:val="BodyText"/>
              <w:spacing w:after="0"/>
              <w:rPr>
                <w:rFonts w:cs="Times New Roman"/>
                <w:lang w:val="sr-Cyrl-CS"/>
              </w:rPr>
            </w:pPr>
            <w:r w:rsidRPr="00895819">
              <w:rPr>
                <w:rFonts w:cs="Times New Roman"/>
                <w:lang w:val="sr-Cyrl-CS"/>
              </w:rPr>
              <w:t>означава део Кредита којим се финансирају активности Тех</w:t>
            </w:r>
            <w:r w:rsidR="00B34C6C" w:rsidRPr="00895819">
              <w:rPr>
                <w:rFonts w:cs="Times New Roman"/>
                <w:lang w:val="sr-Cyrl-CS"/>
              </w:rPr>
              <w:t xml:space="preserve">ничке помоћи које се заједнички </w:t>
            </w:r>
            <w:r w:rsidRPr="00895819">
              <w:rPr>
                <w:rFonts w:cs="Times New Roman"/>
                <w:lang w:val="sr-Cyrl-CS"/>
              </w:rPr>
              <w:t>суфинансирају кроз Кредит и ИБРД зајам.</w:t>
            </w:r>
          </w:p>
        </w:tc>
      </w:tr>
      <w:tr w:rsidR="00F94788" w:rsidRPr="00895819" w14:paraId="35464A62" w14:textId="77777777" w:rsidTr="00485361">
        <w:tc>
          <w:tcPr>
            <w:tcW w:w="1780" w:type="pct"/>
            <w:shd w:val="clear" w:color="auto" w:fill="auto"/>
            <w:vAlign w:val="center"/>
          </w:tcPr>
          <w:p w14:paraId="3863565D" w14:textId="77777777" w:rsidR="00F94788" w:rsidRPr="00895819" w:rsidRDefault="00F94788" w:rsidP="00F94788">
            <w:pPr>
              <w:widowControl w:val="0"/>
              <w:spacing w:line="240" w:lineRule="atLeast"/>
              <w:jc w:val="left"/>
              <w:rPr>
                <w:b/>
                <w:bCs/>
                <w:lang w:val="sr-Cyrl-CS"/>
              </w:rPr>
            </w:pPr>
            <w:r w:rsidRPr="00895819">
              <w:rPr>
                <w:b/>
                <w:bCs/>
                <w:lang w:val="sr-Cyrl-CS"/>
              </w:rPr>
              <w:t>Дозвољени расходи техничке помоћи</w:t>
            </w:r>
          </w:p>
        </w:tc>
        <w:tc>
          <w:tcPr>
            <w:tcW w:w="3220" w:type="pct"/>
            <w:shd w:val="clear" w:color="auto" w:fill="auto"/>
          </w:tcPr>
          <w:p w14:paraId="55F50ED1" w14:textId="77777777" w:rsidR="00F94788" w:rsidRPr="00895819" w:rsidRDefault="00F94788" w:rsidP="00F94788">
            <w:pPr>
              <w:pStyle w:val="BodyText"/>
              <w:spacing w:after="0"/>
              <w:rPr>
                <w:rFonts w:cs="Times New Roman"/>
                <w:lang w:val="sr-Cyrl-CS"/>
              </w:rPr>
            </w:pPr>
            <w:r w:rsidRPr="00895819">
              <w:rPr>
                <w:rFonts w:cs="Times New Roman"/>
                <w:lang w:val="sr-Cyrl-CS"/>
              </w:rPr>
              <w:t>означавају расходе на име куповине робе, неконсултантских услуга, консултантских услуга, обуке, као и оперативне трошкове настале у вези са имплементацијом Транше техничке помоћи.</w:t>
            </w:r>
          </w:p>
        </w:tc>
      </w:tr>
      <w:tr w:rsidR="00F94788" w:rsidRPr="00895819" w14:paraId="44DDB592" w14:textId="77777777" w:rsidTr="00485361">
        <w:tc>
          <w:tcPr>
            <w:tcW w:w="1780" w:type="pct"/>
            <w:shd w:val="clear" w:color="auto" w:fill="auto"/>
            <w:vAlign w:val="center"/>
          </w:tcPr>
          <w:p w14:paraId="64A05F00" w14:textId="77777777" w:rsidR="00F94788" w:rsidRPr="00895819" w:rsidRDefault="00F94788" w:rsidP="00F94788">
            <w:pPr>
              <w:widowControl w:val="0"/>
              <w:spacing w:line="240" w:lineRule="atLeast"/>
              <w:jc w:val="left"/>
              <w:rPr>
                <w:b/>
                <w:bCs/>
                <w:lang w:val="sr-Cyrl-CS"/>
              </w:rPr>
            </w:pPr>
            <w:r w:rsidRPr="00895819">
              <w:rPr>
                <w:b/>
                <w:bCs/>
                <w:lang w:val="sr-Cyrl-CS"/>
              </w:rPr>
              <w:t>Финансирање тероризма</w:t>
            </w:r>
          </w:p>
          <w:p w14:paraId="77697530" w14:textId="77777777" w:rsidR="00F94788" w:rsidRPr="00895819" w:rsidRDefault="00F94788" w:rsidP="00F94788">
            <w:pPr>
              <w:widowControl w:val="0"/>
              <w:spacing w:line="240" w:lineRule="atLeast"/>
              <w:jc w:val="left"/>
              <w:rPr>
                <w:bCs/>
                <w:lang w:val="sr-Cyrl-CS"/>
              </w:rPr>
            </w:pPr>
          </w:p>
          <w:p w14:paraId="23C1ABC0" w14:textId="77777777" w:rsidR="00F94788" w:rsidRPr="00895819" w:rsidRDefault="00F94788" w:rsidP="00F94788">
            <w:pPr>
              <w:pStyle w:val="BodyText"/>
              <w:spacing w:after="0"/>
              <w:jc w:val="left"/>
              <w:rPr>
                <w:rFonts w:cs="Times New Roman"/>
                <w:lang w:val="sr-Cyrl-CS"/>
              </w:rPr>
            </w:pPr>
          </w:p>
        </w:tc>
        <w:tc>
          <w:tcPr>
            <w:tcW w:w="3220" w:type="pct"/>
            <w:shd w:val="clear" w:color="auto" w:fill="auto"/>
          </w:tcPr>
          <w:p w14:paraId="57E69B39" w14:textId="77777777" w:rsidR="00F94788" w:rsidRPr="00895819" w:rsidRDefault="00F94788" w:rsidP="00F94788">
            <w:pPr>
              <w:pStyle w:val="BodyText"/>
              <w:spacing w:after="0"/>
              <w:rPr>
                <w:rFonts w:cs="Times New Roman"/>
                <w:lang w:val="sr-Cyrl-CS"/>
              </w:rPr>
            </w:pPr>
            <w:r w:rsidRPr="00895819">
              <w:rPr>
                <w:rFonts w:cs="Times New Roman"/>
                <w:lang w:val="sr-Cyrl-CS"/>
              </w:rPr>
              <w:t>је обезбеђивање или прикупљање, непосредно или посредно, средстава или управљање средствима са намером да се она користе или са знањем да ће се користити за извршење Дела тероризма.</w:t>
            </w:r>
          </w:p>
        </w:tc>
      </w:tr>
      <w:tr w:rsidR="00F94788" w:rsidRPr="00895819" w14:paraId="483792CF" w14:textId="77777777" w:rsidTr="00485361">
        <w:tc>
          <w:tcPr>
            <w:tcW w:w="1780" w:type="pct"/>
            <w:vAlign w:val="center"/>
          </w:tcPr>
          <w:p w14:paraId="088B700B" w14:textId="77777777" w:rsidR="00F94788" w:rsidRPr="00895819" w:rsidRDefault="00F94788" w:rsidP="00F94788">
            <w:pPr>
              <w:pStyle w:val="BodyText"/>
              <w:spacing w:after="0"/>
              <w:jc w:val="left"/>
              <w:rPr>
                <w:rFonts w:cs="Times New Roman"/>
                <w:b/>
                <w:lang w:val="sr-Cyrl-CS"/>
              </w:rPr>
            </w:pPr>
            <w:r w:rsidRPr="00895819">
              <w:rPr>
                <w:rFonts w:cs="Times New Roman"/>
                <w:b/>
                <w:lang w:val="sr-Cyrl-CS"/>
              </w:rPr>
              <w:lastRenderedPageBreak/>
              <w:t>Рачун трезора</w:t>
            </w:r>
          </w:p>
        </w:tc>
        <w:tc>
          <w:tcPr>
            <w:tcW w:w="3220" w:type="pct"/>
          </w:tcPr>
          <w:p w14:paraId="68560CD7" w14:textId="77777777" w:rsidR="00F94788" w:rsidRPr="00895819" w:rsidRDefault="00F94788" w:rsidP="00F94788">
            <w:pPr>
              <w:rPr>
                <w:lang w:val="sr-Cyrl-CS"/>
              </w:rPr>
            </w:pPr>
            <w:r w:rsidRPr="00895819">
              <w:rPr>
                <w:lang w:val="sr-Cyrl-CS"/>
              </w:rPr>
              <w:t>означава било који рачун који је део консолидованог рачуна Трезора отворен на име Управе за трезор код Народне банке Србије на који ће бити уплаћена Транша буџетске подршке.</w:t>
            </w:r>
          </w:p>
        </w:tc>
      </w:tr>
      <w:tr w:rsidR="00F94788" w:rsidRPr="00895819" w14:paraId="5A479516" w14:textId="77777777" w:rsidTr="00485361">
        <w:tc>
          <w:tcPr>
            <w:tcW w:w="1780" w:type="pct"/>
            <w:vAlign w:val="center"/>
          </w:tcPr>
          <w:p w14:paraId="1707EEF6" w14:textId="77777777" w:rsidR="00F94788" w:rsidRPr="00895819" w:rsidRDefault="00F94788" w:rsidP="00F94788">
            <w:pPr>
              <w:pStyle w:val="BodyText"/>
              <w:spacing w:after="0"/>
              <w:jc w:val="left"/>
              <w:rPr>
                <w:rFonts w:cs="Times New Roman"/>
                <w:b/>
                <w:lang w:val="sr-Cyrl-CS"/>
              </w:rPr>
            </w:pPr>
            <w:r w:rsidRPr="00895819">
              <w:rPr>
                <w:rFonts w:cs="Times New Roman"/>
                <w:b/>
                <w:lang w:val="sr-Cyrl-CS"/>
              </w:rPr>
              <w:t>Агент за верификацију</w:t>
            </w:r>
          </w:p>
        </w:tc>
        <w:tc>
          <w:tcPr>
            <w:tcW w:w="3220" w:type="pct"/>
          </w:tcPr>
          <w:p w14:paraId="26670C17" w14:textId="51A2F730" w:rsidR="00F94788" w:rsidRPr="00895819" w:rsidRDefault="00F94788" w:rsidP="00F94788">
            <w:pPr>
              <w:rPr>
                <w:lang w:val="sr-Cyrl-CS"/>
              </w:rPr>
            </w:pPr>
            <w:r w:rsidRPr="00895819">
              <w:rPr>
                <w:szCs w:val="22"/>
                <w:lang w:val="sr-Cyrl-CS"/>
              </w:rPr>
              <w:t xml:space="preserve">означава једног или више лица или субјеката које је Зајмопримац именовао и/или ангажовао, зависно од случаја, у складу са чланом 11.16 овог </w:t>
            </w:r>
            <w:r w:rsidR="0039269A" w:rsidRPr="00895819">
              <w:rPr>
                <w:szCs w:val="22"/>
                <w:lang w:val="sr-Cyrl-CS"/>
              </w:rPr>
              <w:t>у</w:t>
            </w:r>
            <w:r w:rsidRPr="00895819">
              <w:rPr>
                <w:szCs w:val="22"/>
                <w:lang w:val="sr-Cyrl-CS"/>
              </w:rPr>
              <w:t>говора, задужен за припрему извештаја о верификацији којом се потврђује постизање ДЛР.</w:t>
            </w:r>
          </w:p>
        </w:tc>
      </w:tr>
      <w:tr w:rsidR="00F94788" w:rsidRPr="00895819" w14:paraId="452CB0DF" w14:textId="77777777" w:rsidTr="00485361">
        <w:tc>
          <w:tcPr>
            <w:tcW w:w="1780" w:type="pct"/>
            <w:vAlign w:val="center"/>
          </w:tcPr>
          <w:p w14:paraId="072F58D1" w14:textId="77777777" w:rsidR="00F94788" w:rsidRPr="00895819" w:rsidRDefault="00F94788" w:rsidP="00F94788">
            <w:pPr>
              <w:pStyle w:val="BodyText"/>
              <w:spacing w:after="0"/>
              <w:jc w:val="left"/>
              <w:rPr>
                <w:rFonts w:cs="Times New Roman"/>
                <w:b/>
                <w:lang w:val="sr-Cyrl-CS"/>
              </w:rPr>
            </w:pPr>
            <w:r w:rsidRPr="00895819">
              <w:rPr>
                <w:rFonts w:cs="Times New Roman"/>
                <w:b/>
                <w:lang w:val="sr-Cyrl-CS"/>
              </w:rPr>
              <w:t>Протокол за верификацију</w:t>
            </w:r>
          </w:p>
        </w:tc>
        <w:tc>
          <w:tcPr>
            <w:tcW w:w="3220" w:type="pct"/>
          </w:tcPr>
          <w:p w14:paraId="3E6F0C03" w14:textId="77777777" w:rsidR="00F94788" w:rsidRPr="00895819" w:rsidRDefault="00F94788" w:rsidP="00F94788">
            <w:pPr>
              <w:rPr>
                <w:lang w:val="sr-Cyrl-CS"/>
              </w:rPr>
            </w:pPr>
            <w:r w:rsidRPr="00895819">
              <w:rPr>
                <w:lang w:val="sr-Cyrl-CS"/>
              </w:rPr>
              <w:t>означава протокол договорен између Зајмодавца и Зајмопримца за верификацију података и других доказа којима се доказује постизање једног или више ДЛИ и ДЛР, као што је наведено у ОИМ. Такви протоколи могу бити подложни променама с времена на време у договору са Зајмодавцем.</w:t>
            </w:r>
          </w:p>
        </w:tc>
      </w:tr>
      <w:tr w:rsidR="00F94788" w:rsidRPr="00895819" w14:paraId="55C9ADBE" w14:textId="77777777" w:rsidTr="00485361">
        <w:tc>
          <w:tcPr>
            <w:tcW w:w="1780" w:type="pct"/>
            <w:vAlign w:val="center"/>
          </w:tcPr>
          <w:p w14:paraId="5E8A366C" w14:textId="77777777" w:rsidR="00F94788" w:rsidRPr="00895819" w:rsidRDefault="00F94788" w:rsidP="00F94788">
            <w:pPr>
              <w:pStyle w:val="BodyText"/>
              <w:spacing w:after="0"/>
              <w:jc w:val="left"/>
              <w:rPr>
                <w:rFonts w:cs="Times New Roman"/>
                <w:b/>
                <w:lang w:val="sr-Cyrl-CS"/>
              </w:rPr>
            </w:pPr>
            <w:r w:rsidRPr="00895819">
              <w:rPr>
                <w:rFonts w:cs="Times New Roman"/>
                <w:b/>
                <w:lang w:val="sr-Cyrl-CS"/>
              </w:rPr>
              <w:t>Водич за видљивост и комуникације</w:t>
            </w:r>
          </w:p>
        </w:tc>
        <w:tc>
          <w:tcPr>
            <w:tcW w:w="3220" w:type="pct"/>
          </w:tcPr>
          <w:p w14:paraId="7756BE26" w14:textId="4E8FCD6F" w:rsidR="00F94788" w:rsidRPr="00895819" w:rsidRDefault="00F94788" w:rsidP="00F94788">
            <w:pPr>
              <w:rPr>
                <w:lang w:val="sr-Cyrl-CS"/>
              </w:rPr>
            </w:pPr>
            <w:r w:rsidRPr="00895819">
              <w:rPr>
                <w:lang w:val="sr-Cyrl-CS"/>
              </w:rPr>
              <w:t>означава све уговорне одредбе обавезујуће за Зајмопримца по питању комуникације и видљивости пројеката које финансира АФД и садржаних у документу под називом „Водич за видљивост за пројекте које подржава АДФ - ниво 1</w:t>
            </w:r>
            <w:r w:rsidR="007C25D7" w:rsidRPr="00895819">
              <w:rPr>
                <w:lang w:val="sr-Cyrl-CS"/>
              </w:rPr>
              <w:t>”</w:t>
            </w:r>
            <w:r w:rsidRPr="00895819">
              <w:rPr>
                <w:lang w:val="sr-Cyrl-CS"/>
              </w:rPr>
              <w:t xml:space="preserve"> или „Водич за комуникације за пројекте које подржава АФД - ниво 2</w:t>
            </w:r>
            <w:r w:rsidR="007C25D7" w:rsidRPr="00895819">
              <w:rPr>
                <w:lang w:val="sr-Cyrl-CS"/>
              </w:rPr>
              <w:t>”</w:t>
            </w:r>
            <w:r w:rsidRPr="00895819">
              <w:rPr>
                <w:lang w:val="sr-Cyrl-CS"/>
              </w:rPr>
              <w:t>, у зависно од случаја, а примерак ће бити достављен Зајмопримцу пре потписивања.</w:t>
            </w:r>
          </w:p>
        </w:tc>
      </w:tr>
      <w:tr w:rsidR="00F94788" w:rsidRPr="00895819" w14:paraId="753B4BA3" w14:textId="77777777" w:rsidTr="00485361">
        <w:tc>
          <w:tcPr>
            <w:tcW w:w="1780" w:type="pct"/>
          </w:tcPr>
          <w:p w14:paraId="351B2844" w14:textId="77777777" w:rsidR="00F94788" w:rsidRPr="00895819" w:rsidRDefault="00F94788" w:rsidP="00F94788">
            <w:pPr>
              <w:pStyle w:val="BodyText"/>
              <w:spacing w:after="0"/>
              <w:rPr>
                <w:rFonts w:cs="Times New Roman"/>
                <w:lang w:val="sr-Cyrl-CS"/>
              </w:rPr>
            </w:pPr>
            <w:r w:rsidRPr="00895819">
              <w:rPr>
                <w:rFonts w:cs="Times New Roman"/>
                <w:b/>
                <w:lang w:val="sr-Cyrl-CS"/>
              </w:rPr>
              <w:t>Интернет страница</w:t>
            </w:r>
          </w:p>
        </w:tc>
        <w:tc>
          <w:tcPr>
            <w:tcW w:w="3220" w:type="pct"/>
          </w:tcPr>
          <w:p w14:paraId="6DE4952A" w14:textId="77777777" w:rsidR="00F94788" w:rsidRPr="00895819" w:rsidRDefault="00F94788" w:rsidP="00F94788">
            <w:pPr>
              <w:pStyle w:val="BodyText"/>
              <w:spacing w:after="0"/>
              <w:rPr>
                <w:rFonts w:cs="Times New Roman"/>
                <w:lang w:val="sr-Cyrl-CS"/>
              </w:rPr>
            </w:pPr>
            <w:r w:rsidRPr="00895819">
              <w:rPr>
                <w:rFonts w:cs="Times New Roman"/>
                <w:lang w:val="sr-Cyrl-CS"/>
              </w:rPr>
              <w:t>означава интернет страницу АФД-а (http://www.afd.fr/) или било коју заменску интернет страницу.</w:t>
            </w:r>
          </w:p>
        </w:tc>
      </w:tr>
      <w:tr w:rsidR="00F94788" w:rsidRPr="00895819" w14:paraId="440C9AEE" w14:textId="77777777" w:rsidTr="00485361">
        <w:tc>
          <w:tcPr>
            <w:tcW w:w="1780" w:type="pct"/>
          </w:tcPr>
          <w:p w14:paraId="7ED1B541" w14:textId="77777777" w:rsidR="00F94788" w:rsidRPr="00895819" w:rsidRDefault="00F94788" w:rsidP="00F94788">
            <w:pPr>
              <w:pStyle w:val="BodyText"/>
              <w:spacing w:after="0"/>
              <w:rPr>
                <w:rFonts w:cs="Times New Roman"/>
                <w:b/>
                <w:lang w:val="sr-Cyrl-CS"/>
              </w:rPr>
            </w:pPr>
            <w:r w:rsidRPr="00895819">
              <w:rPr>
                <w:rFonts w:cs="Times New Roman"/>
                <w:b/>
                <w:lang w:val="sr-Cyrl-CS"/>
              </w:rPr>
              <w:t>Порез по одбитку</w:t>
            </w:r>
          </w:p>
        </w:tc>
        <w:tc>
          <w:tcPr>
            <w:tcW w:w="3220" w:type="pct"/>
          </w:tcPr>
          <w:p w14:paraId="4E23875B" w14:textId="3E1AB71E" w:rsidR="00F94788" w:rsidRPr="00895819" w:rsidRDefault="00F94788" w:rsidP="00F94788">
            <w:pPr>
              <w:pStyle w:val="BodyText"/>
              <w:spacing w:after="0"/>
              <w:rPr>
                <w:rFonts w:cs="Times New Roman"/>
                <w:lang w:val="sr-Cyrl-CS"/>
              </w:rPr>
            </w:pPr>
            <w:r w:rsidRPr="00895819">
              <w:rPr>
                <w:rFonts w:cs="Times New Roman"/>
                <w:snapToGrid w:val="0"/>
                <w:lang w:val="sr-Cyrl-CS"/>
              </w:rPr>
              <w:t xml:space="preserve">означава било који одбитак или задржавање у односу на Порез на било коју уплату извршену према овом </w:t>
            </w:r>
            <w:r w:rsidR="0039269A" w:rsidRPr="00895819">
              <w:rPr>
                <w:rFonts w:cs="Times New Roman"/>
                <w:snapToGrid w:val="0"/>
                <w:lang w:val="sr-Cyrl-CS"/>
              </w:rPr>
              <w:t>у</w:t>
            </w:r>
            <w:r w:rsidRPr="00895819">
              <w:rPr>
                <w:rFonts w:cs="Times New Roman"/>
                <w:snapToGrid w:val="0"/>
                <w:lang w:val="sr-Cyrl-CS"/>
              </w:rPr>
              <w:t>говору или у вези са њим.</w:t>
            </w:r>
          </w:p>
        </w:tc>
      </w:tr>
      <w:tr w:rsidR="00F94788" w:rsidRPr="00895819" w14:paraId="04E12699" w14:textId="77777777" w:rsidTr="00485361">
        <w:tc>
          <w:tcPr>
            <w:tcW w:w="1780" w:type="pct"/>
          </w:tcPr>
          <w:p w14:paraId="32A07361" w14:textId="77777777" w:rsidR="00F94788" w:rsidRPr="00895819" w:rsidRDefault="00F94788" w:rsidP="00F94788">
            <w:pPr>
              <w:pStyle w:val="BodyText"/>
              <w:spacing w:after="0"/>
              <w:rPr>
                <w:rFonts w:cs="Times New Roman"/>
                <w:b/>
                <w:lang w:val="sr-Cyrl-CS"/>
              </w:rPr>
            </w:pPr>
            <w:r w:rsidRPr="00895819">
              <w:rPr>
                <w:rFonts w:cs="Times New Roman"/>
                <w:b/>
                <w:lang w:val="sr-Cyrl-CS"/>
              </w:rPr>
              <w:t>Захтев за повлачење средстава</w:t>
            </w:r>
          </w:p>
        </w:tc>
        <w:tc>
          <w:tcPr>
            <w:tcW w:w="3220" w:type="pct"/>
          </w:tcPr>
          <w:p w14:paraId="50771EB0" w14:textId="77777777" w:rsidR="00F94788" w:rsidRPr="00895819" w:rsidRDefault="00F94788" w:rsidP="00F94788">
            <w:pPr>
              <w:pStyle w:val="BodyText"/>
              <w:spacing w:after="0"/>
              <w:rPr>
                <w:rFonts w:cs="Times New Roman"/>
                <w:snapToGrid w:val="0"/>
                <w:lang w:val="sr-Cyrl-CS"/>
              </w:rPr>
            </w:pPr>
            <w:r w:rsidRPr="00895819">
              <w:rPr>
                <w:rFonts w:cs="Times New Roman"/>
                <w:snapToGrid w:val="0"/>
                <w:lang w:val="sr-Cyrl-CS"/>
              </w:rPr>
              <w:t>има значење дато у Споразуму о зајму ИБРД-а.</w:t>
            </w:r>
          </w:p>
        </w:tc>
      </w:tr>
    </w:tbl>
    <w:p w14:paraId="4C927B32" w14:textId="77777777" w:rsidR="00B16F8D" w:rsidRPr="00895819" w:rsidRDefault="00B16F8D" w:rsidP="00B16F8D">
      <w:pPr>
        <w:pStyle w:val="BodyText"/>
        <w:spacing w:after="0"/>
        <w:rPr>
          <w:rStyle w:val="AATitre1CarCar"/>
          <w:lang w:val="sr-Cyrl-CS"/>
        </w:rPr>
      </w:pPr>
    </w:p>
    <w:p w14:paraId="2A8D0F2C" w14:textId="77777777" w:rsidR="00B16F8D" w:rsidRPr="00895819" w:rsidRDefault="00E129B6" w:rsidP="00B16F8D">
      <w:pPr>
        <w:pStyle w:val="Schhead"/>
        <w:outlineLvl w:val="0"/>
        <w:rPr>
          <w:rFonts w:ascii="Times New Roman" w:hAnsi="Times New Roman"/>
          <w:lang w:val="sr-Cyrl-CS"/>
        </w:rPr>
      </w:pPr>
      <w:bookmarkStart w:id="160" w:name="_Toc129873700"/>
      <w:r w:rsidRPr="00895819">
        <w:rPr>
          <w:rFonts w:ascii="Times New Roman" w:hAnsi="Times New Roman"/>
          <w:lang w:val="sr-Cyrl-CS"/>
        </w:rPr>
        <w:lastRenderedPageBreak/>
        <w:t xml:space="preserve">ПРИЛОГ </w:t>
      </w:r>
      <w:r w:rsidR="00B16F8D" w:rsidRPr="00895819">
        <w:rPr>
          <w:rFonts w:ascii="Times New Roman" w:hAnsi="Times New Roman"/>
          <w:lang w:val="sr-Cyrl-CS"/>
        </w:rPr>
        <w:t>1</w:t>
      </w:r>
      <w:r w:rsidRPr="00895819">
        <w:rPr>
          <w:rFonts w:ascii="Times New Roman" w:hAnsi="Times New Roman"/>
          <w:lang w:val="sr-Cyrl-CS"/>
        </w:rPr>
        <w:t>Б</w:t>
      </w:r>
      <w:r w:rsidR="00B16F8D" w:rsidRPr="00895819">
        <w:rPr>
          <w:rFonts w:ascii="Times New Roman" w:hAnsi="Times New Roman"/>
          <w:lang w:val="sr-Cyrl-CS"/>
        </w:rPr>
        <w:t xml:space="preserve"> - </w:t>
      </w:r>
      <w:r w:rsidRPr="00895819">
        <w:rPr>
          <w:rFonts w:ascii="Times New Roman" w:hAnsi="Times New Roman"/>
          <w:lang w:val="sr-Cyrl-CS"/>
        </w:rPr>
        <w:t>ТУМАЧЕЊЕ</w:t>
      </w:r>
      <w:bookmarkEnd w:id="160"/>
    </w:p>
    <w:p w14:paraId="008BD4F1" w14:textId="6AB086C8" w:rsidR="00B16F8D" w:rsidRPr="00895819" w:rsidRDefault="00B34C6C" w:rsidP="00B34C6C">
      <w:pPr>
        <w:pStyle w:val="ListArabic2"/>
        <w:numPr>
          <w:ilvl w:val="0"/>
          <w:numId w:val="0"/>
        </w:numPr>
        <w:ind w:left="1440" w:hanging="720"/>
        <w:rPr>
          <w:lang w:val="sr-Cyrl-CS"/>
        </w:rPr>
      </w:pPr>
      <w:r w:rsidRPr="00895819">
        <w:rPr>
          <w:lang w:val="sr-Cyrl-CS"/>
        </w:rPr>
        <w:t>(а)</w:t>
      </w:r>
      <w:r w:rsidRPr="00895819">
        <w:rPr>
          <w:lang w:val="sr-Cyrl-CS"/>
        </w:rPr>
        <w:tab/>
      </w:r>
      <w:r w:rsidR="00600216" w:rsidRPr="00895819">
        <w:rPr>
          <w:lang w:val="sr-Cyrl-CS"/>
        </w:rPr>
        <w:t>„</w:t>
      </w:r>
      <w:r w:rsidR="00600216" w:rsidRPr="00895819">
        <w:rPr>
          <w:b/>
          <w:lang w:val="sr-Cyrl-CS"/>
        </w:rPr>
        <w:t>имовина</w:t>
      </w:r>
      <w:r w:rsidR="007C25D7" w:rsidRPr="00895819">
        <w:rPr>
          <w:lang w:val="sr-Cyrl-CS"/>
        </w:rPr>
        <w:t>”</w:t>
      </w:r>
      <w:r w:rsidR="00B16F8D" w:rsidRPr="00895819">
        <w:rPr>
          <w:lang w:val="sr-Cyrl-CS"/>
        </w:rPr>
        <w:t xml:space="preserve"> </w:t>
      </w:r>
      <w:r w:rsidR="00445C8C" w:rsidRPr="00895819">
        <w:rPr>
          <w:lang w:val="sr-Cyrl-CS"/>
        </w:rPr>
        <w:t>подразумева</w:t>
      </w:r>
      <w:r w:rsidR="00600216" w:rsidRPr="00895819">
        <w:rPr>
          <w:lang w:val="sr-Cyrl-CS"/>
        </w:rPr>
        <w:t xml:space="preserve"> постојећу и будућу имовину, приходе и права свих врста</w:t>
      </w:r>
      <w:r w:rsidR="00B16F8D" w:rsidRPr="00895819">
        <w:rPr>
          <w:lang w:val="sr-Cyrl-CS"/>
        </w:rPr>
        <w:t>;</w:t>
      </w:r>
    </w:p>
    <w:p w14:paraId="0F74DFBF" w14:textId="67193CEF" w:rsidR="00B16F8D" w:rsidRPr="00895819" w:rsidRDefault="00B34C6C" w:rsidP="00B34C6C">
      <w:pPr>
        <w:pStyle w:val="ListArabic2"/>
        <w:numPr>
          <w:ilvl w:val="0"/>
          <w:numId w:val="0"/>
        </w:numPr>
        <w:ind w:left="1440" w:hanging="720"/>
        <w:rPr>
          <w:lang w:val="sr-Cyrl-CS"/>
        </w:rPr>
      </w:pPr>
      <w:r w:rsidRPr="00895819">
        <w:rPr>
          <w:lang w:val="sr-Cyrl-CS"/>
        </w:rPr>
        <w:t>(б)</w:t>
      </w:r>
      <w:r w:rsidRPr="00895819">
        <w:rPr>
          <w:lang w:val="sr-Cyrl-CS"/>
        </w:rPr>
        <w:tab/>
      </w:r>
      <w:r w:rsidR="00600216" w:rsidRPr="00895819">
        <w:rPr>
          <w:lang w:val="sr-Cyrl-CS"/>
        </w:rPr>
        <w:t>свако позивање на „</w:t>
      </w:r>
      <w:r w:rsidR="00600216" w:rsidRPr="00895819">
        <w:rPr>
          <w:b/>
          <w:lang w:val="sr-Cyrl-CS"/>
        </w:rPr>
        <w:t>Зајмопримца</w:t>
      </w:r>
      <w:r w:rsidR="007C25D7" w:rsidRPr="00895819">
        <w:rPr>
          <w:lang w:val="sr-Cyrl-CS"/>
        </w:rPr>
        <w:t>”</w:t>
      </w:r>
      <w:r w:rsidR="00600216" w:rsidRPr="00895819">
        <w:rPr>
          <w:lang w:val="sr-Cyrl-CS"/>
        </w:rPr>
        <w:t>, „</w:t>
      </w:r>
      <w:r w:rsidR="00600216" w:rsidRPr="00895819">
        <w:rPr>
          <w:b/>
          <w:lang w:val="sr-Cyrl-CS"/>
        </w:rPr>
        <w:t>Страну</w:t>
      </w:r>
      <w:r w:rsidR="007C25D7" w:rsidRPr="00895819">
        <w:rPr>
          <w:lang w:val="sr-Cyrl-CS"/>
        </w:rPr>
        <w:t>”</w:t>
      </w:r>
      <w:r w:rsidR="00600216" w:rsidRPr="00895819">
        <w:rPr>
          <w:lang w:val="sr-Cyrl-CS"/>
        </w:rPr>
        <w:t xml:space="preserve"> или „</w:t>
      </w:r>
      <w:r w:rsidR="00600216" w:rsidRPr="00895819">
        <w:rPr>
          <w:b/>
          <w:lang w:val="sr-Cyrl-CS"/>
        </w:rPr>
        <w:t>Зајмодавца</w:t>
      </w:r>
      <w:r w:rsidR="007C25D7" w:rsidRPr="00895819">
        <w:rPr>
          <w:lang w:val="sr-Cyrl-CS"/>
        </w:rPr>
        <w:t>”</w:t>
      </w:r>
      <w:r w:rsidR="00600216" w:rsidRPr="00895819">
        <w:rPr>
          <w:lang w:val="sr-Cyrl-CS"/>
        </w:rPr>
        <w:t xml:space="preserve"> укључује и његове </w:t>
      </w:r>
      <w:r w:rsidR="00445C8C" w:rsidRPr="00895819">
        <w:rPr>
          <w:lang w:val="sr-Cyrl-CS"/>
        </w:rPr>
        <w:t>правне следбенике</w:t>
      </w:r>
      <w:r w:rsidR="00600216" w:rsidRPr="00895819">
        <w:rPr>
          <w:lang w:val="sr-Cyrl-CS"/>
        </w:rPr>
        <w:t xml:space="preserve"> у овом </w:t>
      </w:r>
      <w:r w:rsidR="0039269A" w:rsidRPr="00895819">
        <w:rPr>
          <w:lang w:val="sr-Cyrl-CS"/>
        </w:rPr>
        <w:t>у</w:t>
      </w:r>
      <w:r w:rsidR="00600216" w:rsidRPr="00895819">
        <w:rPr>
          <w:lang w:val="sr-Cyrl-CS"/>
        </w:rPr>
        <w:t xml:space="preserve">говору, </w:t>
      </w:r>
      <w:r w:rsidR="00445C8C" w:rsidRPr="00895819">
        <w:rPr>
          <w:lang w:val="sr-Cyrl-CS"/>
        </w:rPr>
        <w:t>допуштене уступиоце и допуштене пријемнике</w:t>
      </w:r>
      <w:r w:rsidR="00B16F8D" w:rsidRPr="00895819">
        <w:rPr>
          <w:lang w:val="sr-Cyrl-CS"/>
        </w:rPr>
        <w:t>;</w:t>
      </w:r>
    </w:p>
    <w:p w14:paraId="11B84CBA" w14:textId="2EC4C947" w:rsidR="00B16F8D" w:rsidRPr="00895819" w:rsidRDefault="00B34C6C" w:rsidP="00B34C6C">
      <w:pPr>
        <w:pStyle w:val="ListArabic2"/>
        <w:numPr>
          <w:ilvl w:val="0"/>
          <w:numId w:val="0"/>
        </w:numPr>
        <w:ind w:left="1440" w:hanging="720"/>
        <w:rPr>
          <w:lang w:val="sr-Cyrl-CS"/>
        </w:rPr>
      </w:pPr>
      <w:r w:rsidRPr="00895819">
        <w:rPr>
          <w:lang w:val="sr-Cyrl-CS"/>
        </w:rPr>
        <w:t>(ц)</w:t>
      </w:r>
      <w:r w:rsidRPr="00895819">
        <w:rPr>
          <w:lang w:val="sr-Cyrl-CS"/>
        </w:rPr>
        <w:tab/>
      </w:r>
      <w:r w:rsidR="00600216" w:rsidRPr="00895819">
        <w:rPr>
          <w:lang w:val="sr-Cyrl-CS"/>
        </w:rPr>
        <w:t>свако позивање на Уговор или друга докумен</w:t>
      </w:r>
      <w:r w:rsidR="001633B6" w:rsidRPr="00895819">
        <w:rPr>
          <w:lang w:val="sr-Cyrl-CS"/>
        </w:rPr>
        <w:t>та представља позивање на овај у</w:t>
      </w:r>
      <w:r w:rsidR="00600216" w:rsidRPr="00895819">
        <w:rPr>
          <w:lang w:val="sr-Cyrl-CS"/>
        </w:rPr>
        <w:t xml:space="preserve">говор или други такав документ са изменама, </w:t>
      </w:r>
      <w:r w:rsidR="00445C8C" w:rsidRPr="00895819">
        <w:rPr>
          <w:lang w:val="sr-Cyrl-CS"/>
        </w:rPr>
        <w:t>преформулисањ</w:t>
      </w:r>
      <w:r w:rsidR="00600216" w:rsidRPr="00895819">
        <w:rPr>
          <w:lang w:val="sr-Cyrl-CS"/>
        </w:rPr>
        <w:t xml:space="preserve">ем или допунама и обухвата, уколико је примењиво, било који документ који га замењује новацијом, у складу са овим </w:t>
      </w:r>
      <w:r w:rsidR="0039269A" w:rsidRPr="00895819">
        <w:rPr>
          <w:lang w:val="sr-Cyrl-CS"/>
        </w:rPr>
        <w:t>у</w:t>
      </w:r>
      <w:r w:rsidR="00600216" w:rsidRPr="00895819">
        <w:rPr>
          <w:lang w:val="sr-Cyrl-CS"/>
        </w:rPr>
        <w:t>говором</w:t>
      </w:r>
      <w:r w:rsidR="00B16F8D" w:rsidRPr="00895819">
        <w:rPr>
          <w:lang w:val="sr-Cyrl-CS"/>
        </w:rPr>
        <w:t>;</w:t>
      </w:r>
    </w:p>
    <w:p w14:paraId="66642C3C" w14:textId="56CF4B77" w:rsidR="00B16F8D" w:rsidRPr="00895819" w:rsidRDefault="00B34C6C" w:rsidP="00B34C6C">
      <w:pPr>
        <w:pStyle w:val="ListArabic2"/>
        <w:numPr>
          <w:ilvl w:val="0"/>
          <w:numId w:val="0"/>
        </w:numPr>
        <w:ind w:left="1440" w:hanging="720"/>
        <w:rPr>
          <w:lang w:val="sr-Cyrl-CS"/>
        </w:rPr>
      </w:pPr>
      <w:r w:rsidRPr="00895819">
        <w:rPr>
          <w:lang w:val="sr-Cyrl-CS"/>
        </w:rPr>
        <w:t>(д)</w:t>
      </w:r>
      <w:r w:rsidRPr="00895819">
        <w:rPr>
          <w:lang w:val="sr-Cyrl-CS"/>
        </w:rPr>
        <w:tab/>
      </w:r>
      <w:r w:rsidR="00600216" w:rsidRPr="00895819">
        <w:rPr>
          <w:lang w:val="sr-Cyrl-CS"/>
        </w:rPr>
        <w:t>„</w:t>
      </w:r>
      <w:r w:rsidR="00600216" w:rsidRPr="00895819">
        <w:rPr>
          <w:b/>
          <w:lang w:val="sr-Cyrl-CS"/>
        </w:rPr>
        <w:t>гаранција</w:t>
      </w:r>
      <w:r w:rsidR="007C25D7" w:rsidRPr="00895819">
        <w:rPr>
          <w:lang w:val="sr-Cyrl-CS"/>
        </w:rPr>
        <w:t>”</w:t>
      </w:r>
      <w:r w:rsidR="00B16F8D" w:rsidRPr="00895819">
        <w:rPr>
          <w:lang w:val="sr-Cyrl-CS"/>
        </w:rPr>
        <w:t xml:space="preserve"> </w:t>
      </w:r>
      <w:r w:rsidR="00445C8C" w:rsidRPr="00895819">
        <w:rPr>
          <w:lang w:val="sr-Cyrl-CS"/>
        </w:rPr>
        <w:t>подразумева</w:t>
      </w:r>
      <w:r w:rsidR="00600216" w:rsidRPr="00895819">
        <w:rPr>
          <w:lang w:val="sr-Cyrl-CS"/>
        </w:rPr>
        <w:t xml:space="preserve"> сваки </w:t>
      </w:r>
      <w:r w:rsidR="00600216" w:rsidRPr="00895819">
        <w:rPr>
          <w:i/>
          <w:lang w:val="sr-Cyrl-CS"/>
        </w:rPr>
        <w:t xml:space="preserve">гарантни депозит, авал и гаранцију </w:t>
      </w:r>
      <w:r w:rsidR="00600216" w:rsidRPr="00895819">
        <w:rPr>
          <w:lang w:val="sr-Cyrl-CS"/>
        </w:rPr>
        <w:t>која је независна од дуга на који се односи</w:t>
      </w:r>
      <w:r w:rsidR="00B16F8D" w:rsidRPr="00895819">
        <w:rPr>
          <w:lang w:val="sr-Cyrl-CS"/>
        </w:rPr>
        <w:t xml:space="preserve">; </w:t>
      </w:r>
    </w:p>
    <w:p w14:paraId="2C01E5E2" w14:textId="2F969A84" w:rsidR="00B16F8D" w:rsidRPr="00895819" w:rsidRDefault="00B34C6C" w:rsidP="00B34C6C">
      <w:pPr>
        <w:pStyle w:val="ListArabic2"/>
        <w:numPr>
          <w:ilvl w:val="0"/>
          <w:numId w:val="0"/>
        </w:numPr>
        <w:ind w:left="1440" w:hanging="720"/>
        <w:rPr>
          <w:lang w:val="sr-Cyrl-CS"/>
        </w:rPr>
      </w:pPr>
      <w:r w:rsidRPr="00895819">
        <w:rPr>
          <w:lang w:val="sr-Cyrl-CS"/>
        </w:rPr>
        <w:t>(е)</w:t>
      </w:r>
      <w:r w:rsidRPr="00895819">
        <w:rPr>
          <w:lang w:val="sr-Cyrl-CS"/>
        </w:rPr>
        <w:tab/>
      </w:r>
      <w:r w:rsidR="00600216" w:rsidRPr="00895819">
        <w:rPr>
          <w:lang w:val="sr-Cyrl-CS"/>
        </w:rPr>
        <w:t>„</w:t>
      </w:r>
      <w:r w:rsidR="00600216" w:rsidRPr="00895819">
        <w:rPr>
          <w:b/>
          <w:bCs/>
          <w:lang w:val="sr-Cyrl-CS"/>
        </w:rPr>
        <w:t>дуговање</w:t>
      </w:r>
      <w:r w:rsidR="007C25D7" w:rsidRPr="00895819">
        <w:rPr>
          <w:lang w:val="sr-Cyrl-CS"/>
        </w:rPr>
        <w:t>”</w:t>
      </w:r>
      <w:r w:rsidR="00B16F8D" w:rsidRPr="00895819">
        <w:rPr>
          <w:b/>
          <w:lang w:val="sr-Cyrl-CS"/>
        </w:rPr>
        <w:t xml:space="preserve"> </w:t>
      </w:r>
      <w:r w:rsidR="00445C8C" w:rsidRPr="00895819">
        <w:rPr>
          <w:lang w:val="sr-Cyrl-CS"/>
        </w:rPr>
        <w:t>подразумева</w:t>
      </w:r>
      <w:r w:rsidR="00600216" w:rsidRPr="00895819">
        <w:rPr>
          <w:lang w:val="sr-Cyrl-CS"/>
        </w:rPr>
        <w:t xml:space="preserve"> сваку обавезу било ког лица (без обзира да ли се ради о главници или гаранцији) за потребе плаћања или отплате новчаних средстава садашњих, будућих, постојећих или потенцијалних</w:t>
      </w:r>
      <w:r w:rsidR="00B16F8D" w:rsidRPr="00895819">
        <w:rPr>
          <w:lang w:val="sr-Cyrl-CS"/>
        </w:rPr>
        <w:t>;</w:t>
      </w:r>
    </w:p>
    <w:p w14:paraId="5FDCD66F" w14:textId="7AD0A0D3" w:rsidR="00B16F8D" w:rsidRPr="00895819" w:rsidRDefault="00B34C6C" w:rsidP="00B34C6C">
      <w:pPr>
        <w:pStyle w:val="ListArabic2"/>
        <w:numPr>
          <w:ilvl w:val="0"/>
          <w:numId w:val="0"/>
        </w:numPr>
        <w:ind w:left="1440" w:hanging="720"/>
        <w:rPr>
          <w:lang w:val="sr-Cyrl-CS"/>
        </w:rPr>
      </w:pPr>
      <w:r w:rsidRPr="00895819">
        <w:rPr>
          <w:lang w:val="sr-Cyrl-CS"/>
        </w:rPr>
        <w:t>(ф)</w:t>
      </w:r>
      <w:r w:rsidRPr="00895819">
        <w:rPr>
          <w:lang w:val="sr-Cyrl-CS"/>
        </w:rPr>
        <w:tab/>
      </w:r>
      <w:r w:rsidR="00600216" w:rsidRPr="00895819">
        <w:rPr>
          <w:lang w:val="sr-Cyrl-CS"/>
        </w:rPr>
        <w:t>„</w:t>
      </w:r>
      <w:r w:rsidR="00600216" w:rsidRPr="00895819">
        <w:rPr>
          <w:b/>
          <w:lang w:val="sr-Cyrl-CS"/>
        </w:rPr>
        <w:t>лице</w:t>
      </w:r>
      <w:r w:rsidR="007C25D7" w:rsidRPr="00895819">
        <w:rPr>
          <w:lang w:val="sr-Cyrl-CS"/>
        </w:rPr>
        <w:t>”</w:t>
      </w:r>
      <w:r w:rsidR="00B16F8D" w:rsidRPr="00895819">
        <w:rPr>
          <w:lang w:val="sr-Cyrl-CS"/>
        </w:rPr>
        <w:t xml:space="preserve"> </w:t>
      </w:r>
      <w:r w:rsidR="00445C8C" w:rsidRPr="00895819">
        <w:rPr>
          <w:lang w:val="sr-Cyrl-CS"/>
        </w:rPr>
        <w:t>подразумева</w:t>
      </w:r>
      <w:r w:rsidR="00F768D7" w:rsidRPr="00895819">
        <w:rPr>
          <w:lang w:val="sr-Cyrl-CS"/>
        </w:rPr>
        <w:t xml:space="preserve"> свако лице, компанију, корпорацију, партнерство, труст, владу, државу, или државну институцију или другу асоцијацију, или групу од два или више горе наведених (без обзира да ли су засебно правно лице или не</w:t>
      </w:r>
      <w:r w:rsidR="00B16F8D" w:rsidRPr="00895819">
        <w:rPr>
          <w:lang w:val="sr-Cyrl-CS"/>
        </w:rPr>
        <w:t>);</w:t>
      </w:r>
    </w:p>
    <w:p w14:paraId="361B372B" w14:textId="5E2F82A6" w:rsidR="00B16F8D" w:rsidRPr="00895819" w:rsidRDefault="00B34C6C" w:rsidP="00B34C6C">
      <w:pPr>
        <w:pStyle w:val="ListArabic2"/>
        <w:numPr>
          <w:ilvl w:val="0"/>
          <w:numId w:val="0"/>
        </w:numPr>
        <w:ind w:left="1440" w:hanging="720"/>
        <w:rPr>
          <w:lang w:val="sr-Cyrl-CS"/>
        </w:rPr>
      </w:pPr>
      <w:r w:rsidRPr="00895819">
        <w:rPr>
          <w:lang w:val="sr-Cyrl-CS"/>
        </w:rPr>
        <w:t>(г)</w:t>
      </w:r>
      <w:r w:rsidRPr="00895819">
        <w:rPr>
          <w:lang w:val="sr-Cyrl-CS"/>
        </w:rPr>
        <w:tab/>
      </w:r>
      <w:r w:rsidR="00F768D7" w:rsidRPr="00895819">
        <w:rPr>
          <w:lang w:val="sr-Cyrl-CS"/>
        </w:rPr>
        <w:t>„</w:t>
      </w:r>
      <w:r w:rsidR="00F768D7" w:rsidRPr="00895819">
        <w:rPr>
          <w:b/>
          <w:lang w:val="sr-Cyrl-CS"/>
        </w:rPr>
        <w:t>пропис</w:t>
      </w:r>
      <w:r w:rsidR="007C25D7" w:rsidRPr="00895819">
        <w:rPr>
          <w:lang w:val="sr-Cyrl-CS"/>
        </w:rPr>
        <w:t>”</w:t>
      </w:r>
      <w:r w:rsidR="00B16F8D" w:rsidRPr="00895819">
        <w:rPr>
          <w:lang w:val="sr-Cyrl-CS"/>
        </w:rPr>
        <w:t xml:space="preserve"> </w:t>
      </w:r>
      <w:r w:rsidR="00445C8C" w:rsidRPr="00895819">
        <w:rPr>
          <w:lang w:val="sr-Cyrl-CS"/>
        </w:rPr>
        <w:t>подразумева</w:t>
      </w:r>
      <w:r w:rsidR="00003D38" w:rsidRPr="00895819">
        <w:rPr>
          <w:lang w:val="sr-Cyrl-CS"/>
        </w:rPr>
        <w:t xml:space="preserve"> сваки пропис, регулативу, правило, уредбу, званичну директиву, инструкцију, захтев, савет, препоруку, одлуку или смерницу (без обзира да ли има снагу закона) било ког владиног, међувладиног или наднационалног тела, надзорног тела, независног управног органа, агенције, сектора или било које јединице било које друге институције или организације (укључујућу и прописе издате од стране секторских или комерцијалних јав</w:t>
      </w:r>
      <w:r w:rsidR="001633B6" w:rsidRPr="00895819">
        <w:rPr>
          <w:lang w:val="sr-Cyrl-CS"/>
        </w:rPr>
        <w:t>них органа) који утиче на овај у</w:t>
      </w:r>
      <w:r w:rsidR="00003D38" w:rsidRPr="00895819">
        <w:rPr>
          <w:lang w:val="sr-Cyrl-CS"/>
        </w:rPr>
        <w:t>говор или на права и обавезе Страна</w:t>
      </w:r>
      <w:r w:rsidR="00B16F8D" w:rsidRPr="00895819">
        <w:rPr>
          <w:lang w:val="sr-Cyrl-CS"/>
        </w:rPr>
        <w:t>;</w:t>
      </w:r>
    </w:p>
    <w:p w14:paraId="4D20341A" w14:textId="7EE50C10" w:rsidR="00B16F8D" w:rsidRPr="00895819" w:rsidRDefault="00B34C6C" w:rsidP="00B34C6C">
      <w:pPr>
        <w:pStyle w:val="ListArabic2"/>
        <w:numPr>
          <w:ilvl w:val="0"/>
          <w:numId w:val="0"/>
        </w:numPr>
        <w:ind w:left="1440" w:hanging="720"/>
        <w:rPr>
          <w:lang w:val="sr-Cyrl-CS"/>
        </w:rPr>
      </w:pPr>
      <w:r w:rsidRPr="00895819">
        <w:rPr>
          <w:lang w:val="sr-Cyrl-CS"/>
        </w:rPr>
        <w:t>(х)</w:t>
      </w:r>
      <w:r w:rsidRPr="00895819">
        <w:rPr>
          <w:lang w:val="sr-Cyrl-CS"/>
        </w:rPr>
        <w:tab/>
      </w:r>
      <w:r w:rsidR="00843D06" w:rsidRPr="00895819">
        <w:rPr>
          <w:lang w:val="sr-Cyrl-CS"/>
        </w:rPr>
        <w:t>одредбе закона представљају упућивање на те одредбе са изменама и допунама</w:t>
      </w:r>
      <w:r w:rsidR="00B16F8D" w:rsidRPr="00895819">
        <w:rPr>
          <w:lang w:val="sr-Cyrl-CS"/>
        </w:rPr>
        <w:t>;</w:t>
      </w:r>
    </w:p>
    <w:p w14:paraId="677BAE39" w14:textId="07E05F1B" w:rsidR="00B16F8D" w:rsidRPr="00895819" w:rsidRDefault="00B34C6C" w:rsidP="00B34C6C">
      <w:pPr>
        <w:pStyle w:val="ListArabic2"/>
        <w:numPr>
          <w:ilvl w:val="0"/>
          <w:numId w:val="0"/>
        </w:numPr>
        <w:ind w:left="1440" w:hanging="720"/>
        <w:rPr>
          <w:lang w:val="sr-Cyrl-CS"/>
        </w:rPr>
      </w:pPr>
      <w:r w:rsidRPr="00895819">
        <w:rPr>
          <w:lang w:val="sr-Cyrl-CS"/>
        </w:rPr>
        <w:t>(и)</w:t>
      </w:r>
      <w:r w:rsidRPr="00895819">
        <w:rPr>
          <w:lang w:val="sr-Cyrl-CS"/>
        </w:rPr>
        <w:tab/>
      </w:r>
      <w:r w:rsidR="00843D06" w:rsidRPr="00895819">
        <w:rPr>
          <w:lang w:val="sr-Cyrl-CS"/>
        </w:rPr>
        <w:t>осим уколико није другачије дефинисано, референтно време је париско време</w:t>
      </w:r>
      <w:r w:rsidR="00B16F8D" w:rsidRPr="00895819">
        <w:rPr>
          <w:lang w:val="sr-Cyrl-CS"/>
        </w:rPr>
        <w:t>;</w:t>
      </w:r>
    </w:p>
    <w:p w14:paraId="0ED7A650" w14:textId="36D386BC" w:rsidR="00B16F8D" w:rsidRPr="00895819" w:rsidRDefault="00B34C6C" w:rsidP="00B34C6C">
      <w:pPr>
        <w:pStyle w:val="ListArabic2"/>
        <w:numPr>
          <w:ilvl w:val="0"/>
          <w:numId w:val="0"/>
        </w:numPr>
        <w:ind w:left="1440" w:hanging="720"/>
        <w:rPr>
          <w:lang w:val="sr-Cyrl-CS"/>
        </w:rPr>
      </w:pPr>
      <w:r w:rsidRPr="00895819">
        <w:rPr>
          <w:lang w:val="sr-Cyrl-CS"/>
        </w:rPr>
        <w:t>(ј)</w:t>
      </w:r>
      <w:r w:rsidRPr="00895819">
        <w:rPr>
          <w:lang w:val="sr-Cyrl-CS"/>
        </w:rPr>
        <w:tab/>
      </w:r>
      <w:r w:rsidR="00445C8C" w:rsidRPr="00895819">
        <w:rPr>
          <w:lang w:val="sr-Cyrl-CS"/>
        </w:rPr>
        <w:t>н</w:t>
      </w:r>
      <w:r w:rsidR="00843D06" w:rsidRPr="00895819">
        <w:rPr>
          <w:lang w:val="sr-Cyrl-CS"/>
        </w:rPr>
        <w:t xml:space="preserve">аслови Одељака, Чланова и Прилога служе само ради лакшег сналажења и не утичу на тумачење овог </w:t>
      </w:r>
      <w:r w:rsidR="0039269A" w:rsidRPr="00895819">
        <w:rPr>
          <w:lang w:val="sr-Cyrl-CS"/>
        </w:rPr>
        <w:t>у</w:t>
      </w:r>
      <w:r w:rsidR="00843D06" w:rsidRPr="00895819">
        <w:rPr>
          <w:lang w:val="sr-Cyrl-CS"/>
        </w:rPr>
        <w:t>говора</w:t>
      </w:r>
      <w:r w:rsidR="00B16F8D" w:rsidRPr="00895819">
        <w:rPr>
          <w:lang w:val="sr-Cyrl-CS"/>
        </w:rPr>
        <w:t>;</w:t>
      </w:r>
    </w:p>
    <w:p w14:paraId="02140A3B" w14:textId="3B8F2647" w:rsidR="00B16F8D" w:rsidRPr="00895819" w:rsidRDefault="00B34C6C" w:rsidP="00B34C6C">
      <w:pPr>
        <w:pStyle w:val="ListArabic2"/>
        <w:numPr>
          <w:ilvl w:val="0"/>
          <w:numId w:val="0"/>
        </w:numPr>
        <w:ind w:left="1440" w:hanging="720"/>
        <w:rPr>
          <w:lang w:val="sr-Cyrl-CS"/>
        </w:rPr>
      </w:pPr>
      <w:r w:rsidRPr="00895819">
        <w:rPr>
          <w:lang w:val="sr-Cyrl-CS"/>
        </w:rPr>
        <w:t>(к)</w:t>
      </w:r>
      <w:r w:rsidRPr="00895819">
        <w:rPr>
          <w:lang w:val="sr-Cyrl-CS"/>
        </w:rPr>
        <w:tab/>
      </w:r>
      <w:r w:rsidR="00D838DC" w:rsidRPr="00895819">
        <w:rPr>
          <w:lang w:val="sr-Cyrl-CS"/>
        </w:rPr>
        <w:t>осим уколико није другачије дефинисано, речи и изрази коришћени у било ком другом документу који се одно</w:t>
      </w:r>
      <w:r w:rsidR="001633B6" w:rsidRPr="00895819">
        <w:rPr>
          <w:lang w:val="sr-Cyrl-CS"/>
        </w:rPr>
        <w:t>си на овај у</w:t>
      </w:r>
      <w:r w:rsidR="00D838DC" w:rsidRPr="00895819">
        <w:rPr>
          <w:lang w:val="sr-Cyrl-CS"/>
        </w:rPr>
        <w:t xml:space="preserve">говор или у било ком обавештењу датом у вези са овим </w:t>
      </w:r>
      <w:r w:rsidR="0039269A" w:rsidRPr="00895819">
        <w:rPr>
          <w:lang w:val="sr-Cyrl-CS"/>
        </w:rPr>
        <w:t>у</w:t>
      </w:r>
      <w:r w:rsidR="00D838DC" w:rsidRPr="00895819">
        <w:rPr>
          <w:lang w:val="sr-Cyrl-CS"/>
        </w:rPr>
        <w:t xml:space="preserve">говором имаће исто значење дато у том документу или објави као и у овом </w:t>
      </w:r>
      <w:r w:rsidR="0039269A" w:rsidRPr="00895819">
        <w:rPr>
          <w:lang w:val="sr-Cyrl-CS"/>
        </w:rPr>
        <w:t>у</w:t>
      </w:r>
      <w:r w:rsidR="00D838DC" w:rsidRPr="00895819">
        <w:rPr>
          <w:lang w:val="sr-Cyrl-CS"/>
        </w:rPr>
        <w:t>говору</w:t>
      </w:r>
      <w:r w:rsidR="00B16F8D" w:rsidRPr="00895819">
        <w:rPr>
          <w:lang w:val="sr-Cyrl-CS"/>
        </w:rPr>
        <w:t>;</w:t>
      </w:r>
    </w:p>
    <w:p w14:paraId="55D931A1" w14:textId="2A174359" w:rsidR="00B16F8D" w:rsidRPr="00895819" w:rsidRDefault="00B34C6C" w:rsidP="00B34C6C">
      <w:pPr>
        <w:pStyle w:val="ListArabic2"/>
        <w:numPr>
          <w:ilvl w:val="0"/>
          <w:numId w:val="0"/>
        </w:numPr>
        <w:ind w:left="1440" w:hanging="720"/>
        <w:rPr>
          <w:lang w:val="sr-Cyrl-CS"/>
        </w:rPr>
      </w:pPr>
      <w:r w:rsidRPr="00895819">
        <w:rPr>
          <w:lang w:val="sr-Cyrl-CS"/>
        </w:rPr>
        <w:t>(л)</w:t>
      </w:r>
      <w:r w:rsidRPr="00895819">
        <w:rPr>
          <w:lang w:val="sr-Cyrl-CS"/>
        </w:rPr>
        <w:tab/>
      </w:r>
      <w:r w:rsidR="00D838DC" w:rsidRPr="00895819">
        <w:rPr>
          <w:lang w:val="sr-Cyrl-CS"/>
        </w:rPr>
        <w:t xml:space="preserve">Случај неизвршења обавеза се </w:t>
      </w:r>
      <w:r w:rsidR="007C25D7" w:rsidRPr="00895819">
        <w:rPr>
          <w:lang w:val="sr-Cyrl-CS"/>
        </w:rPr>
        <w:t>„</w:t>
      </w:r>
      <w:r w:rsidR="00D838DC" w:rsidRPr="00895819">
        <w:rPr>
          <w:lang w:val="sr-Cyrl-CS"/>
        </w:rPr>
        <w:t>наставља” ако није отклоњен или ако се Зајмодавац није одрекао ниједног од својих права у вези са тим</w:t>
      </w:r>
      <w:r w:rsidR="00B16F8D" w:rsidRPr="00895819">
        <w:rPr>
          <w:lang w:val="sr-Cyrl-CS"/>
        </w:rPr>
        <w:t>;</w:t>
      </w:r>
    </w:p>
    <w:p w14:paraId="0851D02D" w14:textId="4F782E49" w:rsidR="00B16F8D" w:rsidRPr="00895819" w:rsidRDefault="00B34C6C" w:rsidP="00B34C6C">
      <w:pPr>
        <w:pStyle w:val="ListArabic2"/>
        <w:numPr>
          <w:ilvl w:val="0"/>
          <w:numId w:val="0"/>
        </w:numPr>
        <w:ind w:left="1440" w:hanging="720"/>
        <w:rPr>
          <w:lang w:val="sr-Cyrl-CS"/>
        </w:rPr>
      </w:pPr>
      <w:r w:rsidRPr="00895819">
        <w:rPr>
          <w:lang w:val="sr-Cyrl-CS"/>
        </w:rPr>
        <w:t>(м)</w:t>
      </w:r>
      <w:r w:rsidRPr="00895819">
        <w:rPr>
          <w:lang w:val="sr-Cyrl-CS"/>
        </w:rPr>
        <w:tab/>
      </w:r>
      <w:r w:rsidR="00D838DC" w:rsidRPr="00895819">
        <w:rPr>
          <w:lang w:val="sr-Cyrl-CS"/>
        </w:rPr>
        <w:t xml:space="preserve">упућивање на Члан или Прилог представља упућивање на Члан или Прилог овог </w:t>
      </w:r>
      <w:r w:rsidR="0039269A" w:rsidRPr="00895819">
        <w:rPr>
          <w:lang w:val="sr-Cyrl-CS"/>
        </w:rPr>
        <w:t>у</w:t>
      </w:r>
      <w:r w:rsidR="00D838DC" w:rsidRPr="00895819">
        <w:rPr>
          <w:lang w:val="sr-Cyrl-CS"/>
        </w:rPr>
        <w:t>говора</w:t>
      </w:r>
      <w:r w:rsidR="00B16F8D" w:rsidRPr="00895819">
        <w:rPr>
          <w:lang w:val="sr-Cyrl-CS"/>
        </w:rPr>
        <w:t xml:space="preserve">; </w:t>
      </w:r>
      <w:r w:rsidR="00D838DC" w:rsidRPr="00895819">
        <w:rPr>
          <w:lang w:val="sr-Cyrl-CS"/>
        </w:rPr>
        <w:t>и</w:t>
      </w:r>
    </w:p>
    <w:p w14:paraId="45ABFAEE" w14:textId="73CC7083" w:rsidR="00B16F8D" w:rsidRPr="00895819" w:rsidRDefault="00B34C6C" w:rsidP="00B34C6C">
      <w:pPr>
        <w:pStyle w:val="ListArabic2"/>
        <w:numPr>
          <w:ilvl w:val="0"/>
          <w:numId w:val="0"/>
        </w:numPr>
        <w:ind w:left="1440" w:hanging="720"/>
        <w:rPr>
          <w:lang w:val="sr-Cyrl-CS"/>
        </w:rPr>
      </w:pPr>
      <w:r w:rsidRPr="00895819">
        <w:rPr>
          <w:lang w:val="sr-Cyrl-CS"/>
        </w:rPr>
        <w:t>(н)</w:t>
      </w:r>
      <w:r w:rsidRPr="00895819">
        <w:rPr>
          <w:lang w:val="sr-Cyrl-CS"/>
        </w:rPr>
        <w:tab/>
      </w:r>
      <w:r w:rsidR="00D838DC" w:rsidRPr="00895819">
        <w:rPr>
          <w:lang w:val="sr-Cyrl-CS"/>
        </w:rPr>
        <w:t>речи дате у множини подразумевају и једнину и обрнуто</w:t>
      </w:r>
      <w:r w:rsidR="00B16F8D" w:rsidRPr="00895819">
        <w:rPr>
          <w:lang w:val="sr-Cyrl-CS"/>
        </w:rPr>
        <w:t xml:space="preserve">. </w:t>
      </w:r>
    </w:p>
    <w:p w14:paraId="71C65938" w14:textId="77777777" w:rsidR="00B16F8D" w:rsidRPr="00895819" w:rsidRDefault="00CB06B5" w:rsidP="00B16F8D">
      <w:pPr>
        <w:pStyle w:val="Schhead"/>
        <w:outlineLvl w:val="0"/>
        <w:rPr>
          <w:rFonts w:ascii="Times New Roman" w:hAnsi="Times New Roman"/>
          <w:caps w:val="0"/>
          <w:szCs w:val="22"/>
          <w:lang w:val="sr-Cyrl-CS"/>
        </w:rPr>
      </w:pPr>
      <w:bookmarkStart w:id="161" w:name="_Toc129873701"/>
      <w:r w:rsidRPr="00895819">
        <w:rPr>
          <w:rFonts w:ascii="Times New Roman" w:hAnsi="Times New Roman"/>
          <w:lang w:val="sr-Cyrl-CS"/>
        </w:rPr>
        <w:lastRenderedPageBreak/>
        <w:t xml:space="preserve">ПРИЛОГ </w:t>
      </w:r>
      <w:r w:rsidR="00B16F8D" w:rsidRPr="00895819">
        <w:rPr>
          <w:rFonts w:ascii="Times New Roman" w:hAnsi="Times New Roman"/>
          <w:lang w:val="sr-Cyrl-CS"/>
        </w:rPr>
        <w:t xml:space="preserve">2 </w:t>
      </w:r>
      <w:r w:rsidRPr="00895819">
        <w:rPr>
          <w:rFonts w:ascii="Times New Roman" w:hAnsi="Times New Roman"/>
          <w:lang w:val="sr-Cyrl-CS"/>
        </w:rPr>
        <w:t>–</w:t>
      </w:r>
      <w:r w:rsidR="00B16F8D" w:rsidRPr="00895819">
        <w:rPr>
          <w:rFonts w:ascii="Times New Roman" w:hAnsi="Times New Roman"/>
          <w:lang w:val="sr-Cyrl-CS"/>
        </w:rPr>
        <w:t xml:space="preserve"> </w:t>
      </w:r>
      <w:r w:rsidRPr="00895819">
        <w:rPr>
          <w:rFonts w:ascii="Times New Roman" w:hAnsi="Times New Roman"/>
          <w:lang w:val="sr-Cyrl-CS"/>
        </w:rPr>
        <w:t>ОПИС ОПЕРАЦИЈЕ</w:t>
      </w:r>
      <w:bookmarkEnd w:id="161"/>
    </w:p>
    <w:p w14:paraId="6159B499" w14:textId="77777777" w:rsidR="00B16F8D" w:rsidRPr="00895819" w:rsidRDefault="00B16F8D" w:rsidP="00B16F8D">
      <w:pPr>
        <w:spacing w:after="120"/>
        <w:rPr>
          <w:b/>
          <w:szCs w:val="22"/>
          <w:u w:val="single"/>
          <w:lang w:val="sr-Cyrl-CS"/>
        </w:rPr>
      </w:pPr>
      <w:r w:rsidRPr="00895819">
        <w:rPr>
          <w:b/>
          <w:szCs w:val="22"/>
          <w:u w:val="single"/>
          <w:lang w:val="sr-Cyrl-CS"/>
        </w:rPr>
        <w:t xml:space="preserve">A </w:t>
      </w:r>
      <w:r w:rsidR="00CB06B5" w:rsidRPr="00895819">
        <w:rPr>
          <w:b/>
          <w:szCs w:val="22"/>
          <w:u w:val="single"/>
          <w:lang w:val="sr-Cyrl-CS"/>
        </w:rPr>
        <w:t>–</w:t>
      </w:r>
      <w:r w:rsidRPr="00895819">
        <w:rPr>
          <w:b/>
          <w:szCs w:val="22"/>
          <w:u w:val="single"/>
          <w:lang w:val="sr-Cyrl-CS"/>
        </w:rPr>
        <w:t xml:space="preserve"> </w:t>
      </w:r>
      <w:r w:rsidR="00CB06B5" w:rsidRPr="00895819">
        <w:rPr>
          <w:b/>
          <w:szCs w:val="22"/>
          <w:u w:val="single"/>
          <w:lang w:val="sr-Cyrl-CS"/>
        </w:rPr>
        <w:t>Зелена транзиција у Србији</w:t>
      </w:r>
    </w:p>
    <w:p w14:paraId="49724A24" w14:textId="1A683066" w:rsidR="00B16F8D" w:rsidRPr="00895819" w:rsidRDefault="00434E5A" w:rsidP="00B16F8D">
      <w:pPr>
        <w:pStyle w:val="comtexte"/>
        <w:ind w:left="0" w:firstLine="284"/>
        <w:rPr>
          <w:sz w:val="22"/>
          <w:szCs w:val="22"/>
          <w:lang w:val="sr-Cyrl-CS"/>
        </w:rPr>
      </w:pPr>
      <w:r w:rsidRPr="00895819">
        <w:rPr>
          <w:b/>
          <w:sz w:val="22"/>
          <w:szCs w:val="22"/>
          <w:lang w:val="sr-Cyrl-CS"/>
        </w:rPr>
        <w:t>Србија је земља са средњим приходима у процес придруживања Европској унији</w:t>
      </w:r>
      <w:r w:rsidR="00B16F8D" w:rsidRPr="00895819">
        <w:rPr>
          <w:b/>
          <w:sz w:val="22"/>
          <w:szCs w:val="22"/>
          <w:lang w:val="sr-Cyrl-CS"/>
        </w:rPr>
        <w:t>.</w:t>
      </w:r>
      <w:r w:rsidR="00B16F8D" w:rsidRPr="00895819">
        <w:rPr>
          <w:sz w:val="22"/>
          <w:szCs w:val="22"/>
          <w:lang w:val="sr-Cyrl-CS"/>
        </w:rPr>
        <w:t xml:space="preserve"> </w:t>
      </w:r>
      <w:r w:rsidRPr="00895819">
        <w:rPr>
          <w:sz w:val="22"/>
          <w:szCs w:val="22"/>
          <w:lang w:val="sr-Cyrl-CS"/>
        </w:rPr>
        <w:t>Са приходом по глави становника од 9.215 УСД</w:t>
      </w:r>
      <w:r w:rsidR="00B16F8D" w:rsidRPr="00895819">
        <w:rPr>
          <w:sz w:val="22"/>
          <w:szCs w:val="22"/>
          <w:lang w:val="sr-Cyrl-CS"/>
        </w:rPr>
        <w:t xml:space="preserve">, </w:t>
      </w:r>
      <w:r w:rsidRPr="00895819">
        <w:rPr>
          <w:sz w:val="22"/>
          <w:szCs w:val="22"/>
          <w:lang w:val="sr-Cyrl-CS"/>
        </w:rPr>
        <w:t xml:space="preserve">Србија је земља са вишим средњим </w:t>
      </w:r>
      <w:r w:rsidR="0044049D" w:rsidRPr="00895819">
        <w:rPr>
          <w:sz w:val="22"/>
          <w:szCs w:val="22"/>
          <w:lang w:val="sr-Cyrl-CS"/>
        </w:rPr>
        <w:t>приходом</w:t>
      </w:r>
      <w:r w:rsidR="00B34C6C" w:rsidRPr="00895819">
        <w:rPr>
          <w:sz w:val="22"/>
          <w:szCs w:val="22"/>
          <w:lang w:val="sr-Cyrl-CS"/>
        </w:rPr>
        <w:t xml:space="preserve"> (ВСП)</w:t>
      </w:r>
      <w:r w:rsidR="00B16F8D" w:rsidRPr="00895819">
        <w:rPr>
          <w:sz w:val="22"/>
          <w:szCs w:val="22"/>
          <w:lang w:val="sr-Cyrl-CS"/>
        </w:rPr>
        <w:t xml:space="preserve">. </w:t>
      </w:r>
      <w:r w:rsidR="0044049D" w:rsidRPr="00895819">
        <w:rPr>
          <w:sz w:val="22"/>
          <w:szCs w:val="22"/>
          <w:lang w:val="sr-Cyrl-CS"/>
        </w:rPr>
        <w:t>Након</w:t>
      </w:r>
      <w:r w:rsidRPr="00895819">
        <w:rPr>
          <w:sz w:val="22"/>
          <w:szCs w:val="22"/>
          <w:lang w:val="sr-Cyrl-CS"/>
        </w:rPr>
        <w:t xml:space="preserve"> периода фискалне консолидације средином прве деценије XXI </w:t>
      </w:r>
      <w:r w:rsidR="00DE149A" w:rsidRPr="00895819">
        <w:rPr>
          <w:sz w:val="22"/>
          <w:szCs w:val="22"/>
          <w:lang w:val="sr-Cyrl-CS"/>
        </w:rPr>
        <w:t>века</w:t>
      </w:r>
      <w:r w:rsidRPr="00895819">
        <w:rPr>
          <w:sz w:val="22"/>
          <w:szCs w:val="22"/>
          <w:lang w:val="sr-Cyrl-CS"/>
        </w:rPr>
        <w:t xml:space="preserve">, српска привреда се опоравила и остварила просечну стопу раста од 3,4%. Захваљујући снажним макроекономским основама, земља је добро пребродила кризу изазвану пандемијом вируса </w:t>
      </w:r>
      <w:r w:rsidR="00B34C6C" w:rsidRPr="00895819">
        <w:rPr>
          <w:lang w:val="sr-Cyrl-CS"/>
        </w:rPr>
        <w:t>COVID19</w:t>
      </w:r>
      <w:r w:rsidR="00B16F8D" w:rsidRPr="00895819">
        <w:rPr>
          <w:sz w:val="22"/>
          <w:szCs w:val="22"/>
          <w:lang w:val="sr-Cyrl-CS"/>
        </w:rPr>
        <w:t xml:space="preserve"> </w:t>
      </w:r>
      <w:r w:rsidRPr="00895819">
        <w:rPr>
          <w:sz w:val="22"/>
          <w:szCs w:val="22"/>
          <w:lang w:val="sr-Cyrl-CS"/>
        </w:rPr>
        <w:t xml:space="preserve">и брзо се опоравља. Овај период је погодовао напретку у </w:t>
      </w:r>
      <w:r w:rsidR="0044049D" w:rsidRPr="00895819">
        <w:rPr>
          <w:sz w:val="22"/>
          <w:szCs w:val="22"/>
          <w:lang w:val="sr-Cyrl-CS"/>
        </w:rPr>
        <w:t xml:space="preserve">процесу </w:t>
      </w:r>
      <w:r w:rsidRPr="00895819">
        <w:rPr>
          <w:sz w:val="22"/>
          <w:szCs w:val="22"/>
          <w:lang w:val="sr-Cyrl-CS"/>
        </w:rPr>
        <w:t xml:space="preserve">приступању Европској унији, започетом 2012. године, отварањем преговора о </w:t>
      </w:r>
      <w:r w:rsidR="0044049D" w:rsidRPr="00895819">
        <w:rPr>
          <w:sz w:val="22"/>
          <w:szCs w:val="22"/>
          <w:lang w:val="sr-Cyrl-CS"/>
        </w:rPr>
        <w:t>усвајању</w:t>
      </w:r>
      <w:r w:rsidRPr="00895819">
        <w:rPr>
          <w:sz w:val="22"/>
          <w:szCs w:val="22"/>
          <w:lang w:val="sr-Cyrl-CS"/>
        </w:rPr>
        <w:t xml:space="preserve"> правних тековина </w:t>
      </w:r>
      <w:r w:rsidR="009A3A14" w:rsidRPr="00895819">
        <w:rPr>
          <w:sz w:val="22"/>
          <w:szCs w:val="22"/>
          <w:lang w:val="sr-Cyrl-CS"/>
        </w:rPr>
        <w:t xml:space="preserve">у 22 поглавља </w:t>
      </w:r>
      <w:r w:rsidR="00B16F8D" w:rsidRPr="00895819">
        <w:rPr>
          <w:sz w:val="22"/>
          <w:szCs w:val="22"/>
          <w:lang w:val="sr-Cyrl-CS"/>
        </w:rPr>
        <w:t xml:space="preserve">– </w:t>
      </w:r>
      <w:r w:rsidR="009A3A14" w:rsidRPr="00895819">
        <w:rPr>
          <w:sz w:val="22"/>
          <w:szCs w:val="22"/>
          <w:lang w:val="sr-Cyrl-CS"/>
        </w:rPr>
        <w:t xml:space="preserve">укључујући и Поглавље </w:t>
      </w:r>
      <w:r w:rsidR="00B16F8D" w:rsidRPr="00895819">
        <w:rPr>
          <w:sz w:val="22"/>
          <w:szCs w:val="22"/>
          <w:lang w:val="sr-Cyrl-CS"/>
        </w:rPr>
        <w:t xml:space="preserve">27 </w:t>
      </w:r>
      <w:r w:rsidR="009A3A14" w:rsidRPr="00895819">
        <w:rPr>
          <w:sz w:val="22"/>
          <w:szCs w:val="22"/>
          <w:lang w:val="sr-Cyrl-CS"/>
        </w:rPr>
        <w:t>о животној средини и климатским променама и Поглављу 15 о енерг</w:t>
      </w:r>
      <w:r w:rsidR="0044049D" w:rsidRPr="00895819">
        <w:rPr>
          <w:sz w:val="22"/>
          <w:szCs w:val="22"/>
          <w:lang w:val="sr-Cyrl-CS"/>
        </w:rPr>
        <w:t>етици</w:t>
      </w:r>
      <w:r w:rsidR="00B16F8D" w:rsidRPr="00895819">
        <w:rPr>
          <w:sz w:val="22"/>
          <w:szCs w:val="22"/>
          <w:lang w:val="sr-Cyrl-CS"/>
        </w:rPr>
        <w:t>.</w:t>
      </w:r>
    </w:p>
    <w:p w14:paraId="40932AE2" w14:textId="2AF478B6" w:rsidR="00444D01" w:rsidRPr="00895819" w:rsidRDefault="00DE149A" w:rsidP="002536DF">
      <w:pPr>
        <w:pStyle w:val="comtexte"/>
        <w:ind w:left="0" w:firstLine="284"/>
        <w:rPr>
          <w:sz w:val="22"/>
          <w:szCs w:val="22"/>
          <w:lang w:val="sr-Cyrl-CS"/>
        </w:rPr>
      </w:pPr>
      <w:r w:rsidRPr="00895819">
        <w:rPr>
          <w:b/>
          <w:sz w:val="22"/>
          <w:szCs w:val="22"/>
          <w:lang w:val="sr-Cyrl-CS"/>
        </w:rPr>
        <w:t xml:space="preserve">Србија се суочава са значајним еколошким изазовима који утичу на квалитет живота </w:t>
      </w:r>
      <w:r w:rsidR="0044049D" w:rsidRPr="00895819">
        <w:rPr>
          <w:b/>
          <w:sz w:val="22"/>
          <w:szCs w:val="22"/>
          <w:lang w:val="sr-Cyrl-CS"/>
        </w:rPr>
        <w:t>грађана</w:t>
      </w:r>
      <w:r w:rsidRPr="00895819">
        <w:rPr>
          <w:b/>
          <w:sz w:val="22"/>
          <w:szCs w:val="22"/>
          <w:lang w:val="sr-Cyrl-CS"/>
        </w:rPr>
        <w:t xml:space="preserve"> </w:t>
      </w:r>
      <w:r w:rsidR="00104D55" w:rsidRPr="00895819">
        <w:rPr>
          <w:b/>
          <w:sz w:val="22"/>
          <w:szCs w:val="22"/>
          <w:lang w:val="sr-Cyrl-CS"/>
        </w:rPr>
        <w:t xml:space="preserve">и способност да привуче стране </w:t>
      </w:r>
      <w:r w:rsidR="0044049D" w:rsidRPr="00895819">
        <w:rPr>
          <w:b/>
          <w:sz w:val="22"/>
          <w:szCs w:val="22"/>
          <w:lang w:val="sr-Cyrl-CS"/>
        </w:rPr>
        <w:t xml:space="preserve">директне </w:t>
      </w:r>
      <w:r w:rsidR="00104D55" w:rsidRPr="00895819">
        <w:rPr>
          <w:b/>
          <w:sz w:val="22"/>
          <w:szCs w:val="22"/>
          <w:lang w:val="sr-Cyrl-CS"/>
        </w:rPr>
        <w:t>инвестиције</w:t>
      </w:r>
      <w:r w:rsidR="00B16F8D" w:rsidRPr="00895819">
        <w:rPr>
          <w:sz w:val="22"/>
          <w:szCs w:val="22"/>
          <w:lang w:val="sr-Cyrl-CS"/>
        </w:rPr>
        <w:t xml:space="preserve">. </w:t>
      </w:r>
      <w:r w:rsidR="00104D55" w:rsidRPr="00895819">
        <w:rPr>
          <w:sz w:val="22"/>
          <w:szCs w:val="22"/>
          <w:lang w:val="sr-Cyrl-CS"/>
        </w:rPr>
        <w:t xml:space="preserve">Земља је посебно погођена проблемима који се односе на </w:t>
      </w:r>
      <w:r w:rsidR="00B16F8D" w:rsidRPr="00895819">
        <w:rPr>
          <w:sz w:val="22"/>
          <w:szCs w:val="22"/>
          <w:lang w:val="sr-Cyrl-CS"/>
        </w:rPr>
        <w:t xml:space="preserve">(i) </w:t>
      </w:r>
      <w:r w:rsidR="0044049D" w:rsidRPr="00895819">
        <w:rPr>
          <w:sz w:val="22"/>
          <w:szCs w:val="22"/>
          <w:lang w:val="sr-Cyrl-CS"/>
        </w:rPr>
        <w:t>у</w:t>
      </w:r>
      <w:r w:rsidR="00104D55" w:rsidRPr="00895819">
        <w:rPr>
          <w:sz w:val="22"/>
          <w:szCs w:val="22"/>
          <w:lang w:val="sr-Cyrl-CS"/>
        </w:rPr>
        <w:t>прављање водама;</w:t>
      </w:r>
      <w:r w:rsidR="00B16F8D" w:rsidRPr="00895819">
        <w:rPr>
          <w:sz w:val="22"/>
          <w:szCs w:val="22"/>
          <w:lang w:val="sr-Cyrl-CS"/>
        </w:rPr>
        <w:t xml:space="preserve"> (ii) </w:t>
      </w:r>
      <w:r w:rsidR="00104D55" w:rsidRPr="00895819">
        <w:rPr>
          <w:sz w:val="22"/>
          <w:szCs w:val="22"/>
          <w:lang w:val="sr-Cyrl-CS"/>
        </w:rPr>
        <w:t xml:space="preserve">управљање чврстим отпадом; и </w:t>
      </w:r>
      <w:r w:rsidR="00B16F8D" w:rsidRPr="00895819">
        <w:rPr>
          <w:sz w:val="22"/>
          <w:szCs w:val="22"/>
          <w:lang w:val="sr-Cyrl-CS"/>
        </w:rPr>
        <w:t xml:space="preserve">(iii) </w:t>
      </w:r>
      <w:r w:rsidR="00104D55" w:rsidRPr="00895819">
        <w:rPr>
          <w:sz w:val="22"/>
          <w:szCs w:val="22"/>
          <w:lang w:val="sr-Cyrl-CS"/>
        </w:rPr>
        <w:t>загађење ваздуха</w:t>
      </w:r>
      <w:r w:rsidR="00B16F8D" w:rsidRPr="00895819">
        <w:rPr>
          <w:sz w:val="22"/>
          <w:szCs w:val="22"/>
          <w:lang w:val="sr-Cyrl-CS"/>
        </w:rPr>
        <w:t xml:space="preserve">. </w:t>
      </w:r>
      <w:r w:rsidR="00104D55" w:rsidRPr="00895819">
        <w:rPr>
          <w:sz w:val="22"/>
          <w:szCs w:val="22"/>
          <w:lang w:val="sr-Cyrl-CS"/>
        </w:rPr>
        <w:t>Приступ канализацији и пијаћој води још увек недостаје за 80% односно 25% становништва (у односу на просек у ЕУ</w:t>
      </w:r>
      <w:r w:rsidR="00B34C6C" w:rsidRPr="00895819">
        <w:rPr>
          <w:sz w:val="22"/>
          <w:szCs w:val="22"/>
          <w:lang w:val="sr-Cyrl-CS"/>
        </w:rPr>
        <w:t>:</w:t>
      </w:r>
      <w:r w:rsidR="00EB1BFD" w:rsidRPr="00895819">
        <w:rPr>
          <w:sz w:val="22"/>
          <w:szCs w:val="22"/>
          <w:lang w:val="sr-Cyrl-CS"/>
        </w:rPr>
        <w:t xml:space="preserve"> од</w:t>
      </w:r>
      <w:r w:rsidR="00104D55" w:rsidRPr="00895819">
        <w:rPr>
          <w:sz w:val="22"/>
          <w:szCs w:val="22"/>
          <w:lang w:val="sr-Cyrl-CS"/>
        </w:rPr>
        <w:t xml:space="preserve"> 13% </w:t>
      </w:r>
      <w:r w:rsidR="00B34C6C" w:rsidRPr="00895819">
        <w:rPr>
          <w:sz w:val="22"/>
          <w:szCs w:val="22"/>
          <w:lang w:val="sr-Cyrl-CS"/>
        </w:rPr>
        <w:t>и</w:t>
      </w:r>
      <w:r w:rsidR="00104D55" w:rsidRPr="00895819">
        <w:rPr>
          <w:sz w:val="22"/>
          <w:szCs w:val="22"/>
          <w:lang w:val="sr-Cyrl-CS"/>
        </w:rPr>
        <w:t xml:space="preserve"> 2,5%). Одсуство механизама везаних за циркуларну економију доводи до тога да се 95% чврстог отпада одлаже на депоније (у односу на просек у ЕУ</w:t>
      </w:r>
      <w:r w:rsidR="00B34C6C" w:rsidRPr="00895819">
        <w:rPr>
          <w:sz w:val="22"/>
          <w:szCs w:val="22"/>
          <w:lang w:val="sr-Cyrl-CS"/>
        </w:rPr>
        <w:t>:</w:t>
      </w:r>
      <w:r w:rsidR="00104D55" w:rsidRPr="00895819">
        <w:rPr>
          <w:sz w:val="22"/>
          <w:szCs w:val="22"/>
          <w:lang w:val="sr-Cyrl-CS"/>
        </w:rPr>
        <w:t xml:space="preserve"> 33%</w:t>
      </w:r>
      <w:r w:rsidR="00B16F8D" w:rsidRPr="00895819">
        <w:rPr>
          <w:sz w:val="22"/>
          <w:szCs w:val="22"/>
          <w:lang w:val="sr-Cyrl-CS"/>
        </w:rPr>
        <w:t xml:space="preserve">). </w:t>
      </w:r>
      <w:r w:rsidR="00CE687D" w:rsidRPr="00895819">
        <w:rPr>
          <w:sz w:val="22"/>
          <w:szCs w:val="22"/>
          <w:lang w:val="sr-Cyrl-CS"/>
        </w:rPr>
        <w:t xml:space="preserve">Преовлађивање угља у енергетском миксу, застарелост возног парка моторних возила и трошкови повезани са уклањањем загађења у индустрији доводе до тога да </w:t>
      </w:r>
      <w:r w:rsidR="0044049D" w:rsidRPr="00895819">
        <w:rPr>
          <w:sz w:val="22"/>
          <w:szCs w:val="22"/>
          <w:lang w:val="sr-Cyrl-CS"/>
        </w:rPr>
        <w:t xml:space="preserve">је </w:t>
      </w:r>
      <w:r w:rsidR="00CE687D" w:rsidRPr="00895819">
        <w:rPr>
          <w:sz w:val="22"/>
          <w:szCs w:val="22"/>
          <w:lang w:val="sr-Cyrl-CS"/>
        </w:rPr>
        <w:t>98% становништва изложено нивоима финих честица изнад прага који препоручује СЗО (у односу на просек ЕУ</w:t>
      </w:r>
      <w:r w:rsidR="00B34C6C" w:rsidRPr="00895819">
        <w:rPr>
          <w:sz w:val="22"/>
          <w:szCs w:val="22"/>
          <w:lang w:val="sr-Cyrl-CS"/>
        </w:rPr>
        <w:t>:</w:t>
      </w:r>
      <w:r w:rsidR="00CE687D" w:rsidRPr="00895819">
        <w:rPr>
          <w:sz w:val="22"/>
          <w:szCs w:val="22"/>
          <w:lang w:val="sr-Cyrl-CS"/>
        </w:rPr>
        <w:t xml:space="preserve"> 55%). Загађење ваздуха је једно од најважнијих питања јавног здравља, изазивајући скоро 62 смртна случаја на 100.000 људи сваке године – са значајним утицајем на продуктивност</w:t>
      </w:r>
      <w:r w:rsidR="00444D01" w:rsidRPr="00895819">
        <w:rPr>
          <w:rStyle w:val="FootnoteReference"/>
          <w:lang w:val="sr-Cyrl-CS"/>
        </w:rPr>
        <w:footnoteReference w:id="2"/>
      </w:r>
      <w:r w:rsidR="00444D01" w:rsidRPr="00895819">
        <w:rPr>
          <w:lang w:val="sr-Cyrl-CS"/>
        </w:rPr>
        <w:t xml:space="preserve"> </w:t>
      </w:r>
      <w:r w:rsidR="00CE687D" w:rsidRPr="00895819">
        <w:rPr>
          <w:sz w:val="22"/>
          <w:szCs w:val="22"/>
          <w:lang w:val="sr-Cyrl-CS"/>
        </w:rPr>
        <w:t>људског капитала</w:t>
      </w:r>
      <w:r w:rsidR="00B16F8D" w:rsidRPr="00895819">
        <w:rPr>
          <w:sz w:val="22"/>
          <w:szCs w:val="22"/>
          <w:lang w:val="sr-Cyrl-CS"/>
        </w:rPr>
        <w:t xml:space="preserve">. </w:t>
      </w:r>
    </w:p>
    <w:p w14:paraId="68E0F7D7" w14:textId="24668386" w:rsidR="00444D01" w:rsidRPr="00895819" w:rsidRDefault="00AA7E9B" w:rsidP="00186EE8">
      <w:pPr>
        <w:pStyle w:val="comtexte"/>
        <w:ind w:left="0" w:firstLine="284"/>
        <w:rPr>
          <w:sz w:val="22"/>
          <w:szCs w:val="22"/>
          <w:lang w:val="sr-Cyrl-CS"/>
        </w:rPr>
      </w:pPr>
      <w:r w:rsidRPr="00895819">
        <w:rPr>
          <w:b/>
          <w:sz w:val="22"/>
          <w:szCs w:val="22"/>
          <w:lang w:val="sr-Cyrl-CS"/>
        </w:rPr>
        <w:t>Климатске промене стварају и физичк</w:t>
      </w:r>
      <w:r w:rsidR="00B23741" w:rsidRPr="00895819">
        <w:rPr>
          <w:b/>
          <w:sz w:val="22"/>
          <w:szCs w:val="22"/>
          <w:lang w:val="sr-Cyrl-CS"/>
        </w:rPr>
        <w:t>е</w:t>
      </w:r>
      <w:r w:rsidRPr="00895819">
        <w:rPr>
          <w:b/>
          <w:sz w:val="22"/>
          <w:szCs w:val="22"/>
          <w:lang w:val="sr-Cyrl-CS"/>
        </w:rPr>
        <w:t xml:space="preserve"> и транзицион</w:t>
      </w:r>
      <w:r w:rsidR="00B23741" w:rsidRPr="00895819">
        <w:rPr>
          <w:b/>
          <w:sz w:val="22"/>
          <w:szCs w:val="22"/>
          <w:lang w:val="sr-Cyrl-CS"/>
        </w:rPr>
        <w:t>е</w:t>
      </w:r>
      <w:r w:rsidRPr="00895819">
        <w:rPr>
          <w:b/>
          <w:sz w:val="22"/>
          <w:szCs w:val="22"/>
          <w:lang w:val="sr-Cyrl-CS"/>
        </w:rPr>
        <w:t xml:space="preserve"> ризик</w:t>
      </w:r>
      <w:r w:rsidR="00B23741" w:rsidRPr="00895819">
        <w:rPr>
          <w:b/>
          <w:sz w:val="22"/>
          <w:szCs w:val="22"/>
          <w:lang w:val="sr-Cyrl-CS"/>
        </w:rPr>
        <w:t>е</w:t>
      </w:r>
      <w:r w:rsidRPr="00895819">
        <w:rPr>
          <w:b/>
          <w:sz w:val="22"/>
          <w:szCs w:val="22"/>
          <w:lang w:val="sr-Cyrl-CS"/>
        </w:rPr>
        <w:t xml:space="preserve"> за земљу</w:t>
      </w:r>
      <w:r w:rsidR="00B16F8D" w:rsidRPr="00895819">
        <w:rPr>
          <w:b/>
          <w:sz w:val="22"/>
          <w:szCs w:val="22"/>
          <w:lang w:val="sr-Cyrl-CS"/>
        </w:rPr>
        <w:t xml:space="preserve">. </w:t>
      </w:r>
      <w:r w:rsidRPr="00895819">
        <w:rPr>
          <w:sz w:val="22"/>
          <w:szCs w:val="22"/>
          <w:lang w:val="sr-Cyrl-CS"/>
        </w:rPr>
        <w:t xml:space="preserve">Србија је веома изложена варијабилности коју климатске промене имају на хидрометрију. У 2014. години, земља је </w:t>
      </w:r>
      <w:r w:rsidR="00A36ED4" w:rsidRPr="00895819">
        <w:rPr>
          <w:sz w:val="22"/>
          <w:szCs w:val="22"/>
          <w:lang w:val="sr-Cyrl-CS"/>
        </w:rPr>
        <w:t>била погођена</w:t>
      </w:r>
      <w:r w:rsidRPr="00895819">
        <w:rPr>
          <w:sz w:val="22"/>
          <w:szCs w:val="22"/>
          <w:lang w:val="sr-Cyrl-CS"/>
        </w:rPr>
        <w:t xml:space="preserve"> историјск</w:t>
      </w:r>
      <w:r w:rsidR="00A36ED4" w:rsidRPr="00895819">
        <w:rPr>
          <w:sz w:val="22"/>
          <w:szCs w:val="22"/>
          <w:lang w:val="sr-Cyrl-CS"/>
        </w:rPr>
        <w:t>им</w:t>
      </w:r>
      <w:r w:rsidRPr="00895819">
        <w:rPr>
          <w:sz w:val="22"/>
          <w:szCs w:val="22"/>
          <w:lang w:val="sr-Cyrl-CS"/>
        </w:rPr>
        <w:t xml:space="preserve"> поплав</w:t>
      </w:r>
      <w:r w:rsidR="00A36ED4" w:rsidRPr="00895819">
        <w:rPr>
          <w:sz w:val="22"/>
          <w:szCs w:val="22"/>
          <w:lang w:val="sr-Cyrl-CS"/>
        </w:rPr>
        <w:t>ама</w:t>
      </w:r>
      <w:r w:rsidRPr="00895819">
        <w:rPr>
          <w:sz w:val="22"/>
          <w:szCs w:val="22"/>
          <w:lang w:val="sr-Cyrl-CS"/>
        </w:rPr>
        <w:t xml:space="preserve"> које су директно или индиректно погодиле више од 300.000 домаћинстава и проузроковале физичку штету од 1,5 милијарди долара (3,2% БДП-а). Све </w:t>
      </w:r>
      <w:r w:rsidR="00A36ED4" w:rsidRPr="00895819">
        <w:rPr>
          <w:sz w:val="22"/>
          <w:szCs w:val="22"/>
          <w:lang w:val="sr-Cyrl-CS"/>
        </w:rPr>
        <w:t>чешће</w:t>
      </w:r>
      <w:r w:rsidRPr="00895819">
        <w:rPr>
          <w:sz w:val="22"/>
          <w:szCs w:val="22"/>
          <w:lang w:val="sr-Cyrl-CS"/>
        </w:rPr>
        <w:t xml:space="preserve"> суше такође представљају ризик за пољопривреду (10% БДП-а, 20% извоза) и захтевају </w:t>
      </w:r>
      <w:r w:rsidR="00BE5069" w:rsidRPr="00895819">
        <w:rPr>
          <w:sz w:val="22"/>
          <w:szCs w:val="22"/>
          <w:lang w:val="sr-Cyrl-CS"/>
        </w:rPr>
        <w:t xml:space="preserve">примену </w:t>
      </w:r>
      <w:r w:rsidRPr="00895819">
        <w:rPr>
          <w:sz w:val="22"/>
          <w:szCs w:val="22"/>
          <w:lang w:val="sr-Cyrl-CS"/>
        </w:rPr>
        <w:t>мер</w:t>
      </w:r>
      <w:r w:rsidR="00BE5069" w:rsidRPr="00895819">
        <w:rPr>
          <w:sz w:val="22"/>
          <w:szCs w:val="22"/>
          <w:lang w:val="sr-Cyrl-CS"/>
        </w:rPr>
        <w:t>а</w:t>
      </w:r>
      <w:r w:rsidRPr="00895819">
        <w:rPr>
          <w:sz w:val="22"/>
          <w:szCs w:val="22"/>
          <w:lang w:val="sr-Cyrl-CS"/>
        </w:rPr>
        <w:t xml:space="preserve"> прилагођавања</w:t>
      </w:r>
      <w:r w:rsidR="00B16F8D" w:rsidRPr="00895819">
        <w:rPr>
          <w:sz w:val="22"/>
          <w:szCs w:val="22"/>
          <w:lang w:val="sr-Cyrl-CS"/>
        </w:rPr>
        <w:t xml:space="preserve">. </w:t>
      </w:r>
      <w:r w:rsidRPr="00895819">
        <w:rPr>
          <w:sz w:val="22"/>
          <w:szCs w:val="22"/>
          <w:lang w:val="sr-Cyrl-CS"/>
        </w:rPr>
        <w:t>У погледу емисије гасова са ефектом стаклене баште (</w:t>
      </w:r>
      <w:r w:rsidR="007A6BE0" w:rsidRPr="00895819">
        <w:rPr>
          <w:lang w:val="sr-Cyrl-CS"/>
        </w:rPr>
        <w:t>GHG</w:t>
      </w:r>
      <w:r w:rsidRPr="00895819">
        <w:rPr>
          <w:sz w:val="22"/>
          <w:szCs w:val="22"/>
          <w:lang w:val="sr-Cyrl-CS"/>
        </w:rPr>
        <w:t xml:space="preserve">), Србија има скроман допринос глобалном буџету угљеника (0,1% емисија). </w:t>
      </w:r>
      <w:r w:rsidR="00A36ED4" w:rsidRPr="00895819">
        <w:rPr>
          <w:sz w:val="22"/>
          <w:szCs w:val="22"/>
          <w:lang w:val="sr-Cyrl-CS"/>
        </w:rPr>
        <w:t>Н</w:t>
      </w:r>
      <w:r w:rsidRPr="00895819">
        <w:rPr>
          <w:sz w:val="22"/>
          <w:szCs w:val="22"/>
          <w:lang w:val="sr-Cyrl-CS"/>
        </w:rPr>
        <w:t xml:space="preserve">иво емисија по глави становника упоредив </w:t>
      </w:r>
      <w:r w:rsidR="00A36ED4" w:rsidRPr="00895819">
        <w:rPr>
          <w:sz w:val="22"/>
          <w:szCs w:val="22"/>
          <w:lang w:val="sr-Cyrl-CS"/>
        </w:rPr>
        <w:t xml:space="preserve">је </w:t>
      </w:r>
      <w:r w:rsidRPr="00895819">
        <w:rPr>
          <w:sz w:val="22"/>
          <w:szCs w:val="22"/>
          <w:lang w:val="sr-Cyrl-CS"/>
        </w:rPr>
        <w:t xml:space="preserve">са другим земљама са средњим </w:t>
      </w:r>
      <w:r w:rsidR="00A36ED4" w:rsidRPr="00895819">
        <w:rPr>
          <w:sz w:val="22"/>
          <w:szCs w:val="22"/>
          <w:lang w:val="sr-Cyrl-CS"/>
        </w:rPr>
        <w:t>приходима</w:t>
      </w:r>
      <w:r w:rsidRPr="00895819">
        <w:rPr>
          <w:sz w:val="22"/>
          <w:szCs w:val="22"/>
          <w:lang w:val="sr-Cyrl-CS"/>
        </w:rPr>
        <w:t xml:space="preserve"> (8,9 према 8,4 </w:t>
      </w:r>
      <w:r w:rsidR="00A36ED4" w:rsidRPr="00895819">
        <w:rPr>
          <w:sz w:val="22"/>
          <w:szCs w:val="22"/>
          <w:lang w:val="sr-Cyrl-CS"/>
        </w:rPr>
        <w:t>tCO2</w:t>
      </w:r>
      <w:r w:rsidRPr="00895819">
        <w:rPr>
          <w:sz w:val="22"/>
          <w:szCs w:val="22"/>
          <w:lang w:val="sr-Cyrl-CS"/>
        </w:rPr>
        <w:t xml:space="preserve"> по глави становника</w:t>
      </w:r>
      <w:r w:rsidR="00444D01" w:rsidRPr="00895819">
        <w:rPr>
          <w:rStyle w:val="FootnoteReference"/>
          <w:lang w:val="sr-Cyrl-CS"/>
        </w:rPr>
        <w:footnoteReference w:id="3"/>
      </w:r>
      <w:r w:rsidRPr="00895819">
        <w:rPr>
          <w:sz w:val="22"/>
          <w:szCs w:val="22"/>
          <w:lang w:val="sr-Cyrl-CS"/>
        </w:rPr>
        <w:t xml:space="preserve">). Међутим, интензитет </w:t>
      </w:r>
      <w:r w:rsidR="00A36ED4" w:rsidRPr="00895819">
        <w:rPr>
          <w:sz w:val="22"/>
          <w:szCs w:val="22"/>
          <w:lang w:val="sr-Cyrl-CS"/>
        </w:rPr>
        <w:t xml:space="preserve">емисије </w:t>
      </w:r>
      <w:r w:rsidRPr="00895819">
        <w:rPr>
          <w:sz w:val="22"/>
          <w:szCs w:val="22"/>
          <w:lang w:val="sr-Cyrl-CS"/>
        </w:rPr>
        <w:t xml:space="preserve">угљеника у економији веома </w:t>
      </w:r>
      <w:r w:rsidR="00A36ED4" w:rsidRPr="00895819">
        <w:rPr>
          <w:sz w:val="22"/>
          <w:szCs w:val="22"/>
          <w:lang w:val="sr-Cyrl-CS"/>
        </w:rPr>
        <w:t xml:space="preserve">је </w:t>
      </w:r>
      <w:r w:rsidRPr="00895819">
        <w:rPr>
          <w:sz w:val="22"/>
          <w:szCs w:val="22"/>
          <w:lang w:val="sr-Cyrl-CS"/>
        </w:rPr>
        <w:t xml:space="preserve">висок. Угаљ чини 49% енергетског микса, </w:t>
      </w:r>
      <w:r w:rsidR="00BE5069" w:rsidRPr="00895819">
        <w:rPr>
          <w:sz w:val="22"/>
          <w:szCs w:val="22"/>
          <w:lang w:val="sr-Cyrl-CS"/>
        </w:rPr>
        <w:t xml:space="preserve">и то </w:t>
      </w:r>
      <w:r w:rsidRPr="00895819">
        <w:rPr>
          <w:sz w:val="22"/>
          <w:szCs w:val="22"/>
          <w:lang w:val="sr-Cyrl-CS"/>
        </w:rPr>
        <w:t xml:space="preserve">углавном лигнит – </w:t>
      </w:r>
      <w:r w:rsidR="00A36ED4" w:rsidRPr="00895819">
        <w:rPr>
          <w:sz w:val="22"/>
          <w:szCs w:val="22"/>
          <w:lang w:val="sr-Cyrl-CS"/>
        </w:rPr>
        <w:t>врста</w:t>
      </w:r>
      <w:r w:rsidRPr="00895819">
        <w:rPr>
          <w:sz w:val="22"/>
          <w:szCs w:val="22"/>
          <w:lang w:val="sr-Cyrl-CS"/>
        </w:rPr>
        <w:t xml:space="preserve"> угља која је високо</w:t>
      </w:r>
      <w:r w:rsidR="00A36ED4" w:rsidRPr="00895819">
        <w:rPr>
          <w:sz w:val="22"/>
          <w:szCs w:val="22"/>
          <w:lang w:val="sr-Cyrl-CS"/>
        </w:rPr>
        <w:t>угљенична</w:t>
      </w:r>
      <w:r w:rsidR="00B16F8D" w:rsidRPr="00895819">
        <w:rPr>
          <w:sz w:val="22"/>
          <w:szCs w:val="22"/>
          <w:lang w:val="sr-Cyrl-CS"/>
        </w:rPr>
        <w:t xml:space="preserve"> (65-75%) </w:t>
      </w:r>
      <w:r w:rsidRPr="00895819">
        <w:rPr>
          <w:sz w:val="22"/>
          <w:szCs w:val="22"/>
          <w:lang w:val="sr-Cyrl-CS"/>
        </w:rPr>
        <w:t xml:space="preserve">и енергетски неефикасна. Као резултат тога, Србија емитује много више </w:t>
      </w:r>
      <w:r w:rsidR="00A36ED4" w:rsidRPr="00895819">
        <w:rPr>
          <w:sz w:val="22"/>
          <w:szCs w:val="22"/>
          <w:lang w:val="sr-Cyrl-CS"/>
        </w:rPr>
        <w:t>CO2</w:t>
      </w:r>
      <w:r w:rsidRPr="00895819">
        <w:rPr>
          <w:sz w:val="22"/>
          <w:szCs w:val="22"/>
          <w:lang w:val="sr-Cyrl-CS"/>
        </w:rPr>
        <w:t xml:space="preserve"> од </w:t>
      </w:r>
      <w:r w:rsidR="00A36ED4" w:rsidRPr="00895819">
        <w:rPr>
          <w:sz w:val="22"/>
          <w:szCs w:val="22"/>
          <w:lang w:val="sr-Cyrl-CS"/>
        </w:rPr>
        <w:t>зема</w:t>
      </w:r>
      <w:r w:rsidR="00357875" w:rsidRPr="00895819">
        <w:rPr>
          <w:sz w:val="22"/>
          <w:szCs w:val="22"/>
          <w:lang w:val="sr-Cyrl-CS"/>
        </w:rPr>
        <w:t>љ</w:t>
      </w:r>
      <w:r w:rsidR="00A36ED4" w:rsidRPr="00895819">
        <w:rPr>
          <w:sz w:val="22"/>
          <w:szCs w:val="22"/>
          <w:lang w:val="sr-Cyrl-CS"/>
        </w:rPr>
        <w:t>а са којима може да се пореди како би</w:t>
      </w:r>
      <w:r w:rsidRPr="00895819">
        <w:rPr>
          <w:sz w:val="22"/>
          <w:szCs w:val="22"/>
          <w:lang w:val="sr-Cyrl-CS"/>
        </w:rPr>
        <w:t xml:space="preserve"> произвела једнаку количину енергије, што повећава интензитет угљеника у њеној економији. Да би се приближила европском просеку, Србија би морала </w:t>
      </w:r>
      <w:r w:rsidR="00A36ED4" w:rsidRPr="00895819">
        <w:rPr>
          <w:sz w:val="22"/>
          <w:szCs w:val="22"/>
          <w:lang w:val="sr-Cyrl-CS"/>
        </w:rPr>
        <w:t xml:space="preserve">драстично </w:t>
      </w:r>
      <w:r w:rsidR="008A584B" w:rsidRPr="00895819">
        <w:rPr>
          <w:sz w:val="22"/>
          <w:szCs w:val="22"/>
          <w:lang w:val="sr-Cyrl-CS"/>
        </w:rPr>
        <w:t xml:space="preserve">да </w:t>
      </w:r>
      <w:r w:rsidR="00A36ED4" w:rsidRPr="00895819">
        <w:rPr>
          <w:sz w:val="22"/>
          <w:szCs w:val="22"/>
          <w:lang w:val="sr-Cyrl-CS"/>
        </w:rPr>
        <w:t xml:space="preserve">смањи </w:t>
      </w:r>
      <w:r w:rsidRPr="00895819">
        <w:rPr>
          <w:sz w:val="22"/>
          <w:szCs w:val="22"/>
          <w:lang w:val="sr-Cyrl-CS"/>
        </w:rPr>
        <w:t>интензитет угљеника</w:t>
      </w:r>
      <w:r w:rsidR="00A36ED4" w:rsidRPr="00895819">
        <w:rPr>
          <w:sz w:val="22"/>
          <w:szCs w:val="22"/>
          <w:lang w:val="sr-Cyrl-CS"/>
        </w:rPr>
        <w:t xml:space="preserve">, што се </w:t>
      </w:r>
      <w:r w:rsidRPr="00895819">
        <w:rPr>
          <w:sz w:val="22"/>
          <w:szCs w:val="22"/>
          <w:lang w:val="sr-Cyrl-CS"/>
        </w:rPr>
        <w:t xml:space="preserve">може постићи само постепено и захтеваће значајна улагања и мере политике у енергетском сектору – како на страни производње тако и на страни потражње. Међутим, Србија се суочава са краткорочним императивом са ступањем на снагу Механизма ЕУ за </w:t>
      </w:r>
      <w:r w:rsidR="00357875" w:rsidRPr="00895819">
        <w:rPr>
          <w:sz w:val="22"/>
          <w:szCs w:val="22"/>
          <w:lang w:val="sr-Cyrl-CS"/>
        </w:rPr>
        <w:t xml:space="preserve">прекогранично </w:t>
      </w:r>
      <w:r w:rsidRPr="00895819">
        <w:rPr>
          <w:sz w:val="22"/>
          <w:szCs w:val="22"/>
          <w:lang w:val="sr-Cyrl-CS"/>
        </w:rPr>
        <w:t>прилагођавање угљеника (</w:t>
      </w:r>
      <w:r w:rsidR="00292D6F" w:rsidRPr="00895819">
        <w:rPr>
          <w:sz w:val="22"/>
          <w:szCs w:val="22"/>
          <w:lang w:val="sr-Cyrl-CS"/>
        </w:rPr>
        <w:t>ЦБАМ</w:t>
      </w:r>
      <w:r w:rsidRPr="00895819">
        <w:rPr>
          <w:sz w:val="22"/>
          <w:szCs w:val="22"/>
          <w:lang w:val="sr-Cyrl-CS"/>
        </w:rPr>
        <w:t xml:space="preserve">). У року од три године, значајан део српског извоза (1,3 милијарде долара) ће доживети деградацију конкурентности </w:t>
      </w:r>
      <w:r w:rsidR="00357875" w:rsidRPr="00895819">
        <w:rPr>
          <w:sz w:val="22"/>
          <w:szCs w:val="22"/>
          <w:lang w:val="sr-Cyrl-CS"/>
        </w:rPr>
        <w:t>што ће</w:t>
      </w:r>
      <w:r w:rsidRPr="00895819">
        <w:rPr>
          <w:sz w:val="22"/>
          <w:szCs w:val="22"/>
          <w:lang w:val="sr-Cyrl-CS"/>
        </w:rPr>
        <w:t xml:space="preserve"> утица</w:t>
      </w:r>
      <w:r w:rsidR="00357875" w:rsidRPr="00895819">
        <w:rPr>
          <w:sz w:val="22"/>
          <w:szCs w:val="22"/>
          <w:lang w:val="sr-Cyrl-CS"/>
        </w:rPr>
        <w:t xml:space="preserve">ти </w:t>
      </w:r>
      <w:r w:rsidRPr="00895819">
        <w:rPr>
          <w:sz w:val="22"/>
          <w:szCs w:val="22"/>
          <w:lang w:val="sr-Cyrl-CS"/>
        </w:rPr>
        <w:t xml:space="preserve">на производњу, запошљавање и зараде </w:t>
      </w:r>
      <w:r w:rsidR="008A584B" w:rsidRPr="00895819">
        <w:rPr>
          <w:sz w:val="22"/>
          <w:szCs w:val="22"/>
          <w:lang w:val="sr-Cyrl-CS"/>
        </w:rPr>
        <w:t xml:space="preserve">што би могло да се одрази чак на </w:t>
      </w:r>
      <w:r w:rsidRPr="00895819">
        <w:rPr>
          <w:sz w:val="22"/>
          <w:szCs w:val="22"/>
          <w:lang w:val="sr-Cyrl-CS"/>
        </w:rPr>
        <w:t>4% БДП-а</w:t>
      </w:r>
      <w:r w:rsidR="00E9209A" w:rsidRPr="00895819">
        <w:rPr>
          <w:rStyle w:val="FootnoteReference"/>
          <w:lang w:val="sr-Cyrl-CS"/>
        </w:rPr>
        <w:footnoteReference w:id="4"/>
      </w:r>
      <w:r w:rsidR="00E9209A" w:rsidRPr="00895819">
        <w:rPr>
          <w:lang w:val="sr-Cyrl-CS"/>
        </w:rPr>
        <w:t>.</w:t>
      </w:r>
      <w:r w:rsidRPr="00895819">
        <w:rPr>
          <w:sz w:val="22"/>
          <w:szCs w:val="22"/>
          <w:lang w:val="sr-Cyrl-CS"/>
        </w:rPr>
        <w:t xml:space="preserve"> Ипак, предвиђа се да би – уз релевантне политике, инвестиције и прилагођавања тржишта – коначни утицај могао бити 0,2% БДП-а. Србија стога мора што пре да дефинише кредибилну </w:t>
      </w:r>
      <w:r w:rsidRPr="00895819">
        <w:rPr>
          <w:sz w:val="22"/>
          <w:szCs w:val="22"/>
          <w:lang w:val="sr-Cyrl-CS"/>
        </w:rPr>
        <w:lastRenderedPageBreak/>
        <w:t>путању, не само за ублажавање утицаја климатских промена већ и за декарбонизацију своје индустрије</w:t>
      </w:r>
      <w:r w:rsidR="00186EE8" w:rsidRPr="00895819">
        <w:rPr>
          <w:sz w:val="22"/>
          <w:szCs w:val="22"/>
          <w:lang w:val="sr-Cyrl-CS"/>
        </w:rPr>
        <w:t>.</w:t>
      </w:r>
    </w:p>
    <w:p w14:paraId="1990E7D9" w14:textId="15BEFA07" w:rsidR="00143615" w:rsidRPr="00895819" w:rsidRDefault="00143615" w:rsidP="00E23F96">
      <w:pPr>
        <w:pStyle w:val="comtexte"/>
        <w:ind w:left="0" w:firstLine="284"/>
        <w:rPr>
          <w:sz w:val="22"/>
          <w:szCs w:val="22"/>
          <w:lang w:val="sr-Cyrl-CS"/>
        </w:rPr>
      </w:pPr>
      <w:r w:rsidRPr="00895819">
        <w:rPr>
          <w:b/>
          <w:sz w:val="22"/>
          <w:szCs w:val="22"/>
          <w:lang w:val="sr-Cyrl-CS"/>
        </w:rPr>
        <w:t>Влада Србије (ВС) је посвећена унапређењу еколошког и климатског учинка на међународном и европском нивоу.</w:t>
      </w:r>
      <w:r w:rsidRPr="00895819">
        <w:rPr>
          <w:sz w:val="22"/>
          <w:szCs w:val="22"/>
          <w:lang w:val="sr-Cyrl-CS"/>
        </w:rPr>
        <w:t xml:space="preserve"> Новим национално утврђеним доприносом (НДЦ) поднетим у августу 2022. године, Србија се обавезала према Париском споразуму да смањи емисије гасова са ефектом стаклене баште (</w:t>
      </w:r>
      <w:r w:rsidR="007A6BE0" w:rsidRPr="00895819">
        <w:rPr>
          <w:sz w:val="22"/>
          <w:lang w:val="sr-Cyrl-CS"/>
        </w:rPr>
        <w:t>GHG</w:t>
      </w:r>
      <w:r w:rsidRPr="00895819">
        <w:rPr>
          <w:sz w:val="22"/>
          <w:szCs w:val="22"/>
          <w:lang w:val="sr-Cyrl-CS"/>
        </w:rPr>
        <w:t xml:space="preserve">) за 33,3% до 2030. </w:t>
      </w:r>
      <w:r w:rsidR="008532A8" w:rsidRPr="00895819">
        <w:rPr>
          <w:sz w:val="22"/>
          <w:szCs w:val="22"/>
          <w:lang w:val="sr-Cyrl-CS"/>
        </w:rPr>
        <w:t xml:space="preserve">године. </w:t>
      </w:r>
      <w:r w:rsidRPr="00895819">
        <w:rPr>
          <w:sz w:val="22"/>
          <w:szCs w:val="22"/>
          <w:lang w:val="sr-Cyrl-CS"/>
        </w:rPr>
        <w:t>Паралелно, као део процеса приступања ЕУ, Србија је усвојила 2020.</w:t>
      </w:r>
      <w:r w:rsidR="008532A8" w:rsidRPr="00895819">
        <w:rPr>
          <w:sz w:val="22"/>
          <w:szCs w:val="22"/>
          <w:lang w:val="sr-Cyrl-CS"/>
        </w:rPr>
        <w:t xml:space="preserve"> године</w:t>
      </w:r>
      <w:r w:rsidRPr="00895819">
        <w:rPr>
          <w:sz w:val="22"/>
          <w:szCs w:val="22"/>
          <w:lang w:val="sr-Cyrl-CS"/>
        </w:rPr>
        <w:t xml:space="preserve"> Зелену агенду за Западни Балкан. Зелена агенда је скуп циљева дефин</w:t>
      </w:r>
      <w:r w:rsidR="009E5C1A">
        <w:rPr>
          <w:sz w:val="22"/>
          <w:szCs w:val="22"/>
          <w:lang w:val="sr-Cyrl-CS"/>
        </w:rPr>
        <w:t>исани</w:t>
      </w:r>
      <w:r w:rsidR="009E5C1A">
        <w:rPr>
          <w:sz w:val="22"/>
          <w:szCs w:val="22"/>
          <w:lang w:val="sr-Cyrl-RS"/>
        </w:rPr>
        <w:t>х</w:t>
      </w:r>
      <w:r w:rsidR="008532A8" w:rsidRPr="00895819">
        <w:rPr>
          <w:sz w:val="22"/>
          <w:szCs w:val="22"/>
          <w:lang w:val="sr-Cyrl-CS"/>
        </w:rPr>
        <w:t xml:space="preserve"> од стране ЕУ и балканских</w:t>
      </w:r>
      <w:r w:rsidRPr="00895819">
        <w:rPr>
          <w:sz w:val="22"/>
          <w:szCs w:val="22"/>
          <w:lang w:val="sr-Cyrl-CS"/>
        </w:rPr>
        <w:t xml:space="preserve"> држава како би се приближили европском циљу неутралности угљеника до 2050.</w:t>
      </w:r>
      <w:r w:rsidR="008532A8" w:rsidRPr="00895819">
        <w:rPr>
          <w:sz w:val="22"/>
          <w:szCs w:val="22"/>
          <w:lang w:val="sr-Cyrl-CS"/>
        </w:rPr>
        <w:t xml:space="preserve"> године</w:t>
      </w:r>
      <w:r w:rsidRPr="00895819">
        <w:rPr>
          <w:sz w:val="22"/>
          <w:szCs w:val="22"/>
          <w:lang w:val="sr-Cyrl-CS"/>
        </w:rPr>
        <w:t xml:space="preserve"> и пакету Фит фор 55. Зелена агенда има форму акционог плана од пет стубова и поставља стратешки оквир </w:t>
      </w:r>
      <w:r w:rsidR="008532A8" w:rsidRPr="00895819">
        <w:rPr>
          <w:sz w:val="22"/>
          <w:szCs w:val="22"/>
          <w:lang w:val="sr-Cyrl-CS"/>
        </w:rPr>
        <w:t>за еколошку транзицију у Србији</w:t>
      </w:r>
    </w:p>
    <w:p w14:paraId="671B2328" w14:textId="27289301" w:rsidR="00B16F8D" w:rsidRPr="00895819" w:rsidRDefault="00AA7E9B" w:rsidP="00B16F8D">
      <w:pPr>
        <w:pStyle w:val="comtexte"/>
        <w:ind w:left="0" w:firstLine="284"/>
        <w:rPr>
          <w:sz w:val="22"/>
          <w:szCs w:val="22"/>
          <w:lang w:val="sr-Cyrl-CS"/>
        </w:rPr>
      </w:pPr>
      <w:r w:rsidRPr="00895819">
        <w:rPr>
          <w:b/>
          <w:sz w:val="22"/>
          <w:szCs w:val="22"/>
          <w:lang w:val="sr-Cyrl-CS"/>
        </w:rPr>
        <w:t xml:space="preserve">Влада Србије је почела да усклађује Зелену агенду са својим националним стратегијама, али наилази на потешкоће да је </w:t>
      </w:r>
      <w:r w:rsidR="00DC00DA" w:rsidRPr="00895819">
        <w:rPr>
          <w:b/>
          <w:sz w:val="22"/>
          <w:szCs w:val="22"/>
          <w:lang w:val="sr-Cyrl-CS"/>
        </w:rPr>
        <w:t>усклади са</w:t>
      </w:r>
      <w:r w:rsidRPr="00895819">
        <w:rPr>
          <w:b/>
          <w:sz w:val="22"/>
          <w:szCs w:val="22"/>
          <w:lang w:val="sr-Cyrl-CS"/>
        </w:rPr>
        <w:t xml:space="preserve"> инвестицијама и мерама политике</w:t>
      </w:r>
      <w:r w:rsidR="00B16F8D" w:rsidRPr="00895819">
        <w:rPr>
          <w:sz w:val="22"/>
          <w:szCs w:val="22"/>
          <w:lang w:val="sr-Cyrl-CS"/>
        </w:rPr>
        <w:t xml:space="preserve">. </w:t>
      </w:r>
      <w:r w:rsidRPr="00895819">
        <w:rPr>
          <w:sz w:val="22"/>
          <w:szCs w:val="22"/>
          <w:lang w:val="sr-Cyrl-CS"/>
        </w:rPr>
        <w:t xml:space="preserve">Влада Србије је од 2020. године усвојила, ревидирала или покренула израду двадесет докумената јавних политика (стратегија, програма и акционих планова) како би своје деловање ускладила са циљевима Зелене агенде. </w:t>
      </w:r>
      <w:r w:rsidR="00DC00DA" w:rsidRPr="00895819">
        <w:rPr>
          <w:sz w:val="22"/>
          <w:szCs w:val="22"/>
          <w:lang w:val="sr-Cyrl-CS"/>
        </w:rPr>
        <w:t xml:space="preserve">У области </w:t>
      </w:r>
      <w:r w:rsidRPr="00895819">
        <w:rPr>
          <w:sz w:val="22"/>
          <w:szCs w:val="22"/>
          <w:lang w:val="sr-Cyrl-CS"/>
        </w:rPr>
        <w:t xml:space="preserve">климе, власти су артикулисале визију за постизање циљева </w:t>
      </w:r>
      <w:r w:rsidR="00DC00DA" w:rsidRPr="00895819">
        <w:rPr>
          <w:sz w:val="22"/>
          <w:szCs w:val="22"/>
          <w:lang w:val="sr-Cyrl-CS"/>
        </w:rPr>
        <w:t>НДЦ</w:t>
      </w:r>
      <w:r w:rsidRPr="00895819">
        <w:rPr>
          <w:sz w:val="22"/>
          <w:szCs w:val="22"/>
          <w:lang w:val="sr-Cyrl-CS"/>
        </w:rPr>
        <w:t>-а кроз оквирни закон о климатским променама (</w:t>
      </w:r>
      <w:r w:rsidR="00DC00DA" w:rsidRPr="00895819">
        <w:rPr>
          <w:sz w:val="22"/>
          <w:szCs w:val="22"/>
          <w:lang w:val="sr-Cyrl-CS"/>
        </w:rPr>
        <w:t>ЗКП</w:t>
      </w:r>
      <w:r w:rsidRPr="00895819">
        <w:rPr>
          <w:sz w:val="22"/>
          <w:szCs w:val="22"/>
          <w:lang w:val="sr-Cyrl-CS"/>
        </w:rPr>
        <w:t xml:space="preserve">), усвојен у марту 2021. </w:t>
      </w:r>
      <w:r w:rsidR="008532A8" w:rsidRPr="00895819">
        <w:rPr>
          <w:sz w:val="22"/>
          <w:szCs w:val="22"/>
          <w:lang w:val="sr-Cyrl-CS"/>
        </w:rPr>
        <w:t xml:space="preserve">године </w:t>
      </w:r>
      <w:r w:rsidRPr="00895819">
        <w:rPr>
          <w:sz w:val="22"/>
          <w:szCs w:val="22"/>
          <w:lang w:val="sr-Cyrl-CS"/>
        </w:rPr>
        <w:t xml:space="preserve">након подршке АФД-а и Светске банке (ЦРС1020 – </w:t>
      </w:r>
      <w:r w:rsidRPr="00895819">
        <w:rPr>
          <w:i/>
          <w:iCs/>
          <w:sz w:val="22"/>
          <w:szCs w:val="22"/>
          <w:lang w:val="sr-Cyrl-CS"/>
        </w:rPr>
        <w:t>Градови и климатске промене</w:t>
      </w:r>
      <w:r w:rsidRPr="00895819">
        <w:rPr>
          <w:sz w:val="22"/>
          <w:szCs w:val="22"/>
          <w:lang w:val="sr-Cyrl-CS"/>
        </w:rPr>
        <w:t xml:space="preserve">). Овај закон успоставља основу за планирање и спровођење јавних политика о климатским променама и налаже усвајање стратегије </w:t>
      </w:r>
      <w:r w:rsidR="00DC00DA" w:rsidRPr="00895819">
        <w:rPr>
          <w:sz w:val="22"/>
          <w:szCs w:val="22"/>
          <w:lang w:val="sr-Cyrl-CS"/>
        </w:rPr>
        <w:t xml:space="preserve">нискоугљеничног </w:t>
      </w:r>
      <w:r w:rsidRPr="00895819">
        <w:rPr>
          <w:sz w:val="22"/>
          <w:szCs w:val="22"/>
          <w:lang w:val="sr-Cyrl-CS"/>
        </w:rPr>
        <w:t xml:space="preserve">развоја и националног плана прилагођавања. Поред тога, Влада Србије је такође предузела </w:t>
      </w:r>
      <w:r w:rsidR="003C0565" w:rsidRPr="00895819">
        <w:rPr>
          <w:sz w:val="22"/>
          <w:szCs w:val="22"/>
          <w:lang w:val="sr-Cyrl-CS"/>
        </w:rPr>
        <w:t>припрему</w:t>
      </w:r>
      <w:r w:rsidRPr="00895819">
        <w:rPr>
          <w:sz w:val="22"/>
          <w:szCs w:val="22"/>
          <w:lang w:val="sr-Cyrl-CS"/>
        </w:rPr>
        <w:t xml:space="preserve"> </w:t>
      </w:r>
      <w:r w:rsidR="00DC00DA" w:rsidRPr="00895819">
        <w:rPr>
          <w:sz w:val="22"/>
          <w:szCs w:val="22"/>
          <w:lang w:val="sr-Cyrl-CS"/>
        </w:rPr>
        <w:t xml:space="preserve">националне </w:t>
      </w:r>
      <w:r w:rsidRPr="00895819">
        <w:rPr>
          <w:sz w:val="22"/>
          <w:szCs w:val="22"/>
          <w:lang w:val="sr-Cyrl-CS"/>
        </w:rPr>
        <w:t>енергетск</w:t>
      </w:r>
      <w:r w:rsidR="00DC00DA" w:rsidRPr="00895819">
        <w:rPr>
          <w:sz w:val="22"/>
          <w:szCs w:val="22"/>
          <w:lang w:val="sr-Cyrl-CS"/>
        </w:rPr>
        <w:t xml:space="preserve">е и </w:t>
      </w:r>
      <w:r w:rsidRPr="00895819">
        <w:rPr>
          <w:sz w:val="22"/>
          <w:szCs w:val="22"/>
          <w:lang w:val="sr-Cyrl-CS"/>
        </w:rPr>
        <w:t>климатске стратегије (НЕ</w:t>
      </w:r>
      <w:r w:rsidR="00DC00DA" w:rsidRPr="00895819">
        <w:rPr>
          <w:sz w:val="22"/>
          <w:szCs w:val="22"/>
          <w:lang w:val="sr-Cyrl-CS"/>
        </w:rPr>
        <w:t>КС</w:t>
      </w:r>
      <w:r w:rsidRPr="00895819">
        <w:rPr>
          <w:sz w:val="22"/>
          <w:szCs w:val="22"/>
          <w:lang w:val="sr-Cyrl-CS"/>
        </w:rPr>
        <w:t xml:space="preserve">) и ревизију стратегије одрживог урбаног развоја. Наставак законодавних и институционалних реформи потребних за имплементацију стуба </w:t>
      </w:r>
      <w:r w:rsidR="003C0565" w:rsidRPr="00895819">
        <w:rPr>
          <w:sz w:val="22"/>
          <w:szCs w:val="22"/>
          <w:lang w:val="sr-Cyrl-CS"/>
        </w:rPr>
        <w:t>„</w:t>
      </w:r>
      <w:r w:rsidR="00DC00DA" w:rsidRPr="00895819">
        <w:rPr>
          <w:sz w:val="22"/>
          <w:szCs w:val="22"/>
          <w:lang w:val="sr-Cyrl-CS"/>
        </w:rPr>
        <w:t>К</w:t>
      </w:r>
      <w:r w:rsidRPr="00895819">
        <w:rPr>
          <w:sz w:val="22"/>
          <w:szCs w:val="22"/>
          <w:lang w:val="sr-Cyrl-CS"/>
        </w:rPr>
        <w:t>лима</w:t>
      </w:r>
      <w:r w:rsidR="00DC00DA" w:rsidRPr="00895819">
        <w:rPr>
          <w:sz w:val="22"/>
          <w:szCs w:val="22"/>
          <w:lang w:val="sr-Cyrl-CS"/>
        </w:rPr>
        <w:t xml:space="preserve">, </w:t>
      </w:r>
      <w:r w:rsidRPr="00895819">
        <w:rPr>
          <w:sz w:val="22"/>
          <w:szCs w:val="22"/>
          <w:lang w:val="sr-Cyrl-CS"/>
        </w:rPr>
        <w:t>енергет</w:t>
      </w:r>
      <w:r w:rsidR="00DC00DA" w:rsidRPr="00895819">
        <w:rPr>
          <w:sz w:val="22"/>
          <w:szCs w:val="22"/>
          <w:lang w:val="sr-Cyrl-CS"/>
        </w:rPr>
        <w:t>ика</w:t>
      </w:r>
      <w:r w:rsidRPr="00895819">
        <w:rPr>
          <w:sz w:val="22"/>
          <w:szCs w:val="22"/>
          <w:lang w:val="sr-Cyrl-CS"/>
        </w:rPr>
        <w:t xml:space="preserve"> и мобилност</w:t>
      </w:r>
      <w:r w:rsidR="007C25D7" w:rsidRPr="00895819">
        <w:rPr>
          <w:lang w:val="sr-Cyrl-CS"/>
        </w:rPr>
        <w:t>”</w:t>
      </w:r>
      <w:r w:rsidRPr="00895819">
        <w:rPr>
          <w:sz w:val="22"/>
          <w:szCs w:val="22"/>
          <w:lang w:val="sr-Cyrl-CS"/>
        </w:rPr>
        <w:t xml:space="preserve"> Зелене агенде је предмет подршке више донатора (Светска банка, АФД, </w:t>
      </w:r>
      <w:r w:rsidR="008532A8" w:rsidRPr="00895819">
        <w:rPr>
          <w:lang w:val="sr-Cyrl-CS"/>
        </w:rPr>
        <w:t>KfW</w:t>
      </w:r>
      <w:r w:rsidRPr="00895819">
        <w:rPr>
          <w:sz w:val="22"/>
          <w:szCs w:val="22"/>
          <w:lang w:val="sr-Cyrl-CS"/>
        </w:rPr>
        <w:t xml:space="preserve">) кроз </w:t>
      </w:r>
      <w:r w:rsidR="00DC00DA" w:rsidRPr="00895819">
        <w:rPr>
          <w:sz w:val="22"/>
          <w:szCs w:val="22"/>
          <w:lang w:val="sr-Cyrl-CS"/>
        </w:rPr>
        <w:t xml:space="preserve">буџетско </w:t>
      </w:r>
      <w:r w:rsidRPr="00895819">
        <w:rPr>
          <w:sz w:val="22"/>
          <w:szCs w:val="22"/>
          <w:lang w:val="sr-Cyrl-CS"/>
        </w:rPr>
        <w:t>финансирање јавних политика Зелена агенда (ЦРС1025) који је усвојио АФД-ов одбор у децембру 2022</w:t>
      </w:r>
      <w:r w:rsidR="00B16F8D" w:rsidRPr="00895819">
        <w:rPr>
          <w:sz w:val="22"/>
          <w:szCs w:val="22"/>
          <w:lang w:val="sr-Cyrl-CS"/>
        </w:rPr>
        <w:t xml:space="preserve">. </w:t>
      </w:r>
      <w:r w:rsidR="008532A8" w:rsidRPr="00895819">
        <w:rPr>
          <w:sz w:val="22"/>
          <w:szCs w:val="22"/>
          <w:lang w:val="sr-Cyrl-CS"/>
        </w:rPr>
        <w:t>године.</w:t>
      </w:r>
    </w:p>
    <w:p w14:paraId="17209FA2" w14:textId="77777777" w:rsidR="00B16F8D" w:rsidRPr="00895819" w:rsidRDefault="00B16F8D" w:rsidP="00B16F8D">
      <w:pPr>
        <w:rPr>
          <w:color w:val="00B050"/>
          <w:szCs w:val="22"/>
          <w:lang w:val="sr-Cyrl-CS"/>
        </w:rPr>
      </w:pPr>
    </w:p>
    <w:p w14:paraId="5998C51E" w14:textId="727754BB" w:rsidR="00B16F8D" w:rsidRPr="00895819" w:rsidRDefault="008532A8" w:rsidP="00B16F8D">
      <w:pPr>
        <w:spacing w:after="240"/>
        <w:rPr>
          <w:b/>
          <w:szCs w:val="22"/>
          <w:u w:val="single"/>
          <w:lang w:val="sr-Cyrl-CS"/>
        </w:rPr>
      </w:pPr>
      <w:r w:rsidRPr="00895819">
        <w:rPr>
          <w:b/>
          <w:szCs w:val="22"/>
          <w:u w:val="single"/>
          <w:lang w:val="sr-Cyrl-CS"/>
        </w:rPr>
        <w:t>Б</w:t>
      </w:r>
      <w:r w:rsidR="00B16F8D" w:rsidRPr="00895819">
        <w:rPr>
          <w:b/>
          <w:szCs w:val="22"/>
          <w:u w:val="single"/>
          <w:lang w:val="sr-Cyrl-CS"/>
        </w:rPr>
        <w:t xml:space="preserve"> – </w:t>
      </w:r>
      <w:r w:rsidR="00AA7E9B" w:rsidRPr="00895819">
        <w:rPr>
          <w:b/>
          <w:szCs w:val="22"/>
          <w:u w:val="single"/>
          <w:lang w:val="sr-Cyrl-CS"/>
        </w:rPr>
        <w:t>Анализа проблема</w:t>
      </w:r>
    </w:p>
    <w:p w14:paraId="54CF03BD" w14:textId="75BCBA1F" w:rsidR="00B16F8D" w:rsidRPr="00895819" w:rsidRDefault="00773F14" w:rsidP="00B16F8D">
      <w:pPr>
        <w:pStyle w:val="comtexte"/>
        <w:ind w:left="0" w:firstLine="284"/>
        <w:rPr>
          <w:sz w:val="22"/>
          <w:szCs w:val="22"/>
          <w:lang w:val="sr-Cyrl-CS"/>
        </w:rPr>
      </w:pPr>
      <w:r w:rsidRPr="00895819">
        <w:rPr>
          <w:b/>
          <w:sz w:val="22"/>
          <w:szCs w:val="22"/>
          <w:lang w:val="sr-Cyrl-CS"/>
        </w:rPr>
        <w:t xml:space="preserve">Претварање Зелене агенде у конкретне пројекте и </w:t>
      </w:r>
      <w:r w:rsidR="004B039F" w:rsidRPr="00895819">
        <w:rPr>
          <w:b/>
          <w:sz w:val="22"/>
          <w:szCs w:val="22"/>
          <w:lang w:val="sr-Cyrl-CS"/>
        </w:rPr>
        <w:t>мере</w:t>
      </w:r>
      <w:r w:rsidRPr="00895819">
        <w:rPr>
          <w:b/>
          <w:sz w:val="22"/>
          <w:szCs w:val="22"/>
          <w:lang w:val="sr-Cyrl-CS"/>
        </w:rPr>
        <w:t xml:space="preserve"> захтева јачање зеленог планирања у Србији</w:t>
      </w:r>
      <w:r w:rsidR="00B16F8D" w:rsidRPr="00895819">
        <w:rPr>
          <w:b/>
          <w:sz w:val="22"/>
          <w:szCs w:val="22"/>
          <w:lang w:val="sr-Cyrl-CS"/>
        </w:rPr>
        <w:t>.</w:t>
      </w:r>
      <w:r w:rsidR="00B16F8D" w:rsidRPr="00895819">
        <w:rPr>
          <w:sz w:val="22"/>
          <w:szCs w:val="22"/>
          <w:lang w:val="sr-Cyrl-CS"/>
        </w:rPr>
        <w:t xml:space="preserve"> </w:t>
      </w:r>
      <w:r w:rsidRPr="00895819">
        <w:rPr>
          <w:sz w:val="22"/>
          <w:szCs w:val="22"/>
          <w:lang w:val="sr-Cyrl-CS"/>
        </w:rPr>
        <w:t>Постојећи системи планирања, програмирања, буџетирања и праћења (ППБ</w:t>
      </w:r>
      <w:r w:rsidR="00DC00DA" w:rsidRPr="00895819">
        <w:rPr>
          <w:sz w:val="22"/>
          <w:szCs w:val="22"/>
          <w:lang w:val="sr-Cyrl-CS"/>
        </w:rPr>
        <w:t>П</w:t>
      </w:r>
      <w:r w:rsidRPr="00895819">
        <w:rPr>
          <w:sz w:val="22"/>
          <w:szCs w:val="22"/>
          <w:lang w:val="sr-Cyrl-CS"/>
        </w:rPr>
        <w:t>) су адекватни</w:t>
      </w:r>
      <w:r w:rsidR="00A1643C" w:rsidRPr="00895819">
        <w:rPr>
          <w:sz w:val="22"/>
          <w:szCs w:val="22"/>
          <w:lang w:val="sr-Cyrl-CS"/>
        </w:rPr>
        <w:t>. Mеђутим,</w:t>
      </w:r>
      <w:r w:rsidR="00F14E3E" w:rsidRPr="00895819">
        <w:rPr>
          <w:sz w:val="22"/>
          <w:szCs w:val="22"/>
          <w:lang w:val="sr-Cyrl-CS"/>
        </w:rPr>
        <w:t xml:space="preserve"> </w:t>
      </w:r>
      <w:r w:rsidRPr="00895819">
        <w:rPr>
          <w:sz w:val="22"/>
          <w:szCs w:val="22"/>
          <w:lang w:val="sr-Cyrl-CS"/>
        </w:rPr>
        <w:t xml:space="preserve">недостају одређене кључне карактеристике неопходне за планирање зелене транзиције. </w:t>
      </w:r>
      <w:r w:rsidR="00DC00DA" w:rsidRPr="00895819">
        <w:rPr>
          <w:sz w:val="22"/>
          <w:szCs w:val="22"/>
          <w:lang w:val="sr-Cyrl-CS"/>
        </w:rPr>
        <w:t>Ово се посебно односи на чињеницу да се власти у Србији су</w:t>
      </w:r>
      <w:r w:rsidR="00F14E3E" w:rsidRPr="00895819">
        <w:rPr>
          <w:sz w:val="22"/>
          <w:szCs w:val="22"/>
          <w:lang w:val="sr-Cyrl-CS"/>
        </w:rPr>
        <w:t>о</w:t>
      </w:r>
      <w:r w:rsidR="00DC00DA" w:rsidRPr="00895819">
        <w:rPr>
          <w:sz w:val="22"/>
          <w:szCs w:val="22"/>
          <w:lang w:val="sr-Cyrl-CS"/>
        </w:rPr>
        <w:t xml:space="preserve">чавају са потешкоћама </w:t>
      </w:r>
      <w:r w:rsidRPr="00895819">
        <w:rPr>
          <w:sz w:val="22"/>
          <w:szCs w:val="22"/>
          <w:lang w:val="sr-Cyrl-CS"/>
        </w:rPr>
        <w:t>да (</w:t>
      </w:r>
      <w:r w:rsidR="00DC00DA" w:rsidRPr="00895819">
        <w:rPr>
          <w:sz w:val="22"/>
          <w:szCs w:val="22"/>
          <w:lang w:val="sr-Cyrl-CS"/>
        </w:rPr>
        <w:t>i</w:t>
      </w:r>
      <w:r w:rsidRPr="00895819">
        <w:rPr>
          <w:sz w:val="22"/>
          <w:szCs w:val="22"/>
          <w:lang w:val="sr-Cyrl-CS"/>
        </w:rPr>
        <w:t>) артикулишу стратегије и избор пројеката јавних инвестиција</w:t>
      </w:r>
      <w:r w:rsidR="00C861AD" w:rsidRPr="00895819">
        <w:rPr>
          <w:sz w:val="22"/>
          <w:szCs w:val="22"/>
          <w:lang w:val="sr-Cyrl-CS"/>
        </w:rPr>
        <w:t>;</w:t>
      </w:r>
      <w:r w:rsidRPr="00895819">
        <w:rPr>
          <w:sz w:val="22"/>
          <w:szCs w:val="22"/>
          <w:lang w:val="sr-Cyrl-CS"/>
        </w:rPr>
        <w:t xml:space="preserve"> (</w:t>
      </w:r>
      <w:r w:rsidR="00DC00DA" w:rsidRPr="00895819">
        <w:rPr>
          <w:sz w:val="22"/>
          <w:szCs w:val="22"/>
          <w:lang w:val="sr-Cyrl-CS"/>
        </w:rPr>
        <w:t>ii</w:t>
      </w:r>
      <w:r w:rsidRPr="00895819">
        <w:rPr>
          <w:sz w:val="22"/>
          <w:szCs w:val="22"/>
          <w:lang w:val="sr-Cyrl-CS"/>
        </w:rPr>
        <w:t>) дефинишу фискалну стратегију у складу са овим циљевима</w:t>
      </w:r>
      <w:r w:rsidR="00C861AD" w:rsidRPr="00895819">
        <w:rPr>
          <w:sz w:val="22"/>
          <w:szCs w:val="22"/>
          <w:lang w:val="sr-Cyrl-CS"/>
        </w:rPr>
        <w:t>;</w:t>
      </w:r>
      <w:r w:rsidRPr="00895819">
        <w:rPr>
          <w:sz w:val="22"/>
          <w:szCs w:val="22"/>
          <w:lang w:val="sr-Cyrl-CS"/>
        </w:rPr>
        <w:t xml:space="preserve"> (</w:t>
      </w:r>
      <w:r w:rsidR="00DC00DA" w:rsidRPr="00895819">
        <w:rPr>
          <w:sz w:val="22"/>
          <w:szCs w:val="22"/>
          <w:lang w:val="sr-Cyrl-CS"/>
        </w:rPr>
        <w:t>iii</w:t>
      </w:r>
      <w:r w:rsidRPr="00895819">
        <w:rPr>
          <w:sz w:val="22"/>
          <w:szCs w:val="22"/>
          <w:lang w:val="sr-Cyrl-CS"/>
        </w:rPr>
        <w:t>) ускладе буџетска издвајања и критеријуме набавки са Зеленом агендом</w:t>
      </w:r>
      <w:r w:rsidR="00C861AD" w:rsidRPr="00895819">
        <w:rPr>
          <w:sz w:val="22"/>
          <w:szCs w:val="22"/>
          <w:lang w:val="sr-Cyrl-CS"/>
        </w:rPr>
        <w:t>;</w:t>
      </w:r>
      <w:r w:rsidRPr="00895819">
        <w:rPr>
          <w:sz w:val="22"/>
          <w:szCs w:val="22"/>
          <w:lang w:val="sr-Cyrl-CS"/>
        </w:rPr>
        <w:t xml:space="preserve"> и (</w:t>
      </w:r>
      <w:r w:rsidR="00DC00DA" w:rsidRPr="00895819">
        <w:rPr>
          <w:sz w:val="22"/>
          <w:szCs w:val="22"/>
          <w:lang w:val="sr-Cyrl-CS"/>
        </w:rPr>
        <w:t>iv</w:t>
      </w:r>
      <w:r w:rsidRPr="00895819">
        <w:rPr>
          <w:sz w:val="22"/>
          <w:szCs w:val="22"/>
          <w:lang w:val="sr-Cyrl-CS"/>
        </w:rPr>
        <w:t>) прат</w:t>
      </w:r>
      <w:r w:rsidR="00F14E3E" w:rsidRPr="00895819">
        <w:rPr>
          <w:sz w:val="22"/>
          <w:szCs w:val="22"/>
          <w:lang w:val="sr-Cyrl-CS"/>
        </w:rPr>
        <w:t>е</w:t>
      </w:r>
      <w:r w:rsidRPr="00895819">
        <w:rPr>
          <w:sz w:val="22"/>
          <w:szCs w:val="22"/>
          <w:lang w:val="sr-Cyrl-CS"/>
        </w:rPr>
        <w:t xml:space="preserve"> постигнуте резултате ради прилагођавања политика током времена. Циљ ове операције је решавање овог „институционалног јаза</w:t>
      </w:r>
      <w:r w:rsidR="007C25D7" w:rsidRPr="00895819">
        <w:rPr>
          <w:lang w:val="sr-Cyrl-CS"/>
        </w:rPr>
        <w:t>”</w:t>
      </w:r>
      <w:r w:rsidRPr="00895819">
        <w:rPr>
          <w:sz w:val="22"/>
          <w:szCs w:val="22"/>
          <w:lang w:val="sr-Cyrl-CS"/>
        </w:rPr>
        <w:t xml:space="preserve"> уз обезбеђивање циљаног финансирања инвестиционих пројеката који доприносе еколошкој транзицији</w:t>
      </w:r>
      <w:r w:rsidR="00B16F8D" w:rsidRPr="00895819">
        <w:rPr>
          <w:sz w:val="22"/>
          <w:szCs w:val="22"/>
          <w:lang w:val="sr-Cyrl-CS"/>
        </w:rPr>
        <w:t xml:space="preserve">. </w:t>
      </w:r>
    </w:p>
    <w:p w14:paraId="24CF3C75" w14:textId="59BD46B9" w:rsidR="00B16F8D" w:rsidRPr="00895819" w:rsidRDefault="00773F14" w:rsidP="002536DF">
      <w:pPr>
        <w:pStyle w:val="comtexte"/>
        <w:ind w:left="0" w:firstLine="284"/>
        <w:rPr>
          <w:b/>
          <w:sz w:val="22"/>
          <w:szCs w:val="22"/>
          <w:lang w:val="sr-Cyrl-CS"/>
        </w:rPr>
      </w:pPr>
      <w:r w:rsidRPr="00895819">
        <w:rPr>
          <w:b/>
          <w:sz w:val="22"/>
          <w:szCs w:val="22"/>
          <w:lang w:val="sr-Cyrl-CS"/>
        </w:rPr>
        <w:t xml:space="preserve">Проблем 1 – Планирање и програмирање јавних политика не </w:t>
      </w:r>
      <w:r w:rsidR="00F14E3E" w:rsidRPr="00895819">
        <w:rPr>
          <w:b/>
          <w:sz w:val="22"/>
          <w:szCs w:val="22"/>
          <w:lang w:val="sr-Cyrl-CS"/>
        </w:rPr>
        <w:t>трансформише</w:t>
      </w:r>
      <w:r w:rsidRPr="00895819">
        <w:rPr>
          <w:b/>
          <w:sz w:val="22"/>
          <w:szCs w:val="22"/>
          <w:lang w:val="sr-Cyrl-CS"/>
        </w:rPr>
        <w:t xml:space="preserve"> Зелену агенду у конкретне </w:t>
      </w:r>
      <w:r w:rsidR="00F14E3E" w:rsidRPr="00895819">
        <w:rPr>
          <w:b/>
          <w:sz w:val="22"/>
          <w:szCs w:val="22"/>
          <w:lang w:val="sr-Cyrl-CS"/>
        </w:rPr>
        <w:t>мере</w:t>
      </w:r>
      <w:r w:rsidRPr="00895819">
        <w:rPr>
          <w:b/>
          <w:sz w:val="22"/>
          <w:szCs w:val="22"/>
          <w:lang w:val="sr-Cyrl-CS"/>
        </w:rPr>
        <w:t xml:space="preserve"> и пројекте</w:t>
      </w:r>
      <w:r w:rsidR="00B16F8D" w:rsidRPr="00895819">
        <w:rPr>
          <w:b/>
          <w:sz w:val="22"/>
          <w:szCs w:val="22"/>
          <w:lang w:val="sr-Cyrl-CS"/>
        </w:rPr>
        <w:t>.</w:t>
      </w:r>
      <w:r w:rsidR="00B16F8D" w:rsidRPr="00895819">
        <w:rPr>
          <w:sz w:val="22"/>
          <w:szCs w:val="22"/>
          <w:lang w:val="sr-Cyrl-CS"/>
        </w:rPr>
        <w:t xml:space="preserve"> </w:t>
      </w:r>
      <w:r w:rsidRPr="00895819">
        <w:rPr>
          <w:sz w:val="22"/>
          <w:szCs w:val="22"/>
          <w:lang w:val="sr-Cyrl-CS"/>
        </w:rPr>
        <w:t>Развој</w:t>
      </w:r>
      <w:r w:rsidR="00C861AD" w:rsidRPr="00895819">
        <w:rPr>
          <w:sz w:val="22"/>
          <w:szCs w:val="22"/>
          <w:lang w:val="sr-Cyrl-CS"/>
        </w:rPr>
        <w:t>ем</w:t>
      </w:r>
      <w:r w:rsidRPr="00895819">
        <w:rPr>
          <w:sz w:val="22"/>
          <w:szCs w:val="22"/>
          <w:lang w:val="sr-Cyrl-CS"/>
        </w:rPr>
        <w:t xml:space="preserve"> стратегија и програма на нивоу сектора координира кровна структура (Републички секретаријат за јавну политику) чија је мисија да обезбеди кохерентност и стандарде квалитета. Међутим, припрема </w:t>
      </w:r>
      <w:bookmarkStart w:id="162" w:name="_Hlk136867870"/>
      <w:r w:rsidR="0047186D" w:rsidRPr="00895819">
        <w:rPr>
          <w:sz w:val="22"/>
          <w:szCs w:val="22"/>
          <w:lang w:val="sr-Cyrl-CS"/>
        </w:rPr>
        <w:t>докумената јавних политика</w:t>
      </w:r>
      <w:r w:rsidRPr="00895819">
        <w:rPr>
          <w:sz w:val="22"/>
          <w:szCs w:val="22"/>
          <w:lang w:val="sr-Cyrl-CS"/>
        </w:rPr>
        <w:t xml:space="preserve"> </w:t>
      </w:r>
      <w:bookmarkEnd w:id="162"/>
      <w:r w:rsidR="00F14E3E" w:rsidRPr="00895819">
        <w:rPr>
          <w:sz w:val="22"/>
          <w:szCs w:val="22"/>
          <w:lang w:val="sr-Cyrl-CS"/>
        </w:rPr>
        <w:t>од кључне важности</w:t>
      </w:r>
      <w:r w:rsidRPr="00895819">
        <w:rPr>
          <w:sz w:val="22"/>
          <w:szCs w:val="22"/>
          <w:lang w:val="sr-Cyrl-CS"/>
        </w:rPr>
        <w:t xml:space="preserve"> за Зелену агенду </w:t>
      </w:r>
      <w:r w:rsidR="00F14E3E" w:rsidRPr="00895819">
        <w:rPr>
          <w:sz w:val="22"/>
          <w:szCs w:val="22"/>
          <w:lang w:val="sr-Cyrl-CS"/>
        </w:rPr>
        <w:t xml:space="preserve">тренутно </w:t>
      </w:r>
      <w:r w:rsidRPr="00895819">
        <w:rPr>
          <w:sz w:val="22"/>
          <w:szCs w:val="22"/>
          <w:lang w:val="sr-Cyrl-CS"/>
        </w:rPr>
        <w:t xml:space="preserve">не </w:t>
      </w:r>
      <w:r w:rsidR="00F14E3E" w:rsidRPr="00895819">
        <w:rPr>
          <w:sz w:val="22"/>
          <w:szCs w:val="22"/>
          <w:lang w:val="sr-Cyrl-CS"/>
        </w:rPr>
        <w:t xml:space="preserve">подразумева израду </w:t>
      </w:r>
      <w:r w:rsidRPr="00895819">
        <w:rPr>
          <w:sz w:val="22"/>
          <w:szCs w:val="22"/>
          <w:lang w:val="sr-Cyrl-CS"/>
        </w:rPr>
        <w:t>конкретни</w:t>
      </w:r>
      <w:r w:rsidR="00F14E3E" w:rsidRPr="00895819">
        <w:rPr>
          <w:sz w:val="22"/>
          <w:szCs w:val="22"/>
          <w:lang w:val="sr-Cyrl-CS"/>
        </w:rPr>
        <w:t>х</w:t>
      </w:r>
      <w:r w:rsidRPr="00895819">
        <w:rPr>
          <w:sz w:val="22"/>
          <w:szCs w:val="22"/>
          <w:lang w:val="sr-Cyrl-CS"/>
        </w:rPr>
        <w:t xml:space="preserve"> анализа (нпр. стратешк</w:t>
      </w:r>
      <w:r w:rsidR="00963BF3" w:rsidRPr="00895819">
        <w:rPr>
          <w:sz w:val="22"/>
          <w:szCs w:val="22"/>
          <w:lang w:val="sr-Cyrl-CS"/>
        </w:rPr>
        <w:t>е</w:t>
      </w:r>
      <w:r w:rsidRPr="00895819">
        <w:rPr>
          <w:sz w:val="22"/>
          <w:szCs w:val="22"/>
          <w:lang w:val="sr-Cyrl-CS"/>
        </w:rPr>
        <w:t xml:space="preserve"> процен</w:t>
      </w:r>
      <w:r w:rsidR="00963BF3" w:rsidRPr="00895819">
        <w:rPr>
          <w:sz w:val="22"/>
          <w:szCs w:val="22"/>
          <w:lang w:val="sr-Cyrl-CS"/>
        </w:rPr>
        <w:t>е</w:t>
      </w:r>
      <w:r w:rsidRPr="00895819">
        <w:rPr>
          <w:sz w:val="22"/>
          <w:szCs w:val="22"/>
          <w:lang w:val="sr-Cyrl-CS"/>
        </w:rPr>
        <w:t xml:space="preserve"> животне средине, </w:t>
      </w:r>
      <w:r w:rsidR="00C861AD" w:rsidRPr="00895819">
        <w:rPr>
          <w:sz w:val="22"/>
          <w:szCs w:val="22"/>
          <w:lang w:val="sr-Cyrl-CS"/>
        </w:rPr>
        <w:t>обрачун</w:t>
      </w:r>
      <w:r w:rsidR="00963BF3" w:rsidRPr="00895819">
        <w:rPr>
          <w:sz w:val="22"/>
          <w:szCs w:val="22"/>
          <w:lang w:val="sr-Cyrl-CS"/>
        </w:rPr>
        <w:t>а</w:t>
      </w:r>
      <w:r w:rsidR="00C861AD" w:rsidRPr="00895819">
        <w:rPr>
          <w:sz w:val="22"/>
          <w:szCs w:val="22"/>
          <w:lang w:val="sr-Cyrl-CS"/>
        </w:rPr>
        <w:t xml:space="preserve"> граничног трошка смањења</w:t>
      </w:r>
      <w:r w:rsidRPr="00895819">
        <w:rPr>
          <w:sz w:val="22"/>
          <w:szCs w:val="22"/>
          <w:lang w:val="sr-Cyrl-CS"/>
        </w:rPr>
        <w:t>, анализ</w:t>
      </w:r>
      <w:r w:rsidR="00963BF3" w:rsidRPr="00895819">
        <w:rPr>
          <w:sz w:val="22"/>
          <w:szCs w:val="22"/>
          <w:lang w:val="sr-Cyrl-CS"/>
        </w:rPr>
        <w:t>е</w:t>
      </w:r>
      <w:r w:rsidRPr="00895819">
        <w:rPr>
          <w:sz w:val="22"/>
          <w:szCs w:val="22"/>
          <w:lang w:val="sr-Cyrl-CS"/>
        </w:rPr>
        <w:t xml:space="preserve"> трошкова и користи) које би могле да информишу надлежне органе о специфичним ризицима, могућностима и улазним </w:t>
      </w:r>
      <w:r w:rsidR="00C861AD" w:rsidRPr="00895819">
        <w:rPr>
          <w:sz w:val="22"/>
          <w:szCs w:val="22"/>
          <w:lang w:val="sr-Cyrl-CS"/>
        </w:rPr>
        <w:t>подацима</w:t>
      </w:r>
      <w:r w:rsidRPr="00895819">
        <w:rPr>
          <w:sz w:val="22"/>
          <w:szCs w:val="22"/>
          <w:lang w:val="sr-Cyrl-CS"/>
        </w:rPr>
        <w:t xml:space="preserve"> за Зелен</w:t>
      </w:r>
      <w:r w:rsidR="00963BF3" w:rsidRPr="00895819">
        <w:rPr>
          <w:sz w:val="22"/>
          <w:szCs w:val="22"/>
          <w:lang w:val="sr-Cyrl-CS"/>
        </w:rPr>
        <w:t>у</w:t>
      </w:r>
      <w:r w:rsidRPr="00895819">
        <w:rPr>
          <w:sz w:val="22"/>
          <w:szCs w:val="22"/>
          <w:lang w:val="sr-Cyrl-CS"/>
        </w:rPr>
        <w:t xml:space="preserve"> агенд</w:t>
      </w:r>
      <w:r w:rsidR="00963BF3" w:rsidRPr="00895819">
        <w:rPr>
          <w:sz w:val="22"/>
          <w:szCs w:val="22"/>
          <w:lang w:val="sr-Cyrl-CS"/>
        </w:rPr>
        <w:t>у</w:t>
      </w:r>
      <w:r w:rsidRPr="00895819">
        <w:rPr>
          <w:sz w:val="22"/>
          <w:szCs w:val="22"/>
          <w:lang w:val="sr-Cyrl-CS"/>
        </w:rPr>
        <w:t xml:space="preserve"> у сваком сектору. </w:t>
      </w:r>
      <w:r w:rsidR="002536DF" w:rsidRPr="00895819">
        <w:rPr>
          <w:sz w:val="22"/>
          <w:szCs w:val="22"/>
          <w:lang w:val="sr-Cyrl-CS"/>
        </w:rPr>
        <w:t xml:space="preserve">Само стратегије и програми Министарства заштите животне средине (МЗЖС) успостављају експлицитне везе са Зеленом агендом. Поред тога, само 60% </w:t>
      </w:r>
      <w:r w:rsidR="0047186D" w:rsidRPr="00895819">
        <w:rPr>
          <w:sz w:val="22"/>
          <w:szCs w:val="22"/>
          <w:lang w:val="sr-Cyrl-CS"/>
        </w:rPr>
        <w:t>ДЈП</w:t>
      </w:r>
      <w:r w:rsidR="002536DF" w:rsidRPr="00895819">
        <w:rPr>
          <w:sz w:val="22"/>
          <w:szCs w:val="22"/>
          <w:lang w:val="sr-Cyrl-CS"/>
        </w:rPr>
        <w:t>-ова јасно идентификује акције обрачунавања трошкова које су потребне за постизање циљева. Ове слабости у фази планирања ограничавају разматрање климе и животне средине у фази програмирања. Буџетски програми дефинисани Законом о буџету не укључују индикаторе који се односе на еколошки учинак или климатске акције</w:t>
      </w:r>
      <w:r w:rsidR="002536DF" w:rsidRPr="00895819">
        <w:rPr>
          <w:b/>
          <w:sz w:val="22"/>
          <w:szCs w:val="22"/>
          <w:lang w:val="sr-Cyrl-CS"/>
        </w:rPr>
        <w:t xml:space="preserve">. </w:t>
      </w:r>
      <w:r w:rsidRPr="00895819">
        <w:rPr>
          <w:sz w:val="22"/>
          <w:szCs w:val="22"/>
          <w:lang w:val="sr-Cyrl-CS"/>
        </w:rPr>
        <w:t xml:space="preserve">Слично томе, инвестициони пројекти који су </w:t>
      </w:r>
      <w:r w:rsidR="003D3392" w:rsidRPr="00895819">
        <w:rPr>
          <w:sz w:val="22"/>
          <w:szCs w:val="22"/>
          <w:lang w:val="sr-Cyrl-CS"/>
        </w:rPr>
        <w:t xml:space="preserve">на листи јавних улагања </w:t>
      </w:r>
      <w:r w:rsidRPr="00895819">
        <w:rPr>
          <w:sz w:val="22"/>
          <w:szCs w:val="22"/>
          <w:lang w:val="sr-Cyrl-CS"/>
        </w:rPr>
        <w:t>н</w:t>
      </w:r>
      <w:r w:rsidR="00C861AD" w:rsidRPr="00895819">
        <w:rPr>
          <w:sz w:val="22"/>
          <w:szCs w:val="22"/>
          <w:lang w:val="sr-Cyrl-CS"/>
        </w:rPr>
        <w:t xml:space="preserve">е оцењују се према </w:t>
      </w:r>
      <w:r w:rsidR="00C861AD" w:rsidRPr="00895819">
        <w:rPr>
          <w:sz w:val="22"/>
          <w:szCs w:val="22"/>
          <w:lang w:val="sr-Cyrl-CS"/>
        </w:rPr>
        <w:lastRenderedPageBreak/>
        <w:t>усклађености са</w:t>
      </w:r>
      <w:r w:rsidRPr="00895819">
        <w:rPr>
          <w:sz w:val="22"/>
          <w:szCs w:val="22"/>
          <w:lang w:val="sr-Cyrl-CS"/>
        </w:rPr>
        <w:t xml:space="preserve"> клим</w:t>
      </w:r>
      <w:r w:rsidR="00C861AD" w:rsidRPr="00895819">
        <w:rPr>
          <w:sz w:val="22"/>
          <w:szCs w:val="22"/>
          <w:lang w:val="sr-Cyrl-CS"/>
        </w:rPr>
        <w:t>атским</w:t>
      </w:r>
      <w:r w:rsidRPr="00895819">
        <w:rPr>
          <w:sz w:val="22"/>
          <w:szCs w:val="22"/>
          <w:lang w:val="sr-Cyrl-CS"/>
        </w:rPr>
        <w:t>/</w:t>
      </w:r>
      <w:r w:rsidR="00C861AD" w:rsidRPr="00895819">
        <w:rPr>
          <w:sz w:val="22"/>
          <w:szCs w:val="22"/>
          <w:lang w:val="sr-Cyrl-CS"/>
        </w:rPr>
        <w:t>еколошким факторима</w:t>
      </w:r>
      <w:r w:rsidRPr="00895819">
        <w:rPr>
          <w:sz w:val="22"/>
          <w:szCs w:val="22"/>
          <w:lang w:val="sr-Cyrl-CS"/>
        </w:rPr>
        <w:t xml:space="preserve"> – што </w:t>
      </w:r>
      <w:r w:rsidR="00C861AD" w:rsidRPr="00895819">
        <w:rPr>
          <w:sz w:val="22"/>
          <w:szCs w:val="22"/>
          <w:lang w:val="sr-Cyrl-CS"/>
        </w:rPr>
        <w:t xml:space="preserve">доводи до тога да </w:t>
      </w:r>
      <w:r w:rsidRPr="00895819">
        <w:rPr>
          <w:sz w:val="22"/>
          <w:szCs w:val="22"/>
          <w:lang w:val="sr-Cyrl-CS"/>
        </w:rPr>
        <w:t xml:space="preserve">пројекти Зелене агенде </w:t>
      </w:r>
      <w:r w:rsidR="00C861AD" w:rsidRPr="00895819">
        <w:rPr>
          <w:sz w:val="22"/>
          <w:szCs w:val="22"/>
          <w:lang w:val="sr-Cyrl-CS"/>
        </w:rPr>
        <w:t>нису</w:t>
      </w:r>
      <w:r w:rsidRPr="00895819">
        <w:rPr>
          <w:sz w:val="22"/>
          <w:szCs w:val="22"/>
          <w:lang w:val="sr-Cyrl-CS"/>
        </w:rPr>
        <w:t xml:space="preserve"> приоритет</w:t>
      </w:r>
      <w:r w:rsidR="00B16F8D" w:rsidRPr="00895819">
        <w:rPr>
          <w:sz w:val="22"/>
          <w:szCs w:val="22"/>
          <w:lang w:val="sr-Cyrl-CS"/>
        </w:rPr>
        <w:t>.</w:t>
      </w:r>
    </w:p>
    <w:p w14:paraId="3D4F2354" w14:textId="30C8F647" w:rsidR="00B16F8D" w:rsidRPr="00895819" w:rsidRDefault="009B791B" w:rsidP="00B16F8D">
      <w:pPr>
        <w:pStyle w:val="comtexte"/>
        <w:ind w:left="0" w:firstLine="284"/>
        <w:rPr>
          <w:sz w:val="22"/>
          <w:szCs w:val="22"/>
          <w:lang w:val="sr-Cyrl-CS"/>
        </w:rPr>
      </w:pPr>
      <w:r w:rsidRPr="00895819">
        <w:rPr>
          <w:b/>
          <w:sz w:val="22"/>
          <w:szCs w:val="22"/>
          <w:lang w:val="sr-Cyrl-CS"/>
        </w:rPr>
        <w:t>Проблем 2 – Тренутн</w:t>
      </w:r>
      <w:r w:rsidR="003D3392" w:rsidRPr="00895819">
        <w:rPr>
          <w:b/>
          <w:sz w:val="22"/>
          <w:szCs w:val="22"/>
          <w:lang w:val="sr-Cyrl-CS"/>
        </w:rPr>
        <w:t>е</w:t>
      </w:r>
      <w:r w:rsidRPr="00895819">
        <w:rPr>
          <w:b/>
          <w:sz w:val="22"/>
          <w:szCs w:val="22"/>
          <w:lang w:val="sr-Cyrl-CS"/>
        </w:rPr>
        <w:t xml:space="preserve"> економск</w:t>
      </w:r>
      <w:r w:rsidR="003D3392" w:rsidRPr="00895819">
        <w:rPr>
          <w:b/>
          <w:sz w:val="22"/>
          <w:szCs w:val="22"/>
          <w:lang w:val="sr-Cyrl-CS"/>
        </w:rPr>
        <w:t>е</w:t>
      </w:r>
      <w:r w:rsidRPr="00895819">
        <w:rPr>
          <w:b/>
          <w:sz w:val="22"/>
          <w:szCs w:val="22"/>
          <w:lang w:val="sr-Cyrl-CS"/>
        </w:rPr>
        <w:t xml:space="preserve"> </w:t>
      </w:r>
      <w:r w:rsidR="003D3392" w:rsidRPr="00895819">
        <w:rPr>
          <w:b/>
          <w:sz w:val="22"/>
          <w:szCs w:val="22"/>
          <w:lang w:val="sr-Cyrl-CS"/>
        </w:rPr>
        <w:t xml:space="preserve">околности </w:t>
      </w:r>
      <w:r w:rsidRPr="00895819">
        <w:rPr>
          <w:b/>
          <w:sz w:val="22"/>
          <w:szCs w:val="22"/>
          <w:lang w:val="sr-Cyrl-CS"/>
        </w:rPr>
        <w:t>врше притисак на фискални простор потребан да би се реализовала Зелена агенда</w:t>
      </w:r>
      <w:r w:rsidR="00B16F8D" w:rsidRPr="00895819">
        <w:rPr>
          <w:b/>
          <w:sz w:val="22"/>
          <w:szCs w:val="22"/>
          <w:lang w:val="sr-Cyrl-CS"/>
        </w:rPr>
        <w:t xml:space="preserve">. </w:t>
      </w:r>
      <w:r w:rsidR="003D3392" w:rsidRPr="00895819">
        <w:rPr>
          <w:sz w:val="22"/>
          <w:szCs w:val="22"/>
          <w:lang w:val="sr-Cyrl-CS"/>
        </w:rPr>
        <w:t xml:space="preserve">Фискални савет Србије </w:t>
      </w:r>
      <w:r w:rsidRPr="00895819">
        <w:rPr>
          <w:sz w:val="22"/>
          <w:szCs w:val="22"/>
          <w:lang w:val="sr-Cyrl-CS"/>
        </w:rPr>
        <w:t xml:space="preserve">процењује трошкове спровођења Зелене агенде на 1,5 милијарди евра годишње. Влада Србије је – као одговор на ризике повезане са енергетском кризом у Европи и сукобом у Украјини – недавно прилагодила своје фискалне </w:t>
      </w:r>
      <w:r w:rsidR="00C22068" w:rsidRPr="00895819">
        <w:rPr>
          <w:sz w:val="22"/>
          <w:szCs w:val="22"/>
          <w:lang w:val="sr-Cyrl-CS"/>
        </w:rPr>
        <w:t>пројекције</w:t>
      </w:r>
      <w:r w:rsidRPr="00895819">
        <w:rPr>
          <w:sz w:val="22"/>
          <w:szCs w:val="22"/>
          <w:lang w:val="sr-Cyrl-CS"/>
        </w:rPr>
        <w:t xml:space="preserve"> за наредне три године. Ипак, Влада Србије настоји да одржи висок ниво јавних инвестиција (између 3,8 и 4,4 милијарде евра годишње), посебно у секторима </w:t>
      </w:r>
      <w:r w:rsidR="001D28BC" w:rsidRPr="00895819">
        <w:rPr>
          <w:sz w:val="22"/>
          <w:szCs w:val="22"/>
          <w:lang w:val="sr-Cyrl-CS"/>
        </w:rPr>
        <w:t>кључним за</w:t>
      </w:r>
      <w:r w:rsidRPr="00895819">
        <w:rPr>
          <w:sz w:val="22"/>
          <w:szCs w:val="22"/>
          <w:lang w:val="sr-Cyrl-CS"/>
        </w:rPr>
        <w:t xml:space="preserve"> Зелен</w:t>
      </w:r>
      <w:r w:rsidR="001D28BC" w:rsidRPr="00895819">
        <w:rPr>
          <w:sz w:val="22"/>
          <w:szCs w:val="22"/>
          <w:lang w:val="sr-Cyrl-CS"/>
        </w:rPr>
        <w:t>у</w:t>
      </w:r>
      <w:r w:rsidRPr="00895819">
        <w:rPr>
          <w:sz w:val="22"/>
          <w:szCs w:val="22"/>
          <w:lang w:val="sr-Cyrl-CS"/>
        </w:rPr>
        <w:t xml:space="preserve"> агенд</w:t>
      </w:r>
      <w:r w:rsidR="001D28BC" w:rsidRPr="00895819">
        <w:rPr>
          <w:sz w:val="22"/>
          <w:szCs w:val="22"/>
          <w:lang w:val="sr-Cyrl-CS"/>
        </w:rPr>
        <w:t>у</w:t>
      </w:r>
      <w:r w:rsidRPr="00895819">
        <w:rPr>
          <w:sz w:val="22"/>
          <w:szCs w:val="22"/>
          <w:lang w:val="sr-Cyrl-CS"/>
        </w:rPr>
        <w:t>, као што су енерг</w:t>
      </w:r>
      <w:r w:rsidR="001D28BC" w:rsidRPr="00895819">
        <w:rPr>
          <w:sz w:val="22"/>
          <w:szCs w:val="22"/>
          <w:lang w:val="sr-Cyrl-CS"/>
        </w:rPr>
        <w:t>етика</w:t>
      </w:r>
      <w:r w:rsidRPr="00895819">
        <w:rPr>
          <w:sz w:val="22"/>
          <w:szCs w:val="22"/>
          <w:lang w:val="sr-Cyrl-CS"/>
        </w:rPr>
        <w:t xml:space="preserve">, вода и транспорт. Иако су ММФ и </w:t>
      </w:r>
      <w:r w:rsidR="004F02FE" w:rsidRPr="00895819">
        <w:rPr>
          <w:sz w:val="22"/>
          <w:szCs w:val="22"/>
          <w:lang w:val="sr-Cyrl-CS"/>
        </w:rPr>
        <w:t>Влада Србије</w:t>
      </w:r>
      <w:r w:rsidRPr="00895819">
        <w:rPr>
          <w:sz w:val="22"/>
          <w:szCs w:val="22"/>
          <w:lang w:val="sr-Cyrl-CS"/>
        </w:rPr>
        <w:t xml:space="preserve"> потврдиле стенд-бај </w:t>
      </w:r>
      <w:r w:rsidR="00F31654" w:rsidRPr="00895819">
        <w:rPr>
          <w:sz w:val="22"/>
          <w:szCs w:val="22"/>
          <w:lang w:val="sr-Cyrl-CS"/>
        </w:rPr>
        <w:t>аранжман</w:t>
      </w:r>
      <w:r w:rsidRPr="00895819">
        <w:rPr>
          <w:sz w:val="22"/>
          <w:szCs w:val="22"/>
          <w:lang w:val="sr-Cyrl-CS"/>
        </w:rPr>
        <w:t xml:space="preserve"> у децембру 2022</w:t>
      </w:r>
      <w:r w:rsidR="00A1643C" w:rsidRPr="00895819">
        <w:rPr>
          <w:sz w:val="22"/>
          <w:szCs w:val="22"/>
          <w:lang w:val="sr-Cyrl-CS"/>
        </w:rPr>
        <w:t>. године</w:t>
      </w:r>
      <w:r w:rsidRPr="00895819">
        <w:rPr>
          <w:sz w:val="22"/>
          <w:szCs w:val="22"/>
          <w:lang w:val="sr-Cyrl-CS"/>
        </w:rPr>
        <w:t>, јачајући макроекономск</w:t>
      </w:r>
      <w:r w:rsidR="00F31654" w:rsidRPr="00895819">
        <w:rPr>
          <w:sz w:val="22"/>
          <w:szCs w:val="22"/>
          <w:lang w:val="sr-Cyrl-CS"/>
        </w:rPr>
        <w:t>у отпорност</w:t>
      </w:r>
      <w:r w:rsidRPr="00895819">
        <w:rPr>
          <w:sz w:val="22"/>
          <w:szCs w:val="22"/>
          <w:lang w:val="sr-Cyrl-CS"/>
        </w:rPr>
        <w:t xml:space="preserve">, и даље </w:t>
      </w:r>
      <w:r w:rsidR="00F31654" w:rsidRPr="00895819">
        <w:rPr>
          <w:sz w:val="22"/>
          <w:szCs w:val="22"/>
          <w:lang w:val="sr-Cyrl-CS"/>
        </w:rPr>
        <w:t>су присутни</w:t>
      </w:r>
      <w:r w:rsidRPr="00895819">
        <w:rPr>
          <w:sz w:val="22"/>
          <w:szCs w:val="22"/>
          <w:lang w:val="sr-Cyrl-CS"/>
        </w:rPr>
        <w:t xml:space="preserve"> значајни фискални ризици. Да би надокнадиле раст цена енергената, </w:t>
      </w:r>
      <w:r w:rsidR="00F31654" w:rsidRPr="00895819">
        <w:rPr>
          <w:sz w:val="22"/>
          <w:szCs w:val="22"/>
          <w:lang w:val="sr-Cyrl-CS"/>
        </w:rPr>
        <w:t>власти</w:t>
      </w:r>
      <w:r w:rsidRPr="00895819">
        <w:rPr>
          <w:sz w:val="22"/>
          <w:szCs w:val="22"/>
          <w:lang w:val="sr-Cyrl-CS"/>
        </w:rPr>
        <w:t xml:space="preserve"> су дал</w:t>
      </w:r>
      <w:r w:rsidR="00F31654" w:rsidRPr="00895819">
        <w:rPr>
          <w:sz w:val="22"/>
          <w:szCs w:val="22"/>
          <w:lang w:val="sr-Cyrl-CS"/>
        </w:rPr>
        <w:t>е</w:t>
      </w:r>
      <w:r w:rsidRPr="00895819">
        <w:rPr>
          <w:sz w:val="22"/>
          <w:szCs w:val="22"/>
          <w:lang w:val="sr-Cyrl-CS"/>
        </w:rPr>
        <w:t xml:space="preserve"> значајне субвенције и гаранције јавним предузећима</w:t>
      </w:r>
      <w:r w:rsidR="00F31654" w:rsidRPr="00895819">
        <w:rPr>
          <w:sz w:val="22"/>
          <w:szCs w:val="22"/>
          <w:lang w:val="sr-Cyrl-CS"/>
        </w:rPr>
        <w:t xml:space="preserve"> у сектору енергетике</w:t>
      </w:r>
      <w:r w:rsidRPr="00895819">
        <w:rPr>
          <w:sz w:val="22"/>
          <w:szCs w:val="22"/>
          <w:lang w:val="sr-Cyrl-CS"/>
        </w:rPr>
        <w:t xml:space="preserve"> (ЕПС и Срибијагас), у износу од 2,2% БДП-а. Поред тога, земља је и даље изложена климатским </w:t>
      </w:r>
      <w:r w:rsidR="00F31654" w:rsidRPr="00895819">
        <w:rPr>
          <w:sz w:val="22"/>
          <w:szCs w:val="22"/>
          <w:lang w:val="sr-Cyrl-CS"/>
        </w:rPr>
        <w:t>непогодама</w:t>
      </w:r>
      <w:r w:rsidRPr="00895819">
        <w:rPr>
          <w:sz w:val="22"/>
          <w:szCs w:val="22"/>
          <w:lang w:val="sr-Cyrl-CS"/>
        </w:rPr>
        <w:t xml:space="preserve"> као што су поплаве </w:t>
      </w:r>
      <w:r w:rsidR="00C5635A" w:rsidRPr="00895819">
        <w:rPr>
          <w:sz w:val="22"/>
          <w:szCs w:val="22"/>
          <w:lang w:val="sr-Cyrl-CS"/>
        </w:rPr>
        <w:t xml:space="preserve">које су погодиле земљу </w:t>
      </w:r>
      <w:r w:rsidRPr="00895819">
        <w:rPr>
          <w:sz w:val="22"/>
          <w:szCs w:val="22"/>
          <w:lang w:val="sr-Cyrl-CS"/>
        </w:rPr>
        <w:t xml:space="preserve">2014. </w:t>
      </w:r>
      <w:r w:rsidR="00C5635A" w:rsidRPr="00895819">
        <w:rPr>
          <w:sz w:val="22"/>
          <w:szCs w:val="22"/>
          <w:lang w:val="sr-Cyrl-CS"/>
        </w:rPr>
        <w:t xml:space="preserve">године и </w:t>
      </w:r>
      <w:r w:rsidRPr="00895819">
        <w:rPr>
          <w:sz w:val="22"/>
          <w:szCs w:val="22"/>
          <w:lang w:val="sr-Cyrl-CS"/>
        </w:rPr>
        <w:t xml:space="preserve">које су коштале 3,4% БДП-а. Ако би се ови ризици материјализовали, могли би да смање буџетски простор </w:t>
      </w:r>
      <w:r w:rsidR="00F31654" w:rsidRPr="00895819">
        <w:rPr>
          <w:sz w:val="22"/>
          <w:szCs w:val="22"/>
          <w:lang w:val="sr-Cyrl-CS"/>
        </w:rPr>
        <w:t>намењен</w:t>
      </w:r>
      <w:r w:rsidRPr="00895819">
        <w:rPr>
          <w:sz w:val="22"/>
          <w:szCs w:val="22"/>
          <w:lang w:val="sr-Cyrl-CS"/>
        </w:rPr>
        <w:t xml:space="preserve"> зеленим инвестицијама. Имплементација Зелене агенде ће стога захтевати и очување </w:t>
      </w:r>
      <w:r w:rsidR="00F31654" w:rsidRPr="00895819">
        <w:rPr>
          <w:sz w:val="22"/>
          <w:szCs w:val="22"/>
          <w:lang w:val="sr-Cyrl-CS"/>
        </w:rPr>
        <w:t xml:space="preserve">намењених </w:t>
      </w:r>
      <w:r w:rsidRPr="00895819">
        <w:rPr>
          <w:sz w:val="22"/>
          <w:szCs w:val="22"/>
          <w:lang w:val="sr-Cyrl-CS"/>
        </w:rPr>
        <w:t xml:space="preserve">средстава и обезбеђивање темељног праћења ризика </w:t>
      </w:r>
      <w:r w:rsidR="00F31654" w:rsidRPr="00895819">
        <w:rPr>
          <w:sz w:val="22"/>
          <w:szCs w:val="22"/>
          <w:lang w:val="sr-Cyrl-CS"/>
        </w:rPr>
        <w:t xml:space="preserve">по </w:t>
      </w:r>
      <w:r w:rsidRPr="00895819">
        <w:rPr>
          <w:sz w:val="22"/>
          <w:szCs w:val="22"/>
          <w:lang w:val="sr-Cyrl-CS"/>
        </w:rPr>
        <w:t>јавне финансије</w:t>
      </w:r>
      <w:r w:rsidR="00F31654" w:rsidRPr="00895819">
        <w:rPr>
          <w:sz w:val="22"/>
          <w:szCs w:val="22"/>
          <w:lang w:val="sr-Cyrl-CS"/>
        </w:rPr>
        <w:t xml:space="preserve"> у Србији</w:t>
      </w:r>
      <w:r w:rsidR="00B16F8D" w:rsidRPr="00895819">
        <w:rPr>
          <w:sz w:val="22"/>
          <w:szCs w:val="22"/>
          <w:lang w:val="sr-Cyrl-CS"/>
        </w:rPr>
        <w:t xml:space="preserve">. </w:t>
      </w:r>
    </w:p>
    <w:p w14:paraId="200B2AA7" w14:textId="77777777" w:rsidR="00B16F8D" w:rsidRPr="00895819" w:rsidRDefault="009B791B" w:rsidP="00B16F8D">
      <w:pPr>
        <w:pStyle w:val="comtexte"/>
        <w:ind w:left="0" w:firstLine="284"/>
        <w:rPr>
          <w:b/>
          <w:sz w:val="22"/>
          <w:szCs w:val="22"/>
          <w:lang w:val="sr-Cyrl-CS"/>
        </w:rPr>
      </w:pPr>
      <w:r w:rsidRPr="00895819">
        <w:rPr>
          <w:b/>
          <w:sz w:val="22"/>
          <w:szCs w:val="22"/>
          <w:lang w:val="sr-Cyrl-CS"/>
        </w:rPr>
        <w:t xml:space="preserve">Проблем 3 – Ланац расхода би могао </w:t>
      </w:r>
      <w:r w:rsidR="009F0BB7" w:rsidRPr="00895819">
        <w:rPr>
          <w:b/>
          <w:sz w:val="22"/>
          <w:szCs w:val="22"/>
          <w:lang w:val="sr-Cyrl-CS"/>
        </w:rPr>
        <w:t xml:space="preserve">да да већи допринос бржем </w:t>
      </w:r>
      <w:r w:rsidRPr="00895819">
        <w:rPr>
          <w:b/>
          <w:sz w:val="22"/>
          <w:szCs w:val="22"/>
          <w:lang w:val="sr-Cyrl-CS"/>
        </w:rPr>
        <w:t>повећањ</w:t>
      </w:r>
      <w:r w:rsidR="009F0BB7" w:rsidRPr="00895819">
        <w:rPr>
          <w:b/>
          <w:sz w:val="22"/>
          <w:szCs w:val="22"/>
          <w:lang w:val="sr-Cyrl-CS"/>
        </w:rPr>
        <w:t>у</w:t>
      </w:r>
      <w:r w:rsidRPr="00895819">
        <w:rPr>
          <w:b/>
          <w:sz w:val="22"/>
          <w:szCs w:val="22"/>
          <w:lang w:val="sr-Cyrl-CS"/>
        </w:rPr>
        <w:t xml:space="preserve"> средстава додељених Зеленој агенди</w:t>
      </w:r>
      <w:r w:rsidR="00B16F8D" w:rsidRPr="00895819">
        <w:rPr>
          <w:b/>
          <w:sz w:val="22"/>
          <w:szCs w:val="22"/>
          <w:lang w:val="sr-Cyrl-CS"/>
        </w:rPr>
        <w:t>.</w:t>
      </w:r>
      <w:r w:rsidR="00B16F8D" w:rsidRPr="00895819">
        <w:rPr>
          <w:sz w:val="22"/>
          <w:szCs w:val="22"/>
          <w:lang w:val="sr-Cyrl-CS"/>
        </w:rPr>
        <w:t xml:space="preserve"> </w:t>
      </w:r>
      <w:r w:rsidR="00AA7644" w:rsidRPr="00895819">
        <w:rPr>
          <w:sz w:val="22"/>
          <w:szCs w:val="22"/>
          <w:lang w:val="sr-Cyrl-CS"/>
        </w:rPr>
        <w:t xml:space="preserve">Управљање јавним финансијама у Србији је </w:t>
      </w:r>
      <w:r w:rsidR="00FB3E61" w:rsidRPr="00895819">
        <w:rPr>
          <w:sz w:val="22"/>
          <w:szCs w:val="22"/>
          <w:lang w:val="sr-Cyrl-CS"/>
        </w:rPr>
        <w:t>стабилно</w:t>
      </w:r>
      <w:r w:rsidR="00AA7644" w:rsidRPr="00895819">
        <w:rPr>
          <w:sz w:val="22"/>
          <w:szCs w:val="22"/>
          <w:lang w:val="sr-Cyrl-CS"/>
        </w:rPr>
        <w:t xml:space="preserve">, али још увек није усклађено са </w:t>
      </w:r>
      <w:r w:rsidR="009C21AD" w:rsidRPr="00895819">
        <w:rPr>
          <w:sz w:val="22"/>
          <w:szCs w:val="22"/>
          <w:lang w:val="sr-Cyrl-CS"/>
        </w:rPr>
        <w:t>климатским и еколошким аспектима</w:t>
      </w:r>
      <w:r w:rsidR="00AA7644" w:rsidRPr="00895819">
        <w:rPr>
          <w:sz w:val="22"/>
          <w:szCs w:val="22"/>
          <w:lang w:val="sr-Cyrl-CS"/>
        </w:rPr>
        <w:t>. Буџетски процес не прати и не мери степен усклађености јавне потрошње са Зеленом агендом. Садашња буџетска номенклатура не омогућава идентифик</w:t>
      </w:r>
      <w:r w:rsidR="00610417" w:rsidRPr="00895819">
        <w:rPr>
          <w:sz w:val="22"/>
          <w:szCs w:val="22"/>
          <w:lang w:val="sr-Cyrl-CS"/>
        </w:rPr>
        <w:t>ацију</w:t>
      </w:r>
      <w:r w:rsidR="00AA7644" w:rsidRPr="00895819">
        <w:rPr>
          <w:sz w:val="22"/>
          <w:szCs w:val="22"/>
          <w:lang w:val="sr-Cyrl-CS"/>
        </w:rPr>
        <w:t xml:space="preserve"> расход</w:t>
      </w:r>
      <w:r w:rsidR="00610417" w:rsidRPr="00895819">
        <w:rPr>
          <w:sz w:val="22"/>
          <w:szCs w:val="22"/>
          <w:lang w:val="sr-Cyrl-CS"/>
        </w:rPr>
        <w:t>а</w:t>
      </w:r>
      <w:r w:rsidR="00AA7644" w:rsidRPr="00895819">
        <w:rPr>
          <w:sz w:val="22"/>
          <w:szCs w:val="22"/>
          <w:lang w:val="sr-Cyrl-CS"/>
        </w:rPr>
        <w:t xml:space="preserve"> који заправо доприносе еколошкој транзицији (нпр. инвестиције </w:t>
      </w:r>
      <w:r w:rsidR="00FB3E61" w:rsidRPr="00895819">
        <w:rPr>
          <w:sz w:val="22"/>
          <w:szCs w:val="22"/>
          <w:lang w:val="sr-Cyrl-CS"/>
        </w:rPr>
        <w:t>у</w:t>
      </w:r>
      <w:r w:rsidR="00AA7644" w:rsidRPr="00895819">
        <w:rPr>
          <w:sz w:val="22"/>
          <w:szCs w:val="22"/>
          <w:lang w:val="sr-Cyrl-CS"/>
        </w:rPr>
        <w:t xml:space="preserve"> термичку </w:t>
      </w:r>
      <w:r w:rsidR="00FB3E61" w:rsidRPr="00895819">
        <w:rPr>
          <w:sz w:val="22"/>
          <w:szCs w:val="22"/>
          <w:lang w:val="sr-Cyrl-CS"/>
        </w:rPr>
        <w:t>заштиту објеката</w:t>
      </w:r>
      <w:r w:rsidR="00AA7644" w:rsidRPr="00895819">
        <w:rPr>
          <w:sz w:val="22"/>
          <w:szCs w:val="22"/>
          <w:lang w:val="sr-Cyrl-CS"/>
        </w:rPr>
        <w:t>, развој железничке мреже), нити он</w:t>
      </w:r>
      <w:r w:rsidR="00610417" w:rsidRPr="00895819">
        <w:rPr>
          <w:sz w:val="22"/>
          <w:szCs w:val="22"/>
          <w:lang w:val="sr-Cyrl-CS"/>
        </w:rPr>
        <w:t>их</w:t>
      </w:r>
      <w:r w:rsidR="00AA7644" w:rsidRPr="00895819">
        <w:rPr>
          <w:sz w:val="22"/>
          <w:szCs w:val="22"/>
          <w:lang w:val="sr-Cyrl-CS"/>
        </w:rPr>
        <w:t xml:space="preserve"> који на њих утичу (нпр. субвенција за фосилна горива, одржавање инфраструктура за експлоатацију угља). Да би спровели Зелену агенду по најбољој цени, властима је потребан овај увид како би дефинисале најбољу комбинацију политике између повећања зелене и смањења </w:t>
      </w:r>
      <w:r w:rsidR="00FB3E61" w:rsidRPr="00895819">
        <w:rPr>
          <w:sz w:val="22"/>
          <w:szCs w:val="22"/>
          <w:lang w:val="sr-Cyrl-CS"/>
        </w:rPr>
        <w:t>браон</w:t>
      </w:r>
      <w:r w:rsidR="00AA7644" w:rsidRPr="00895819">
        <w:rPr>
          <w:sz w:val="22"/>
          <w:szCs w:val="22"/>
          <w:lang w:val="sr-Cyrl-CS"/>
        </w:rPr>
        <w:t xml:space="preserve"> потрошње. Штавише, тренутна пракса јавних набавки не доводи до тога да наручиоци систематски укључују критеријуме еколошког учинка у своје позиве за подношење понуда (нпр. ефикасност горива у возилима, присуство еко-ознака) – што утиче на еколошки квалитет јавних инвестиција</w:t>
      </w:r>
      <w:r w:rsidR="00B16F8D" w:rsidRPr="00895819">
        <w:rPr>
          <w:sz w:val="22"/>
          <w:szCs w:val="22"/>
          <w:lang w:val="sr-Cyrl-CS"/>
        </w:rPr>
        <w:t xml:space="preserve">. </w:t>
      </w:r>
    </w:p>
    <w:p w14:paraId="67701A0A" w14:textId="60B8ECCC" w:rsidR="00B16F8D" w:rsidRPr="00895819" w:rsidRDefault="00E2243A" w:rsidP="00B16F8D">
      <w:pPr>
        <w:pStyle w:val="comtexte"/>
        <w:ind w:left="0" w:firstLine="284"/>
        <w:rPr>
          <w:b/>
          <w:sz w:val="22"/>
          <w:szCs w:val="22"/>
          <w:lang w:val="sr-Cyrl-CS"/>
        </w:rPr>
      </w:pPr>
      <w:r w:rsidRPr="00895819">
        <w:rPr>
          <w:b/>
          <w:sz w:val="22"/>
          <w:szCs w:val="22"/>
          <w:lang w:val="sr-Cyrl-CS"/>
        </w:rPr>
        <w:t xml:space="preserve">Проблем 4 – Систем за праћење емисија </w:t>
      </w:r>
      <w:r w:rsidR="007A6BE0" w:rsidRPr="00895819">
        <w:rPr>
          <w:b/>
          <w:sz w:val="22"/>
          <w:lang w:val="sr-Cyrl-CS"/>
        </w:rPr>
        <w:t>GHG</w:t>
      </w:r>
      <w:r w:rsidR="007A6BE0" w:rsidRPr="00895819">
        <w:rPr>
          <w:sz w:val="22"/>
          <w:szCs w:val="22"/>
          <w:lang w:val="sr-Cyrl-CS"/>
        </w:rPr>
        <w:t xml:space="preserve"> </w:t>
      </w:r>
      <w:r w:rsidRPr="00895819">
        <w:rPr>
          <w:b/>
          <w:sz w:val="22"/>
          <w:szCs w:val="22"/>
          <w:lang w:val="sr-Cyrl-CS"/>
        </w:rPr>
        <w:t>и еколошких перформанси не омогућава ефикасно управљање јавним политикама</w:t>
      </w:r>
      <w:r w:rsidR="00B16F8D" w:rsidRPr="00895819">
        <w:rPr>
          <w:b/>
          <w:sz w:val="22"/>
          <w:szCs w:val="22"/>
          <w:lang w:val="sr-Cyrl-CS"/>
        </w:rPr>
        <w:t>.</w:t>
      </w:r>
      <w:r w:rsidR="00B16F8D" w:rsidRPr="00895819">
        <w:rPr>
          <w:sz w:val="22"/>
          <w:szCs w:val="22"/>
          <w:lang w:val="sr-Cyrl-CS"/>
        </w:rPr>
        <w:t xml:space="preserve"> </w:t>
      </w:r>
      <w:r w:rsidR="00FB3E61" w:rsidRPr="00895819">
        <w:rPr>
          <w:sz w:val="22"/>
          <w:szCs w:val="22"/>
          <w:lang w:val="sr-Cyrl-CS"/>
        </w:rPr>
        <w:t>У</w:t>
      </w:r>
      <w:r w:rsidRPr="00895819">
        <w:rPr>
          <w:sz w:val="22"/>
          <w:szCs w:val="22"/>
          <w:lang w:val="sr-Cyrl-CS"/>
        </w:rPr>
        <w:t xml:space="preserve">пркос својој посвећености </w:t>
      </w:r>
      <w:r w:rsidR="00C13E86" w:rsidRPr="00895819">
        <w:rPr>
          <w:sz w:val="22"/>
          <w:szCs w:val="22"/>
          <w:lang w:val="sr-Cyrl-CS"/>
        </w:rPr>
        <w:t xml:space="preserve">исказаној потписивањем </w:t>
      </w:r>
      <w:r w:rsidRPr="00895819">
        <w:rPr>
          <w:sz w:val="22"/>
          <w:szCs w:val="22"/>
          <w:lang w:val="sr-Cyrl-CS"/>
        </w:rPr>
        <w:t>Париск</w:t>
      </w:r>
      <w:r w:rsidR="00C13E86" w:rsidRPr="00895819">
        <w:rPr>
          <w:sz w:val="22"/>
          <w:szCs w:val="22"/>
          <w:lang w:val="sr-Cyrl-CS"/>
        </w:rPr>
        <w:t>ог</w:t>
      </w:r>
      <w:r w:rsidRPr="00895819">
        <w:rPr>
          <w:sz w:val="22"/>
          <w:szCs w:val="22"/>
          <w:lang w:val="sr-Cyrl-CS"/>
        </w:rPr>
        <w:t xml:space="preserve"> споразум</w:t>
      </w:r>
      <w:r w:rsidR="00C13E86" w:rsidRPr="00895819">
        <w:rPr>
          <w:sz w:val="22"/>
          <w:szCs w:val="22"/>
          <w:lang w:val="sr-Cyrl-CS"/>
        </w:rPr>
        <w:t>а</w:t>
      </w:r>
      <w:r w:rsidRPr="00895819">
        <w:rPr>
          <w:sz w:val="22"/>
          <w:szCs w:val="22"/>
          <w:lang w:val="sr-Cyrl-CS"/>
        </w:rPr>
        <w:t>, Србија не спроводи годишњ</w:t>
      </w:r>
      <w:r w:rsidR="00FB3E61" w:rsidRPr="00895819">
        <w:rPr>
          <w:sz w:val="22"/>
          <w:szCs w:val="22"/>
          <w:lang w:val="sr-Cyrl-CS"/>
        </w:rPr>
        <w:t>и</w:t>
      </w:r>
      <w:r w:rsidRPr="00895819">
        <w:rPr>
          <w:sz w:val="22"/>
          <w:szCs w:val="22"/>
          <w:lang w:val="sr-Cyrl-CS"/>
        </w:rPr>
        <w:t xml:space="preserve"> инвент</w:t>
      </w:r>
      <w:r w:rsidR="00FB3E61" w:rsidRPr="00895819">
        <w:rPr>
          <w:sz w:val="22"/>
          <w:szCs w:val="22"/>
          <w:lang w:val="sr-Cyrl-CS"/>
        </w:rPr>
        <w:t xml:space="preserve">ар </w:t>
      </w:r>
      <w:r w:rsidRPr="00895819">
        <w:rPr>
          <w:sz w:val="22"/>
          <w:szCs w:val="22"/>
          <w:lang w:val="sr-Cyrl-CS"/>
        </w:rPr>
        <w:t xml:space="preserve">емисија </w:t>
      </w:r>
      <w:r w:rsidR="007A6BE0" w:rsidRPr="00895819">
        <w:rPr>
          <w:sz w:val="22"/>
          <w:lang w:val="sr-Cyrl-CS"/>
        </w:rPr>
        <w:t>GHG</w:t>
      </w:r>
      <w:r w:rsidRPr="00895819">
        <w:rPr>
          <w:sz w:val="22"/>
          <w:szCs w:val="22"/>
          <w:lang w:val="sr-Cyrl-CS"/>
        </w:rPr>
        <w:t xml:space="preserve">. Најновији објављени подаци датирају из 2014. године. </w:t>
      </w:r>
      <w:r w:rsidR="00BA4EC8" w:rsidRPr="00895819">
        <w:rPr>
          <w:sz w:val="22"/>
          <w:szCs w:val="22"/>
          <w:lang w:val="sr-Cyrl-CS"/>
        </w:rPr>
        <w:t>Закон о климатским променам</w:t>
      </w:r>
      <w:r w:rsidR="00C13E86" w:rsidRPr="00895819">
        <w:rPr>
          <w:sz w:val="22"/>
          <w:szCs w:val="22"/>
          <w:lang w:val="sr-Cyrl-CS"/>
        </w:rPr>
        <w:t>а</w:t>
      </w:r>
      <w:r w:rsidRPr="00895819">
        <w:rPr>
          <w:sz w:val="22"/>
          <w:szCs w:val="22"/>
          <w:lang w:val="sr-Cyrl-CS"/>
        </w:rPr>
        <w:t xml:space="preserve"> пружа </w:t>
      </w:r>
      <w:r w:rsidR="00BA4EC8" w:rsidRPr="00895819">
        <w:rPr>
          <w:sz w:val="22"/>
          <w:szCs w:val="22"/>
          <w:lang w:val="sr-Cyrl-CS"/>
        </w:rPr>
        <w:t>нов</w:t>
      </w:r>
      <w:r w:rsidRPr="00895819">
        <w:rPr>
          <w:sz w:val="22"/>
          <w:szCs w:val="22"/>
          <w:lang w:val="sr-Cyrl-CS"/>
        </w:rPr>
        <w:t xml:space="preserve"> оквир за спровођење инвентара – укључујући захтеве да одређене индустрије (укључујући оне на које утиче ЦБАМ) документују с</w:t>
      </w:r>
      <w:r w:rsidR="00BA4EC8" w:rsidRPr="00895819">
        <w:rPr>
          <w:sz w:val="22"/>
          <w:szCs w:val="22"/>
          <w:lang w:val="sr-Cyrl-CS"/>
        </w:rPr>
        <w:t>воје</w:t>
      </w:r>
      <w:r w:rsidRPr="00895819">
        <w:rPr>
          <w:sz w:val="22"/>
          <w:szCs w:val="22"/>
          <w:lang w:val="sr-Cyrl-CS"/>
        </w:rPr>
        <w:t xml:space="preserve"> емисије – али </w:t>
      </w:r>
      <w:r w:rsidR="00BA4EC8" w:rsidRPr="00895819">
        <w:rPr>
          <w:sz w:val="22"/>
          <w:szCs w:val="22"/>
          <w:lang w:val="sr-Cyrl-CS"/>
        </w:rPr>
        <w:t>то се још увек не спроводи</w:t>
      </w:r>
      <w:r w:rsidRPr="00895819">
        <w:rPr>
          <w:sz w:val="22"/>
          <w:szCs w:val="22"/>
          <w:lang w:val="sr-Cyrl-CS"/>
        </w:rPr>
        <w:t xml:space="preserve">. Недостатак података о емисијама не дозвољава процену ефикасности напора да се подржи </w:t>
      </w:r>
      <w:r w:rsidR="00BA4EC8" w:rsidRPr="00895819">
        <w:rPr>
          <w:sz w:val="22"/>
          <w:szCs w:val="22"/>
          <w:lang w:val="sr-Cyrl-CS"/>
        </w:rPr>
        <w:t xml:space="preserve">нискоугљенична </w:t>
      </w:r>
      <w:r w:rsidRPr="00895819">
        <w:rPr>
          <w:sz w:val="22"/>
          <w:szCs w:val="22"/>
          <w:lang w:val="sr-Cyrl-CS"/>
        </w:rPr>
        <w:t xml:space="preserve">транзиција, нити омогућава испитивање ефикасности јавне потрошње </w:t>
      </w:r>
      <w:r w:rsidR="00BA4EC8" w:rsidRPr="00895819">
        <w:rPr>
          <w:sz w:val="22"/>
          <w:szCs w:val="22"/>
          <w:lang w:val="sr-Cyrl-CS"/>
        </w:rPr>
        <w:t>по питању овог циља</w:t>
      </w:r>
      <w:r w:rsidR="00B16F8D" w:rsidRPr="00895819">
        <w:rPr>
          <w:sz w:val="22"/>
          <w:szCs w:val="22"/>
          <w:lang w:val="sr-Cyrl-CS"/>
        </w:rPr>
        <w:t xml:space="preserve">. </w:t>
      </w:r>
    </w:p>
    <w:p w14:paraId="52A3D583" w14:textId="77777777" w:rsidR="00B16F8D" w:rsidRPr="00895819" w:rsidRDefault="00B16F8D" w:rsidP="00B16F8D">
      <w:pPr>
        <w:pStyle w:val="comtexte"/>
        <w:numPr>
          <w:ilvl w:val="0"/>
          <w:numId w:val="0"/>
        </w:numPr>
        <w:rPr>
          <w:b/>
          <w:sz w:val="22"/>
          <w:szCs w:val="22"/>
          <w:lang w:val="sr-Cyrl-CS"/>
        </w:rPr>
      </w:pPr>
    </w:p>
    <w:p w14:paraId="7242E14C" w14:textId="11502017" w:rsidR="00B16F8D" w:rsidRPr="00895819" w:rsidRDefault="00FF799C" w:rsidP="00B16F8D">
      <w:pPr>
        <w:spacing w:after="120"/>
        <w:rPr>
          <w:b/>
          <w:szCs w:val="22"/>
          <w:u w:val="single"/>
          <w:lang w:val="sr-Cyrl-CS"/>
        </w:rPr>
      </w:pPr>
      <w:r w:rsidRPr="00895819">
        <w:rPr>
          <w:b/>
          <w:szCs w:val="22"/>
          <w:u w:val="single"/>
          <w:lang w:val="sr-Cyrl-CS"/>
        </w:rPr>
        <w:t>Ц</w:t>
      </w:r>
      <w:r w:rsidR="00B16F8D" w:rsidRPr="00895819">
        <w:rPr>
          <w:b/>
          <w:szCs w:val="22"/>
          <w:u w:val="single"/>
          <w:lang w:val="sr-Cyrl-CS"/>
        </w:rPr>
        <w:t xml:space="preserve"> – </w:t>
      </w:r>
      <w:r w:rsidR="00E2243A" w:rsidRPr="00895819">
        <w:rPr>
          <w:b/>
          <w:szCs w:val="22"/>
          <w:u w:val="single"/>
          <w:lang w:val="sr-Cyrl-CS"/>
        </w:rPr>
        <w:t>Специфични циљеви и циљеви Операције</w:t>
      </w:r>
    </w:p>
    <w:p w14:paraId="0ACA113B" w14:textId="77777777" w:rsidR="00B16F8D" w:rsidRPr="00895819" w:rsidRDefault="00E2243A" w:rsidP="00B16F8D">
      <w:pPr>
        <w:pStyle w:val="comtexte"/>
        <w:spacing w:before="240"/>
        <w:ind w:left="0" w:firstLine="284"/>
        <w:rPr>
          <w:sz w:val="22"/>
          <w:szCs w:val="22"/>
          <w:lang w:val="sr-Cyrl-CS"/>
        </w:rPr>
      </w:pPr>
      <w:r w:rsidRPr="00895819">
        <w:rPr>
          <w:b/>
          <w:sz w:val="22"/>
          <w:szCs w:val="22"/>
          <w:lang w:val="sr-Cyrl-CS"/>
        </w:rPr>
        <w:t xml:space="preserve">Сврха ове операције је да одвоји српски раст од притиска који </w:t>
      </w:r>
      <w:r w:rsidR="00B87724" w:rsidRPr="00895819">
        <w:rPr>
          <w:b/>
          <w:sz w:val="22"/>
          <w:szCs w:val="22"/>
          <w:lang w:val="sr-Cyrl-CS"/>
        </w:rPr>
        <w:t xml:space="preserve">он </w:t>
      </w:r>
      <w:r w:rsidRPr="00895819">
        <w:rPr>
          <w:b/>
          <w:sz w:val="22"/>
          <w:szCs w:val="22"/>
          <w:lang w:val="sr-Cyrl-CS"/>
        </w:rPr>
        <w:t>врши на климу и животну средину</w:t>
      </w:r>
      <w:r w:rsidR="00B16F8D" w:rsidRPr="00895819">
        <w:rPr>
          <w:sz w:val="22"/>
          <w:szCs w:val="22"/>
          <w:lang w:val="sr-Cyrl-CS"/>
        </w:rPr>
        <w:t xml:space="preserve">. </w:t>
      </w:r>
      <w:r w:rsidRPr="00895819">
        <w:rPr>
          <w:sz w:val="22"/>
          <w:szCs w:val="22"/>
          <w:lang w:val="sr-Cyrl-CS"/>
        </w:rPr>
        <w:t xml:space="preserve">Да би се то постигло, специфични циљ операције биће јачање планирања и управљања јавним финансијама како би се убрзала имплементација Зелене агенде. На крају операције очекује се </w:t>
      </w:r>
      <w:r w:rsidR="00B87724" w:rsidRPr="00895819">
        <w:rPr>
          <w:sz w:val="22"/>
          <w:szCs w:val="22"/>
          <w:lang w:val="sr-Cyrl-CS"/>
        </w:rPr>
        <w:t>следеће</w:t>
      </w:r>
      <w:r w:rsidR="00B16F8D" w:rsidRPr="00895819">
        <w:rPr>
          <w:sz w:val="22"/>
          <w:szCs w:val="22"/>
          <w:lang w:val="sr-Cyrl-C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7369"/>
      </w:tblGrid>
      <w:tr w:rsidR="00B16F8D" w:rsidRPr="00895819" w14:paraId="01779F62" w14:textId="77777777" w:rsidTr="00485361">
        <w:tc>
          <w:tcPr>
            <w:tcW w:w="1701" w:type="dxa"/>
          </w:tcPr>
          <w:p w14:paraId="0503B837" w14:textId="77777777" w:rsidR="00B16F8D" w:rsidRPr="00895819" w:rsidRDefault="00B16F8D" w:rsidP="00485361">
            <w:pPr>
              <w:pStyle w:val="comtexte"/>
              <w:numPr>
                <w:ilvl w:val="0"/>
                <w:numId w:val="0"/>
              </w:numPr>
              <w:jc w:val="left"/>
              <w:rPr>
                <w:sz w:val="22"/>
                <w:szCs w:val="22"/>
                <w:lang w:val="sr-Cyrl-CS"/>
              </w:rPr>
            </w:pPr>
            <w:r w:rsidRPr="00895819">
              <w:rPr>
                <w:sz w:val="22"/>
                <w:szCs w:val="22"/>
                <w:lang w:val="sr-Cyrl-CS"/>
              </w:rPr>
              <w:sym w:font="Wingdings" w:char="F076"/>
            </w:r>
            <w:r w:rsidRPr="00895819">
              <w:rPr>
                <w:sz w:val="22"/>
                <w:szCs w:val="22"/>
                <w:lang w:val="sr-Cyrl-CS"/>
              </w:rPr>
              <w:t xml:space="preserve"> </w:t>
            </w:r>
            <w:r w:rsidR="00BA4EC8" w:rsidRPr="00895819">
              <w:rPr>
                <w:sz w:val="22"/>
                <w:szCs w:val="22"/>
                <w:lang w:val="sr-Cyrl-CS"/>
              </w:rPr>
              <w:t>Резултат</w:t>
            </w:r>
            <w:r w:rsidRPr="00895819">
              <w:rPr>
                <w:sz w:val="22"/>
                <w:szCs w:val="22"/>
                <w:lang w:val="sr-Cyrl-CS"/>
              </w:rPr>
              <w:t xml:space="preserve"> 1</w:t>
            </w:r>
          </w:p>
        </w:tc>
        <w:tc>
          <w:tcPr>
            <w:tcW w:w="7371" w:type="dxa"/>
          </w:tcPr>
          <w:p w14:paraId="7ABEB6CC" w14:textId="77777777" w:rsidR="00B16F8D" w:rsidRPr="00895819" w:rsidRDefault="00BA4EC8" w:rsidP="00485361">
            <w:pPr>
              <w:pStyle w:val="comtexte"/>
              <w:numPr>
                <w:ilvl w:val="0"/>
                <w:numId w:val="0"/>
              </w:numPr>
              <w:rPr>
                <w:sz w:val="22"/>
                <w:szCs w:val="22"/>
                <w:lang w:val="sr-Cyrl-CS"/>
              </w:rPr>
            </w:pPr>
            <w:r w:rsidRPr="00895819">
              <w:rPr>
                <w:sz w:val="22"/>
                <w:szCs w:val="22"/>
                <w:lang w:val="sr-Cyrl-CS"/>
              </w:rPr>
              <w:t xml:space="preserve">Инвестиционе стратегије, програми и пројекти одражавају трансформације и трошкове потребне за имплементацију </w:t>
            </w:r>
            <w:r w:rsidR="00D86FD2" w:rsidRPr="00895819">
              <w:rPr>
                <w:sz w:val="22"/>
                <w:szCs w:val="22"/>
                <w:lang w:val="sr-Cyrl-CS"/>
              </w:rPr>
              <w:t>Зелен</w:t>
            </w:r>
            <w:r w:rsidRPr="00895819">
              <w:rPr>
                <w:sz w:val="22"/>
                <w:szCs w:val="22"/>
                <w:lang w:val="sr-Cyrl-CS"/>
              </w:rPr>
              <w:t>е</w:t>
            </w:r>
            <w:r w:rsidR="00D86FD2" w:rsidRPr="00895819">
              <w:rPr>
                <w:sz w:val="22"/>
                <w:szCs w:val="22"/>
                <w:lang w:val="sr-Cyrl-CS"/>
              </w:rPr>
              <w:t xml:space="preserve"> агенд</w:t>
            </w:r>
            <w:r w:rsidRPr="00895819">
              <w:rPr>
                <w:sz w:val="22"/>
                <w:szCs w:val="22"/>
                <w:lang w:val="sr-Cyrl-CS"/>
              </w:rPr>
              <w:t>е</w:t>
            </w:r>
          </w:p>
        </w:tc>
      </w:tr>
      <w:tr w:rsidR="00B16F8D" w:rsidRPr="00895819" w14:paraId="7619D4B0" w14:textId="77777777" w:rsidTr="00485361">
        <w:tc>
          <w:tcPr>
            <w:tcW w:w="1701" w:type="dxa"/>
          </w:tcPr>
          <w:p w14:paraId="652A1C09" w14:textId="77777777" w:rsidR="00B16F8D" w:rsidRPr="00895819" w:rsidRDefault="00B16F8D" w:rsidP="00485361">
            <w:pPr>
              <w:pStyle w:val="comtexte"/>
              <w:numPr>
                <w:ilvl w:val="0"/>
                <w:numId w:val="0"/>
              </w:numPr>
              <w:jc w:val="left"/>
              <w:rPr>
                <w:sz w:val="22"/>
                <w:szCs w:val="22"/>
                <w:lang w:val="sr-Cyrl-CS"/>
              </w:rPr>
            </w:pPr>
            <w:r w:rsidRPr="00895819">
              <w:rPr>
                <w:sz w:val="22"/>
                <w:szCs w:val="22"/>
                <w:lang w:val="sr-Cyrl-CS"/>
              </w:rPr>
              <w:sym w:font="Wingdings" w:char="F076"/>
            </w:r>
            <w:r w:rsidRPr="00895819">
              <w:rPr>
                <w:sz w:val="22"/>
                <w:szCs w:val="22"/>
                <w:lang w:val="sr-Cyrl-CS"/>
              </w:rPr>
              <w:t xml:space="preserve"> </w:t>
            </w:r>
            <w:r w:rsidR="00BA4EC8" w:rsidRPr="00895819">
              <w:rPr>
                <w:sz w:val="22"/>
                <w:szCs w:val="22"/>
                <w:lang w:val="sr-Cyrl-CS"/>
              </w:rPr>
              <w:t>Резултат</w:t>
            </w:r>
            <w:r w:rsidRPr="00895819">
              <w:rPr>
                <w:sz w:val="22"/>
                <w:szCs w:val="22"/>
                <w:lang w:val="sr-Cyrl-CS"/>
              </w:rPr>
              <w:t xml:space="preserve"> 2</w:t>
            </w:r>
          </w:p>
        </w:tc>
        <w:tc>
          <w:tcPr>
            <w:tcW w:w="7371" w:type="dxa"/>
          </w:tcPr>
          <w:p w14:paraId="1B827045" w14:textId="77777777" w:rsidR="00B16F8D" w:rsidRPr="00895819" w:rsidRDefault="00BA4EC8" w:rsidP="00485361">
            <w:pPr>
              <w:pStyle w:val="comtexte"/>
              <w:numPr>
                <w:ilvl w:val="0"/>
                <w:numId w:val="0"/>
              </w:numPr>
              <w:rPr>
                <w:sz w:val="22"/>
                <w:szCs w:val="22"/>
                <w:lang w:val="sr-Cyrl-CS"/>
              </w:rPr>
            </w:pPr>
            <w:r w:rsidRPr="00895819">
              <w:rPr>
                <w:sz w:val="22"/>
                <w:szCs w:val="22"/>
                <w:lang w:val="sr-Cyrl-CS"/>
              </w:rPr>
              <w:t xml:space="preserve">Буџетска средства за </w:t>
            </w:r>
            <w:r w:rsidR="00D86FD2" w:rsidRPr="00895819">
              <w:rPr>
                <w:sz w:val="22"/>
                <w:szCs w:val="22"/>
                <w:lang w:val="sr-Cyrl-CS"/>
              </w:rPr>
              <w:t>Зелен</w:t>
            </w:r>
            <w:r w:rsidRPr="00895819">
              <w:rPr>
                <w:sz w:val="22"/>
                <w:szCs w:val="22"/>
                <w:lang w:val="sr-Cyrl-CS"/>
              </w:rPr>
              <w:t>у</w:t>
            </w:r>
            <w:r w:rsidR="00D86FD2" w:rsidRPr="00895819">
              <w:rPr>
                <w:sz w:val="22"/>
                <w:szCs w:val="22"/>
                <w:lang w:val="sr-Cyrl-CS"/>
              </w:rPr>
              <w:t xml:space="preserve"> агенд</w:t>
            </w:r>
            <w:r w:rsidRPr="00895819">
              <w:rPr>
                <w:sz w:val="22"/>
                <w:szCs w:val="22"/>
                <w:lang w:val="sr-Cyrl-CS"/>
              </w:rPr>
              <w:t>у се одвајају а буџетски ризици по еколошку транзицију адекватно се прате</w:t>
            </w:r>
          </w:p>
        </w:tc>
      </w:tr>
      <w:tr w:rsidR="00B16F8D" w:rsidRPr="00895819" w14:paraId="0207AEF5" w14:textId="77777777" w:rsidTr="00485361">
        <w:tc>
          <w:tcPr>
            <w:tcW w:w="1701" w:type="dxa"/>
          </w:tcPr>
          <w:p w14:paraId="58016B08" w14:textId="77777777" w:rsidR="00B16F8D" w:rsidRPr="00895819" w:rsidRDefault="00B16F8D" w:rsidP="00485361">
            <w:pPr>
              <w:pStyle w:val="comtexte"/>
              <w:numPr>
                <w:ilvl w:val="0"/>
                <w:numId w:val="0"/>
              </w:numPr>
              <w:jc w:val="left"/>
              <w:rPr>
                <w:sz w:val="22"/>
                <w:szCs w:val="22"/>
                <w:lang w:val="sr-Cyrl-CS"/>
              </w:rPr>
            </w:pPr>
            <w:r w:rsidRPr="00895819">
              <w:rPr>
                <w:sz w:val="22"/>
                <w:szCs w:val="22"/>
                <w:lang w:val="sr-Cyrl-CS"/>
              </w:rPr>
              <w:lastRenderedPageBreak/>
              <w:sym w:font="Wingdings" w:char="F076"/>
            </w:r>
            <w:r w:rsidRPr="00895819">
              <w:rPr>
                <w:sz w:val="22"/>
                <w:szCs w:val="22"/>
                <w:lang w:val="sr-Cyrl-CS"/>
              </w:rPr>
              <w:t xml:space="preserve"> </w:t>
            </w:r>
            <w:r w:rsidR="00BA4EC8" w:rsidRPr="00895819">
              <w:rPr>
                <w:sz w:val="22"/>
                <w:szCs w:val="22"/>
                <w:lang w:val="sr-Cyrl-CS"/>
              </w:rPr>
              <w:t>Резултат</w:t>
            </w:r>
            <w:r w:rsidRPr="00895819">
              <w:rPr>
                <w:sz w:val="22"/>
                <w:szCs w:val="22"/>
                <w:lang w:val="sr-Cyrl-CS"/>
              </w:rPr>
              <w:t xml:space="preserve"> 3</w:t>
            </w:r>
          </w:p>
        </w:tc>
        <w:tc>
          <w:tcPr>
            <w:tcW w:w="7371" w:type="dxa"/>
          </w:tcPr>
          <w:p w14:paraId="4973FEED" w14:textId="77777777" w:rsidR="00B16F8D" w:rsidRPr="00895819" w:rsidRDefault="00BA4EC8" w:rsidP="00485361">
            <w:pPr>
              <w:pStyle w:val="comtexte"/>
              <w:numPr>
                <w:ilvl w:val="0"/>
                <w:numId w:val="0"/>
              </w:numPr>
              <w:rPr>
                <w:sz w:val="22"/>
                <w:szCs w:val="22"/>
                <w:lang w:val="sr-Cyrl-CS"/>
              </w:rPr>
            </w:pPr>
            <w:r w:rsidRPr="00895819">
              <w:rPr>
                <w:sz w:val="22"/>
                <w:szCs w:val="22"/>
                <w:lang w:val="sr-Cyrl-CS"/>
              </w:rPr>
              <w:t xml:space="preserve">Буџетске алокације и јавне набавке боље </w:t>
            </w:r>
            <w:r w:rsidR="00B87724" w:rsidRPr="00895819">
              <w:rPr>
                <w:sz w:val="22"/>
                <w:szCs w:val="22"/>
                <w:lang w:val="sr-Cyrl-CS"/>
              </w:rPr>
              <w:t>с</w:t>
            </w:r>
            <w:r w:rsidRPr="00895819">
              <w:rPr>
                <w:sz w:val="22"/>
                <w:szCs w:val="22"/>
                <w:lang w:val="sr-Cyrl-CS"/>
              </w:rPr>
              <w:t xml:space="preserve">у усклађене са циљевима </w:t>
            </w:r>
            <w:r w:rsidR="00D86FD2" w:rsidRPr="00895819">
              <w:rPr>
                <w:sz w:val="22"/>
                <w:szCs w:val="22"/>
                <w:lang w:val="sr-Cyrl-CS"/>
              </w:rPr>
              <w:t>Зелен</w:t>
            </w:r>
            <w:r w:rsidRPr="00895819">
              <w:rPr>
                <w:sz w:val="22"/>
                <w:szCs w:val="22"/>
                <w:lang w:val="sr-Cyrl-CS"/>
              </w:rPr>
              <w:t>е</w:t>
            </w:r>
            <w:r w:rsidR="00D86FD2" w:rsidRPr="00895819">
              <w:rPr>
                <w:sz w:val="22"/>
                <w:szCs w:val="22"/>
                <w:lang w:val="sr-Cyrl-CS"/>
              </w:rPr>
              <w:t xml:space="preserve"> агенд</w:t>
            </w:r>
            <w:r w:rsidRPr="00895819">
              <w:rPr>
                <w:sz w:val="22"/>
                <w:szCs w:val="22"/>
                <w:lang w:val="sr-Cyrl-CS"/>
              </w:rPr>
              <w:t>е</w:t>
            </w:r>
          </w:p>
        </w:tc>
      </w:tr>
      <w:tr w:rsidR="00B16F8D" w:rsidRPr="00895819" w14:paraId="1C09142D" w14:textId="77777777" w:rsidTr="00485361">
        <w:tc>
          <w:tcPr>
            <w:tcW w:w="1701" w:type="dxa"/>
          </w:tcPr>
          <w:p w14:paraId="7BCF8CD8" w14:textId="77777777" w:rsidR="00B16F8D" w:rsidRPr="00895819" w:rsidRDefault="00B16F8D" w:rsidP="00485361">
            <w:pPr>
              <w:pStyle w:val="comtexte"/>
              <w:numPr>
                <w:ilvl w:val="0"/>
                <w:numId w:val="0"/>
              </w:numPr>
              <w:jc w:val="left"/>
              <w:rPr>
                <w:sz w:val="22"/>
                <w:szCs w:val="22"/>
                <w:lang w:val="sr-Cyrl-CS"/>
              </w:rPr>
            </w:pPr>
            <w:r w:rsidRPr="00895819">
              <w:rPr>
                <w:sz w:val="22"/>
                <w:szCs w:val="22"/>
                <w:lang w:val="sr-Cyrl-CS"/>
              </w:rPr>
              <w:sym w:font="Wingdings" w:char="F076"/>
            </w:r>
            <w:r w:rsidRPr="00895819">
              <w:rPr>
                <w:sz w:val="22"/>
                <w:szCs w:val="22"/>
                <w:lang w:val="sr-Cyrl-CS"/>
              </w:rPr>
              <w:t xml:space="preserve"> </w:t>
            </w:r>
            <w:r w:rsidR="00BA4EC8" w:rsidRPr="00895819">
              <w:rPr>
                <w:sz w:val="22"/>
                <w:szCs w:val="22"/>
                <w:lang w:val="sr-Cyrl-CS"/>
              </w:rPr>
              <w:t>Резултат</w:t>
            </w:r>
            <w:r w:rsidRPr="00895819">
              <w:rPr>
                <w:sz w:val="22"/>
                <w:szCs w:val="22"/>
                <w:lang w:val="sr-Cyrl-CS"/>
              </w:rPr>
              <w:t xml:space="preserve"> 4</w:t>
            </w:r>
          </w:p>
        </w:tc>
        <w:tc>
          <w:tcPr>
            <w:tcW w:w="7371" w:type="dxa"/>
          </w:tcPr>
          <w:p w14:paraId="645B423D" w14:textId="737D626B" w:rsidR="00B16F8D" w:rsidRPr="00895819" w:rsidRDefault="00BA4EC8" w:rsidP="00485361">
            <w:pPr>
              <w:pStyle w:val="comtexte"/>
              <w:numPr>
                <w:ilvl w:val="0"/>
                <w:numId w:val="0"/>
              </w:numPr>
              <w:rPr>
                <w:sz w:val="22"/>
                <w:szCs w:val="22"/>
                <w:lang w:val="sr-Cyrl-CS"/>
              </w:rPr>
            </w:pPr>
            <w:r w:rsidRPr="00895819">
              <w:rPr>
                <w:sz w:val="22"/>
                <w:szCs w:val="22"/>
                <w:lang w:val="sr-Cyrl-CS"/>
              </w:rPr>
              <w:t xml:space="preserve">Могуће је проценити </w:t>
            </w:r>
            <w:r w:rsidR="007A6BE0" w:rsidRPr="00895819">
              <w:rPr>
                <w:sz w:val="22"/>
                <w:lang w:val="sr-Cyrl-CS"/>
              </w:rPr>
              <w:t>GHG</w:t>
            </w:r>
            <w:r w:rsidR="007A6BE0" w:rsidRPr="00895819">
              <w:rPr>
                <w:sz w:val="22"/>
                <w:szCs w:val="22"/>
                <w:lang w:val="sr-Cyrl-CS"/>
              </w:rPr>
              <w:t xml:space="preserve"> </w:t>
            </w:r>
            <w:r w:rsidRPr="00895819">
              <w:rPr>
                <w:sz w:val="22"/>
                <w:szCs w:val="22"/>
                <w:lang w:val="sr-Cyrl-CS"/>
              </w:rPr>
              <w:t>емисије јавних политика и улагања, као и повезани еколошки учинак</w:t>
            </w:r>
          </w:p>
        </w:tc>
      </w:tr>
    </w:tbl>
    <w:p w14:paraId="2357B90C" w14:textId="77777777" w:rsidR="00B16F8D" w:rsidRPr="00895819" w:rsidRDefault="00B16F8D" w:rsidP="00B16F8D">
      <w:pPr>
        <w:spacing w:after="120"/>
        <w:rPr>
          <w:b/>
          <w:szCs w:val="22"/>
          <w:u w:val="single"/>
          <w:lang w:val="sr-Cyrl-CS"/>
        </w:rPr>
      </w:pPr>
    </w:p>
    <w:p w14:paraId="7762CBC3" w14:textId="6C7A828A" w:rsidR="00B16F8D" w:rsidRPr="00895819" w:rsidRDefault="00FF799C" w:rsidP="00B16F8D">
      <w:pPr>
        <w:spacing w:after="120"/>
        <w:rPr>
          <w:b/>
          <w:szCs w:val="22"/>
          <w:u w:val="single"/>
          <w:lang w:val="sr-Cyrl-CS"/>
        </w:rPr>
      </w:pPr>
      <w:r w:rsidRPr="00895819">
        <w:rPr>
          <w:b/>
          <w:szCs w:val="22"/>
          <w:u w:val="single"/>
          <w:lang w:val="sr-Cyrl-CS"/>
        </w:rPr>
        <w:t>Д</w:t>
      </w:r>
      <w:r w:rsidR="00B16F8D" w:rsidRPr="00895819">
        <w:rPr>
          <w:b/>
          <w:szCs w:val="22"/>
          <w:u w:val="single"/>
          <w:lang w:val="sr-Cyrl-CS"/>
        </w:rPr>
        <w:t xml:space="preserve"> – </w:t>
      </w:r>
      <w:r w:rsidR="005D56F9" w:rsidRPr="00895819">
        <w:rPr>
          <w:b/>
          <w:szCs w:val="22"/>
          <w:u w:val="single"/>
          <w:lang w:val="sr-Cyrl-CS"/>
        </w:rPr>
        <w:t>Аранжмани везани за имплементацију</w:t>
      </w:r>
    </w:p>
    <w:p w14:paraId="242FDFD8" w14:textId="77777777" w:rsidR="00B16F8D" w:rsidRPr="00895819" w:rsidRDefault="00BA4EC8" w:rsidP="00B16F8D">
      <w:pPr>
        <w:pStyle w:val="comtexte"/>
        <w:spacing w:before="240"/>
        <w:ind w:left="0" w:firstLine="284"/>
        <w:rPr>
          <w:sz w:val="22"/>
          <w:szCs w:val="22"/>
          <w:lang w:val="sr-Cyrl-CS"/>
        </w:rPr>
      </w:pPr>
      <w:r w:rsidRPr="00895819">
        <w:rPr>
          <w:b/>
          <w:sz w:val="22"/>
          <w:szCs w:val="22"/>
          <w:lang w:val="sr-Cyrl-CS"/>
        </w:rPr>
        <w:t xml:space="preserve">Ова операција представља програм буџетског финансирања </w:t>
      </w:r>
      <w:r w:rsidR="00B16F8D" w:rsidRPr="00895819">
        <w:rPr>
          <w:b/>
          <w:sz w:val="22"/>
          <w:szCs w:val="22"/>
          <w:lang w:val="sr-Cyrl-CS"/>
        </w:rPr>
        <w:t>(</w:t>
      </w:r>
      <w:r w:rsidR="006D68DB" w:rsidRPr="00895819">
        <w:rPr>
          <w:b/>
          <w:sz w:val="22"/>
          <w:szCs w:val="22"/>
          <w:lang w:val="sr-Cyrl-CS"/>
        </w:rPr>
        <w:t>ПБФ</w:t>
      </w:r>
      <w:r w:rsidR="00B16F8D" w:rsidRPr="00895819">
        <w:rPr>
          <w:b/>
          <w:sz w:val="22"/>
          <w:szCs w:val="22"/>
          <w:lang w:val="sr-Cyrl-CS"/>
        </w:rPr>
        <w:t xml:space="preserve">) </w:t>
      </w:r>
      <w:r w:rsidRPr="00895819">
        <w:rPr>
          <w:b/>
          <w:sz w:val="22"/>
          <w:szCs w:val="22"/>
          <w:lang w:val="sr-Cyrl-CS"/>
        </w:rPr>
        <w:t>који ће дати допринос пројект</w:t>
      </w:r>
      <w:r w:rsidR="006D68DB" w:rsidRPr="00895819">
        <w:rPr>
          <w:b/>
          <w:sz w:val="22"/>
          <w:szCs w:val="22"/>
          <w:lang w:val="sr-Cyrl-CS"/>
        </w:rPr>
        <w:t>им</w:t>
      </w:r>
      <w:r w:rsidRPr="00895819">
        <w:rPr>
          <w:b/>
          <w:sz w:val="22"/>
          <w:szCs w:val="22"/>
          <w:lang w:val="sr-Cyrl-CS"/>
        </w:rPr>
        <w:t xml:space="preserve">а </w:t>
      </w:r>
      <w:r w:rsidR="004528D1" w:rsidRPr="00895819">
        <w:rPr>
          <w:b/>
          <w:sz w:val="22"/>
          <w:szCs w:val="22"/>
          <w:lang w:val="sr-Cyrl-CS"/>
        </w:rPr>
        <w:t>у области зелених инвестиција у Србији</w:t>
      </w:r>
      <w:r w:rsidR="00B16F8D" w:rsidRPr="00895819">
        <w:rPr>
          <w:b/>
          <w:sz w:val="22"/>
          <w:szCs w:val="22"/>
          <w:lang w:val="sr-Cyrl-CS"/>
        </w:rPr>
        <w:t>.</w:t>
      </w:r>
      <w:r w:rsidR="00B16F8D" w:rsidRPr="00895819">
        <w:rPr>
          <w:sz w:val="22"/>
          <w:szCs w:val="22"/>
          <w:lang w:val="sr-Cyrl-CS"/>
        </w:rPr>
        <w:t xml:space="preserve">  </w:t>
      </w:r>
      <w:r w:rsidR="004528D1" w:rsidRPr="00895819">
        <w:rPr>
          <w:sz w:val="22"/>
          <w:szCs w:val="22"/>
          <w:lang w:val="sr-Cyrl-CS"/>
        </w:rPr>
        <w:t xml:space="preserve">Операција се састоји од оквира резултата </w:t>
      </w:r>
      <w:r w:rsidR="00B16F8D" w:rsidRPr="00895819">
        <w:rPr>
          <w:sz w:val="22"/>
          <w:szCs w:val="22"/>
          <w:lang w:val="sr-Cyrl-CS"/>
        </w:rPr>
        <w:t>(</w:t>
      </w:r>
      <w:r w:rsidR="006D68DB" w:rsidRPr="00895819">
        <w:rPr>
          <w:sz w:val="22"/>
          <w:szCs w:val="22"/>
          <w:lang w:val="sr-Cyrl-CS"/>
        </w:rPr>
        <w:t>види</w:t>
      </w:r>
      <w:r w:rsidR="00B16F8D" w:rsidRPr="00895819">
        <w:rPr>
          <w:sz w:val="22"/>
          <w:szCs w:val="22"/>
          <w:lang w:val="sr-Cyrl-CS"/>
        </w:rPr>
        <w:t xml:space="preserve"> </w:t>
      </w:r>
      <w:r w:rsidR="004528D1" w:rsidRPr="00895819">
        <w:rPr>
          <w:sz w:val="22"/>
          <w:szCs w:val="22"/>
          <w:lang w:val="sr-Cyrl-CS"/>
        </w:rPr>
        <w:t>Прилог</w:t>
      </w:r>
      <w:r w:rsidR="00B16F8D" w:rsidRPr="00895819">
        <w:rPr>
          <w:sz w:val="22"/>
          <w:szCs w:val="22"/>
          <w:lang w:val="sr-Cyrl-CS"/>
        </w:rPr>
        <w:t xml:space="preserve"> 3</w:t>
      </w:r>
      <w:r w:rsidR="004528D1" w:rsidRPr="00895819">
        <w:rPr>
          <w:sz w:val="22"/>
          <w:szCs w:val="22"/>
          <w:lang w:val="sr-Cyrl-CS"/>
        </w:rPr>
        <w:t>Ц</w:t>
      </w:r>
      <w:r w:rsidR="00B16F8D" w:rsidRPr="00895819">
        <w:rPr>
          <w:sz w:val="22"/>
          <w:szCs w:val="22"/>
          <w:lang w:val="sr-Cyrl-CS"/>
        </w:rPr>
        <w:t>),</w:t>
      </w:r>
      <w:r w:rsidR="003F6A55" w:rsidRPr="00895819">
        <w:rPr>
          <w:sz w:val="22"/>
          <w:szCs w:val="22"/>
          <w:lang w:val="sr-Cyrl-CS"/>
        </w:rPr>
        <w:t xml:space="preserve"> </w:t>
      </w:r>
      <w:r w:rsidR="004528D1" w:rsidRPr="00895819">
        <w:rPr>
          <w:sz w:val="22"/>
          <w:szCs w:val="22"/>
          <w:lang w:val="sr-Cyrl-CS"/>
        </w:rPr>
        <w:t>оквира расхода</w:t>
      </w:r>
      <w:r w:rsidR="00B16F8D" w:rsidRPr="00895819">
        <w:rPr>
          <w:sz w:val="22"/>
          <w:szCs w:val="22"/>
          <w:lang w:val="sr-Cyrl-CS"/>
        </w:rPr>
        <w:t xml:space="preserve"> (</w:t>
      </w:r>
      <w:r w:rsidR="006D68DB" w:rsidRPr="00895819">
        <w:rPr>
          <w:sz w:val="22"/>
          <w:szCs w:val="22"/>
          <w:lang w:val="sr-Cyrl-CS"/>
        </w:rPr>
        <w:t>види</w:t>
      </w:r>
      <w:r w:rsidR="00B16F8D" w:rsidRPr="00895819">
        <w:rPr>
          <w:sz w:val="22"/>
          <w:szCs w:val="22"/>
          <w:lang w:val="sr-Cyrl-CS"/>
        </w:rPr>
        <w:t xml:space="preserve"> </w:t>
      </w:r>
      <w:r w:rsidR="004528D1" w:rsidRPr="00895819">
        <w:rPr>
          <w:sz w:val="22"/>
          <w:szCs w:val="22"/>
          <w:lang w:val="sr-Cyrl-CS"/>
        </w:rPr>
        <w:t>Прилог</w:t>
      </w:r>
      <w:r w:rsidR="00924CFD" w:rsidRPr="00895819">
        <w:rPr>
          <w:sz w:val="22"/>
          <w:szCs w:val="22"/>
          <w:lang w:val="sr-Cyrl-CS"/>
        </w:rPr>
        <w:t xml:space="preserve"> 3</w:t>
      </w:r>
      <w:r w:rsidR="004528D1" w:rsidRPr="00895819">
        <w:rPr>
          <w:sz w:val="22"/>
          <w:szCs w:val="22"/>
          <w:lang w:val="sr-Cyrl-CS"/>
        </w:rPr>
        <w:t>Б</w:t>
      </w:r>
      <w:r w:rsidR="00B16F8D" w:rsidRPr="00895819">
        <w:rPr>
          <w:sz w:val="22"/>
          <w:szCs w:val="22"/>
          <w:lang w:val="sr-Cyrl-CS"/>
        </w:rPr>
        <w:t xml:space="preserve">) </w:t>
      </w:r>
      <w:r w:rsidR="004528D1" w:rsidRPr="00895819">
        <w:rPr>
          <w:sz w:val="22"/>
          <w:szCs w:val="22"/>
          <w:lang w:val="sr-Cyrl-CS"/>
        </w:rPr>
        <w:t>и програма техничке помоћи</w:t>
      </w:r>
      <w:r w:rsidR="00B16F8D" w:rsidRPr="00895819">
        <w:rPr>
          <w:sz w:val="22"/>
          <w:szCs w:val="22"/>
          <w:lang w:val="sr-Cyrl-CS"/>
        </w:rPr>
        <w:t xml:space="preserve"> (</w:t>
      </w:r>
      <w:r w:rsidR="004528D1" w:rsidRPr="00895819">
        <w:rPr>
          <w:sz w:val="22"/>
          <w:szCs w:val="22"/>
          <w:lang w:val="sr-Cyrl-CS"/>
        </w:rPr>
        <w:t>описане у делу Ф у Прилогу</w:t>
      </w:r>
      <w:r w:rsidR="00B16F8D" w:rsidRPr="00895819">
        <w:rPr>
          <w:sz w:val="22"/>
          <w:szCs w:val="22"/>
          <w:lang w:val="sr-Cyrl-CS"/>
        </w:rPr>
        <w:t xml:space="preserve"> 3</w:t>
      </w:r>
      <w:r w:rsidR="004528D1" w:rsidRPr="00895819">
        <w:rPr>
          <w:sz w:val="22"/>
          <w:szCs w:val="22"/>
          <w:lang w:val="sr-Cyrl-CS"/>
        </w:rPr>
        <w:t>Ц</w:t>
      </w:r>
      <w:r w:rsidR="00B16F8D" w:rsidRPr="00895819">
        <w:rPr>
          <w:sz w:val="22"/>
          <w:szCs w:val="22"/>
          <w:lang w:val="sr-Cyrl-CS"/>
        </w:rPr>
        <w:t xml:space="preserve">). </w:t>
      </w:r>
      <w:r w:rsidR="004528D1" w:rsidRPr="00895819">
        <w:rPr>
          <w:sz w:val="22"/>
          <w:szCs w:val="22"/>
          <w:lang w:val="sr-Cyrl-CS"/>
        </w:rPr>
        <w:t xml:space="preserve">Ови елементи ће заједнички деловати у периоду </w:t>
      </w:r>
      <w:r w:rsidR="00B16F8D" w:rsidRPr="00895819">
        <w:rPr>
          <w:sz w:val="22"/>
          <w:szCs w:val="22"/>
          <w:lang w:val="sr-Cyrl-CS"/>
        </w:rPr>
        <w:t>2023-2026</w:t>
      </w:r>
      <w:r w:rsidR="004528D1" w:rsidRPr="00895819">
        <w:rPr>
          <w:sz w:val="22"/>
          <w:szCs w:val="22"/>
          <w:lang w:val="sr-Cyrl-CS"/>
        </w:rPr>
        <w:t xml:space="preserve">. и пружиће подршку имплементацији </w:t>
      </w:r>
      <w:r w:rsidR="00D86FD2" w:rsidRPr="00895819">
        <w:rPr>
          <w:sz w:val="22"/>
          <w:szCs w:val="22"/>
          <w:lang w:val="sr-Cyrl-CS"/>
        </w:rPr>
        <w:t>Зелен</w:t>
      </w:r>
      <w:r w:rsidR="004528D1" w:rsidRPr="00895819">
        <w:rPr>
          <w:sz w:val="22"/>
          <w:szCs w:val="22"/>
          <w:lang w:val="sr-Cyrl-CS"/>
        </w:rPr>
        <w:t>е</w:t>
      </w:r>
      <w:r w:rsidR="00D86FD2" w:rsidRPr="00895819">
        <w:rPr>
          <w:sz w:val="22"/>
          <w:szCs w:val="22"/>
          <w:lang w:val="sr-Cyrl-CS"/>
        </w:rPr>
        <w:t xml:space="preserve"> агенд</w:t>
      </w:r>
      <w:r w:rsidR="004528D1" w:rsidRPr="00895819">
        <w:rPr>
          <w:sz w:val="22"/>
          <w:szCs w:val="22"/>
          <w:lang w:val="sr-Cyrl-CS"/>
        </w:rPr>
        <w:t>е</w:t>
      </w:r>
      <w:r w:rsidR="00B16F8D" w:rsidRPr="00895819">
        <w:rPr>
          <w:sz w:val="22"/>
          <w:szCs w:val="22"/>
          <w:lang w:val="sr-Cyrl-CS"/>
        </w:rPr>
        <w:t xml:space="preserve">, </w:t>
      </w:r>
      <w:r w:rsidR="004528D1" w:rsidRPr="00895819">
        <w:rPr>
          <w:sz w:val="22"/>
          <w:szCs w:val="22"/>
          <w:lang w:val="sr-Cyrl-CS"/>
        </w:rPr>
        <w:t>зеленог планирања и преусмеравања токова ка зеленим улагањима у Србији</w:t>
      </w:r>
      <w:r w:rsidR="00B16F8D" w:rsidRPr="00895819">
        <w:rPr>
          <w:sz w:val="22"/>
          <w:szCs w:val="22"/>
          <w:lang w:val="sr-Cyrl-CS"/>
        </w:rPr>
        <w:t xml:space="preserve">. </w:t>
      </w:r>
    </w:p>
    <w:p w14:paraId="5BAB1970" w14:textId="77777777" w:rsidR="00B16F8D" w:rsidRPr="00895819" w:rsidRDefault="004528D1" w:rsidP="00B16F8D">
      <w:pPr>
        <w:pStyle w:val="comtexte"/>
        <w:numPr>
          <w:ilvl w:val="1"/>
          <w:numId w:val="42"/>
        </w:numPr>
        <w:ind w:left="709"/>
        <w:rPr>
          <w:sz w:val="22"/>
          <w:szCs w:val="22"/>
          <w:lang w:val="sr-Cyrl-CS"/>
        </w:rPr>
      </w:pPr>
      <w:r w:rsidRPr="00895819">
        <w:rPr>
          <w:sz w:val="22"/>
          <w:szCs w:val="22"/>
          <w:u w:val="single"/>
          <w:lang w:val="sr-Cyrl-CS"/>
        </w:rPr>
        <w:t>Оквир резултата</w:t>
      </w:r>
      <w:r w:rsidR="00B16F8D" w:rsidRPr="00895819">
        <w:rPr>
          <w:sz w:val="22"/>
          <w:szCs w:val="22"/>
          <w:u w:val="single"/>
          <w:lang w:val="sr-Cyrl-CS"/>
        </w:rPr>
        <w:t>.</w:t>
      </w:r>
      <w:r w:rsidR="00B16F8D" w:rsidRPr="00895819">
        <w:rPr>
          <w:sz w:val="22"/>
          <w:szCs w:val="22"/>
          <w:lang w:val="sr-Cyrl-CS"/>
        </w:rPr>
        <w:t xml:space="preserve"> </w:t>
      </w:r>
      <w:r w:rsidRPr="00895819">
        <w:rPr>
          <w:sz w:val="22"/>
          <w:szCs w:val="22"/>
          <w:lang w:val="sr-Cyrl-CS"/>
        </w:rPr>
        <w:t xml:space="preserve">Оквир резултата дефинише осам показатеља везаних за повлачење средстава </w:t>
      </w:r>
      <w:r w:rsidR="00B16F8D" w:rsidRPr="00895819">
        <w:rPr>
          <w:sz w:val="22"/>
          <w:szCs w:val="22"/>
          <w:lang w:val="sr-Cyrl-CS"/>
        </w:rPr>
        <w:t>(</w:t>
      </w:r>
      <w:r w:rsidRPr="00895819">
        <w:rPr>
          <w:sz w:val="22"/>
          <w:szCs w:val="22"/>
          <w:lang w:val="sr-Cyrl-CS"/>
        </w:rPr>
        <w:t>ДЛИ</w:t>
      </w:r>
      <w:r w:rsidR="00B16F8D" w:rsidRPr="00895819">
        <w:rPr>
          <w:sz w:val="22"/>
          <w:szCs w:val="22"/>
          <w:lang w:val="sr-Cyrl-CS"/>
        </w:rPr>
        <w:t xml:space="preserve">) – </w:t>
      </w:r>
      <w:r w:rsidRPr="00895819">
        <w:rPr>
          <w:sz w:val="22"/>
          <w:szCs w:val="22"/>
          <w:lang w:val="sr-Cyrl-CS"/>
        </w:rPr>
        <w:t xml:space="preserve">низ корака како би се постигли циљеви Операције. Сваки ДЛИ садржи четири резултата везана за повлачење средстава </w:t>
      </w:r>
      <w:r w:rsidR="00B16F8D" w:rsidRPr="00895819">
        <w:rPr>
          <w:sz w:val="22"/>
          <w:szCs w:val="22"/>
          <w:lang w:val="sr-Cyrl-CS"/>
        </w:rPr>
        <w:t>(</w:t>
      </w:r>
      <w:r w:rsidRPr="00895819">
        <w:rPr>
          <w:sz w:val="22"/>
          <w:szCs w:val="22"/>
          <w:lang w:val="sr-Cyrl-CS"/>
        </w:rPr>
        <w:t>ДЛР</w:t>
      </w:r>
      <w:r w:rsidR="00B16F8D" w:rsidRPr="00895819">
        <w:rPr>
          <w:sz w:val="22"/>
          <w:szCs w:val="22"/>
          <w:lang w:val="sr-Cyrl-CS"/>
        </w:rPr>
        <w:t xml:space="preserve">), </w:t>
      </w:r>
      <w:r w:rsidRPr="00895819">
        <w:rPr>
          <w:sz w:val="22"/>
          <w:szCs w:val="22"/>
          <w:lang w:val="sr-Cyrl-CS"/>
        </w:rPr>
        <w:t>тј. циљева које је потребно испунити како би се испунили претходни услови за свако повлачење средстава. Неки ДЛИ укључују и показатеље међу-резултата</w:t>
      </w:r>
      <w:r w:rsidR="00B16F8D" w:rsidRPr="00895819">
        <w:rPr>
          <w:sz w:val="22"/>
          <w:szCs w:val="22"/>
          <w:lang w:val="sr-Cyrl-CS"/>
        </w:rPr>
        <w:t xml:space="preserve"> (</w:t>
      </w:r>
      <w:r w:rsidRPr="00895819">
        <w:rPr>
          <w:sz w:val="22"/>
          <w:szCs w:val="22"/>
          <w:lang w:val="sr-Cyrl-CS"/>
        </w:rPr>
        <w:t>ИРИ</w:t>
      </w:r>
      <w:r w:rsidR="00B16F8D" w:rsidRPr="00895819">
        <w:rPr>
          <w:sz w:val="22"/>
          <w:szCs w:val="22"/>
          <w:lang w:val="sr-Cyrl-CS"/>
        </w:rPr>
        <w:t xml:space="preserve">), </w:t>
      </w:r>
      <w:r w:rsidRPr="00895819">
        <w:rPr>
          <w:sz w:val="22"/>
          <w:szCs w:val="22"/>
          <w:lang w:val="sr-Cyrl-CS"/>
        </w:rPr>
        <w:t>тј. показатеље који нису везани за повлачење средстава већ омогућавају ВС и Суфинансијерима да п</w:t>
      </w:r>
      <w:r w:rsidR="003F6A55" w:rsidRPr="00895819">
        <w:rPr>
          <w:sz w:val="22"/>
          <w:szCs w:val="22"/>
          <w:lang w:val="sr-Cyrl-CS"/>
        </w:rPr>
        <w:t>р</w:t>
      </w:r>
      <w:r w:rsidRPr="00895819">
        <w:rPr>
          <w:sz w:val="22"/>
          <w:szCs w:val="22"/>
          <w:lang w:val="sr-Cyrl-CS"/>
        </w:rPr>
        <w:t xml:space="preserve">ате напредак ка постизању наредних ДЛР. Испуњење ДЛР ће се верификовати на годишњем нивоу од стране независног агента за верификацију. Оквир резултата је доступан у Прилогу </w:t>
      </w:r>
      <w:r w:rsidR="00B16F8D" w:rsidRPr="00895819">
        <w:rPr>
          <w:sz w:val="22"/>
          <w:szCs w:val="22"/>
          <w:lang w:val="sr-Cyrl-CS"/>
        </w:rPr>
        <w:t>3</w:t>
      </w:r>
      <w:r w:rsidRPr="00895819">
        <w:rPr>
          <w:sz w:val="22"/>
          <w:szCs w:val="22"/>
          <w:lang w:val="sr-Cyrl-CS"/>
        </w:rPr>
        <w:t>Ц</w:t>
      </w:r>
      <w:r w:rsidR="00B16F8D" w:rsidRPr="00895819">
        <w:rPr>
          <w:sz w:val="22"/>
          <w:szCs w:val="22"/>
          <w:lang w:val="sr-Cyrl-CS"/>
        </w:rPr>
        <w:t xml:space="preserve">. </w:t>
      </w:r>
    </w:p>
    <w:p w14:paraId="4DFBD1D3" w14:textId="19E6EA18" w:rsidR="00B16F8D" w:rsidRPr="00895819" w:rsidRDefault="001D3CB9" w:rsidP="00B16F8D">
      <w:pPr>
        <w:pStyle w:val="comtexte"/>
        <w:numPr>
          <w:ilvl w:val="1"/>
          <w:numId w:val="42"/>
        </w:numPr>
        <w:ind w:left="709"/>
        <w:rPr>
          <w:sz w:val="22"/>
          <w:szCs w:val="22"/>
          <w:lang w:val="sr-Cyrl-CS"/>
        </w:rPr>
      </w:pPr>
      <w:r w:rsidRPr="00895819">
        <w:rPr>
          <w:sz w:val="22"/>
          <w:szCs w:val="22"/>
          <w:u w:val="single"/>
          <w:lang w:val="sr-Cyrl-CS"/>
        </w:rPr>
        <w:t>Оквир расхода</w:t>
      </w:r>
      <w:r w:rsidR="00B16F8D" w:rsidRPr="00895819">
        <w:rPr>
          <w:sz w:val="22"/>
          <w:szCs w:val="22"/>
          <w:u w:val="single"/>
          <w:lang w:val="sr-Cyrl-CS"/>
        </w:rPr>
        <w:t>.</w:t>
      </w:r>
      <w:r w:rsidR="00B16F8D" w:rsidRPr="00895819">
        <w:rPr>
          <w:sz w:val="22"/>
          <w:szCs w:val="22"/>
          <w:lang w:val="sr-Cyrl-CS"/>
        </w:rPr>
        <w:t xml:space="preserve"> </w:t>
      </w:r>
      <w:r w:rsidRPr="00895819">
        <w:rPr>
          <w:sz w:val="22"/>
          <w:szCs w:val="22"/>
          <w:lang w:val="sr-Cyrl-CS"/>
        </w:rPr>
        <w:t xml:space="preserve">Оквир расхода пружа списак свих расхода који се сматрају од кључне важности за испуњење ДЛИ </w:t>
      </w:r>
      <w:r w:rsidR="00417D2D" w:rsidRPr="00895819">
        <w:rPr>
          <w:sz w:val="22"/>
          <w:szCs w:val="22"/>
          <w:lang w:val="sr-Cyrl-CS"/>
        </w:rPr>
        <w:t xml:space="preserve">Програма и постизање утврђених резултата. Оквир </w:t>
      </w:r>
      <w:r w:rsidR="00530245" w:rsidRPr="00895819">
        <w:rPr>
          <w:sz w:val="22"/>
          <w:szCs w:val="22"/>
          <w:lang w:val="sr-Cyrl-CS"/>
        </w:rPr>
        <w:t>расхода</w:t>
      </w:r>
      <w:r w:rsidR="00417D2D" w:rsidRPr="00895819">
        <w:rPr>
          <w:sz w:val="22"/>
          <w:szCs w:val="22"/>
          <w:lang w:val="sr-Cyrl-CS"/>
        </w:rPr>
        <w:t xml:space="preserve"> се односи на период </w:t>
      </w:r>
      <w:r w:rsidR="00B16F8D" w:rsidRPr="00895819">
        <w:rPr>
          <w:sz w:val="22"/>
          <w:szCs w:val="22"/>
          <w:lang w:val="sr-Cyrl-CS"/>
        </w:rPr>
        <w:t>2023-26</w:t>
      </w:r>
      <w:r w:rsidR="00417D2D" w:rsidRPr="00895819">
        <w:rPr>
          <w:sz w:val="22"/>
          <w:szCs w:val="22"/>
          <w:lang w:val="sr-Cyrl-CS"/>
        </w:rPr>
        <w:t xml:space="preserve">. </w:t>
      </w:r>
      <w:r w:rsidR="00FF799C" w:rsidRPr="00895819">
        <w:rPr>
          <w:sz w:val="22"/>
          <w:szCs w:val="22"/>
          <w:lang w:val="sr-Cyrl-CS"/>
        </w:rPr>
        <w:t xml:space="preserve">године </w:t>
      </w:r>
      <w:r w:rsidR="00417D2D" w:rsidRPr="00895819">
        <w:rPr>
          <w:sz w:val="22"/>
          <w:szCs w:val="22"/>
          <w:lang w:val="sr-Cyrl-CS"/>
        </w:rPr>
        <w:t xml:space="preserve">и прилагођаваће се током Операције како би се узео у обзир закон о буџету који се сваке године усваја. ВС ће квартално извештавати о имплементацији. </w:t>
      </w:r>
      <w:r w:rsidR="00530245" w:rsidRPr="00895819">
        <w:rPr>
          <w:sz w:val="22"/>
          <w:szCs w:val="22"/>
          <w:lang w:val="sr-Cyrl-CS"/>
        </w:rPr>
        <w:t xml:space="preserve">Поред тога, </w:t>
      </w:r>
      <w:r w:rsidR="00417D2D" w:rsidRPr="00895819">
        <w:rPr>
          <w:sz w:val="22"/>
          <w:szCs w:val="22"/>
          <w:lang w:val="sr-Cyrl-CS"/>
        </w:rPr>
        <w:t xml:space="preserve">ВС се обавезала да </w:t>
      </w:r>
      <w:r w:rsidR="00B16F8D" w:rsidRPr="00895819">
        <w:rPr>
          <w:sz w:val="22"/>
          <w:szCs w:val="22"/>
          <w:lang w:val="sr-Cyrl-CS"/>
        </w:rPr>
        <w:t xml:space="preserve"> </w:t>
      </w:r>
      <w:r w:rsidR="00417D2D" w:rsidRPr="00895819">
        <w:rPr>
          <w:sz w:val="22"/>
          <w:szCs w:val="22"/>
          <w:lang w:val="sr-Cyrl-CS"/>
        </w:rPr>
        <w:t xml:space="preserve">потроши износ који ће бити бар једнак износу финансирања АФД-а из Оквира расхода. Целокупан оквир расхода доступан је у Прилогу </w:t>
      </w:r>
      <w:r w:rsidR="00B16F8D" w:rsidRPr="00895819">
        <w:rPr>
          <w:sz w:val="22"/>
          <w:szCs w:val="22"/>
          <w:lang w:val="sr-Cyrl-CS"/>
        </w:rPr>
        <w:t>3</w:t>
      </w:r>
      <w:r w:rsidR="00417D2D" w:rsidRPr="00895819">
        <w:rPr>
          <w:sz w:val="22"/>
          <w:szCs w:val="22"/>
          <w:lang w:val="sr-Cyrl-CS"/>
        </w:rPr>
        <w:t>Б</w:t>
      </w:r>
      <w:r w:rsidR="00B16F8D" w:rsidRPr="00895819">
        <w:rPr>
          <w:sz w:val="22"/>
          <w:szCs w:val="22"/>
          <w:lang w:val="sr-Cyrl-CS"/>
        </w:rPr>
        <w:t xml:space="preserve">. </w:t>
      </w:r>
    </w:p>
    <w:p w14:paraId="50AD7A52" w14:textId="77777777" w:rsidR="00B16F8D" w:rsidRPr="00895819" w:rsidRDefault="00417D2D" w:rsidP="00B16F8D">
      <w:pPr>
        <w:pStyle w:val="comtexte"/>
        <w:numPr>
          <w:ilvl w:val="1"/>
          <w:numId w:val="42"/>
        </w:numPr>
        <w:ind w:left="709"/>
        <w:rPr>
          <w:sz w:val="22"/>
          <w:szCs w:val="22"/>
          <w:lang w:val="sr-Cyrl-CS"/>
        </w:rPr>
      </w:pPr>
      <w:r w:rsidRPr="00895819">
        <w:rPr>
          <w:sz w:val="22"/>
          <w:szCs w:val="22"/>
          <w:u w:val="single"/>
          <w:lang w:val="sr-Cyrl-CS"/>
        </w:rPr>
        <w:t>Техничка помоћ</w:t>
      </w:r>
      <w:r w:rsidR="00B16F8D" w:rsidRPr="00895819">
        <w:rPr>
          <w:sz w:val="22"/>
          <w:szCs w:val="22"/>
          <w:u w:val="single"/>
          <w:lang w:val="sr-Cyrl-CS"/>
        </w:rPr>
        <w:t>.</w:t>
      </w:r>
      <w:r w:rsidR="00B16F8D" w:rsidRPr="00895819">
        <w:rPr>
          <w:sz w:val="22"/>
          <w:szCs w:val="22"/>
          <w:lang w:val="sr-Cyrl-CS"/>
        </w:rPr>
        <w:t xml:space="preserve"> </w:t>
      </w:r>
      <w:r w:rsidRPr="00895819">
        <w:rPr>
          <w:sz w:val="22"/>
          <w:szCs w:val="22"/>
          <w:lang w:val="sr-Cyrl-CS"/>
        </w:rPr>
        <w:t xml:space="preserve">Кредитом ће се финансирати </w:t>
      </w:r>
      <w:r w:rsidR="00B16F8D" w:rsidRPr="00895819">
        <w:rPr>
          <w:sz w:val="22"/>
          <w:szCs w:val="22"/>
          <w:lang w:val="sr-Cyrl-CS"/>
        </w:rPr>
        <w:t xml:space="preserve">– </w:t>
      </w:r>
      <w:r w:rsidRPr="00895819">
        <w:rPr>
          <w:sz w:val="22"/>
          <w:szCs w:val="22"/>
          <w:lang w:val="sr-Cyrl-CS"/>
        </w:rPr>
        <w:t>у износу од 3,0 милиона евра Транше техничке помоћи</w:t>
      </w:r>
      <w:r w:rsidR="00B16F8D" w:rsidRPr="00895819">
        <w:rPr>
          <w:sz w:val="22"/>
          <w:szCs w:val="22"/>
          <w:lang w:val="sr-Cyrl-CS"/>
        </w:rPr>
        <w:t xml:space="preserve"> – </w:t>
      </w:r>
      <w:r w:rsidRPr="00895819">
        <w:rPr>
          <w:sz w:val="22"/>
          <w:szCs w:val="22"/>
          <w:lang w:val="sr-Cyrl-CS"/>
        </w:rPr>
        <w:t xml:space="preserve">заједнички програм техничке помоћи са ИБРД-ом. </w:t>
      </w:r>
      <w:r w:rsidR="00F76D97" w:rsidRPr="00895819">
        <w:rPr>
          <w:sz w:val="22"/>
          <w:szCs w:val="22"/>
          <w:lang w:val="sr-Cyrl-CS"/>
        </w:rPr>
        <w:t>Министарство финансија</w:t>
      </w:r>
      <w:r w:rsidR="00B16F8D" w:rsidRPr="00895819">
        <w:rPr>
          <w:sz w:val="22"/>
          <w:szCs w:val="22"/>
          <w:lang w:val="sr-Cyrl-CS"/>
        </w:rPr>
        <w:t xml:space="preserve"> </w:t>
      </w:r>
      <w:r w:rsidRPr="00895819">
        <w:rPr>
          <w:sz w:val="22"/>
          <w:szCs w:val="22"/>
          <w:lang w:val="sr-Cyrl-CS"/>
        </w:rPr>
        <w:t>ће управљати и координирати овом Техничком помоћи заједно са свим институцијама које учествују и које имају користи од подршке како би се постигли договорени ДЛР/ИРИ</w:t>
      </w:r>
      <w:r w:rsidR="00B16F8D" w:rsidRPr="00895819">
        <w:rPr>
          <w:sz w:val="22"/>
          <w:szCs w:val="22"/>
          <w:lang w:val="sr-Cyrl-CS"/>
        </w:rPr>
        <w:t>.</w:t>
      </w:r>
      <w:r w:rsidRPr="00895819">
        <w:rPr>
          <w:sz w:val="22"/>
          <w:szCs w:val="22"/>
          <w:lang w:val="sr-Cyrl-CS"/>
        </w:rPr>
        <w:t xml:space="preserve"> Паралелно, АФД је изјавио да је мобилисао бесповратну техничку помоћ у износу од </w:t>
      </w:r>
      <w:r w:rsidR="00B16F8D" w:rsidRPr="00895819">
        <w:rPr>
          <w:sz w:val="22"/>
          <w:szCs w:val="22"/>
          <w:lang w:val="sr-Cyrl-CS"/>
        </w:rPr>
        <w:t>300</w:t>
      </w:r>
      <w:r w:rsidRPr="00895819">
        <w:rPr>
          <w:sz w:val="22"/>
          <w:szCs w:val="22"/>
          <w:lang w:val="sr-Cyrl-CS"/>
        </w:rPr>
        <w:t>.</w:t>
      </w:r>
      <w:r w:rsidR="00B16F8D" w:rsidRPr="00895819">
        <w:rPr>
          <w:sz w:val="22"/>
          <w:szCs w:val="22"/>
          <w:lang w:val="sr-Cyrl-CS"/>
        </w:rPr>
        <w:t xml:space="preserve">000 </w:t>
      </w:r>
      <w:r w:rsidRPr="00895819">
        <w:rPr>
          <w:sz w:val="22"/>
          <w:szCs w:val="22"/>
          <w:lang w:val="sr-Cyrl-CS"/>
        </w:rPr>
        <w:t>евра за потребе покретања Програма, применом одабраних активности техничке помоћи</w:t>
      </w:r>
      <w:r w:rsidR="00B16F8D" w:rsidRPr="00895819">
        <w:rPr>
          <w:sz w:val="22"/>
          <w:szCs w:val="22"/>
          <w:lang w:val="sr-Cyrl-CS"/>
        </w:rPr>
        <w:t xml:space="preserve">. </w:t>
      </w:r>
      <w:r w:rsidRPr="00895819">
        <w:rPr>
          <w:sz w:val="22"/>
          <w:szCs w:val="22"/>
          <w:lang w:val="sr-Cyrl-CS"/>
        </w:rPr>
        <w:t>Предвиђене активности техничке помоћи дате су у Делу Г у даљем тексту</w:t>
      </w:r>
      <w:r w:rsidR="00B16F8D" w:rsidRPr="00895819">
        <w:rPr>
          <w:sz w:val="22"/>
          <w:szCs w:val="22"/>
          <w:lang w:val="sr-Cyrl-CS"/>
        </w:rPr>
        <w:t>.</w:t>
      </w:r>
    </w:p>
    <w:p w14:paraId="2A3A807F" w14:textId="77777777" w:rsidR="00B16F8D" w:rsidRPr="00895819" w:rsidRDefault="009C7CE6" w:rsidP="00B16F8D">
      <w:pPr>
        <w:pStyle w:val="comtexte"/>
        <w:spacing w:before="0"/>
        <w:ind w:left="0" w:firstLine="284"/>
        <w:rPr>
          <w:sz w:val="22"/>
          <w:szCs w:val="22"/>
          <w:lang w:val="sr-Cyrl-CS"/>
        </w:rPr>
      </w:pPr>
      <w:r w:rsidRPr="00895819">
        <w:rPr>
          <w:b/>
          <w:sz w:val="22"/>
          <w:szCs w:val="22"/>
          <w:lang w:val="sr-Cyrl-CS"/>
        </w:rPr>
        <w:t xml:space="preserve">Неколико институција у Србији биће укључено у имплементацију Операције, док ће </w:t>
      </w:r>
      <w:r w:rsidR="00F76D97" w:rsidRPr="00895819">
        <w:rPr>
          <w:b/>
          <w:sz w:val="22"/>
          <w:szCs w:val="22"/>
          <w:lang w:val="sr-Cyrl-CS"/>
        </w:rPr>
        <w:t>Министарство финансија</w:t>
      </w:r>
      <w:r w:rsidRPr="00895819">
        <w:rPr>
          <w:b/>
          <w:sz w:val="22"/>
          <w:szCs w:val="22"/>
          <w:lang w:val="sr-Cyrl-CS"/>
        </w:rPr>
        <w:t xml:space="preserve"> бити задужено за надзор</w:t>
      </w:r>
      <w:r w:rsidR="00B16F8D" w:rsidRPr="00895819">
        <w:rPr>
          <w:b/>
          <w:sz w:val="22"/>
          <w:szCs w:val="22"/>
          <w:lang w:val="sr-Cyrl-CS"/>
        </w:rPr>
        <w:t>.</w:t>
      </w:r>
      <w:r w:rsidR="00B16F8D" w:rsidRPr="00895819">
        <w:rPr>
          <w:sz w:val="22"/>
          <w:szCs w:val="22"/>
          <w:lang w:val="sr-Cyrl-CS"/>
        </w:rPr>
        <w:t xml:space="preserve"> </w:t>
      </w:r>
      <w:r w:rsidR="00F76D97" w:rsidRPr="00895819">
        <w:rPr>
          <w:sz w:val="22"/>
          <w:szCs w:val="22"/>
          <w:lang w:val="sr-Cyrl-CS"/>
        </w:rPr>
        <w:t>Министарство финансија</w:t>
      </w:r>
      <w:r w:rsidR="00B16F8D" w:rsidRPr="00895819">
        <w:rPr>
          <w:sz w:val="22"/>
          <w:szCs w:val="22"/>
          <w:lang w:val="sr-Cyrl-CS"/>
        </w:rPr>
        <w:t xml:space="preserve">, </w:t>
      </w:r>
      <w:r w:rsidR="00950648" w:rsidRPr="00895819">
        <w:rPr>
          <w:sz w:val="22"/>
          <w:szCs w:val="22"/>
          <w:lang w:val="sr-Cyrl-CS"/>
        </w:rPr>
        <w:t>као институција надлежна за јавне финансије</w:t>
      </w:r>
      <w:r w:rsidR="00B16F8D" w:rsidRPr="00895819">
        <w:rPr>
          <w:sz w:val="22"/>
          <w:szCs w:val="22"/>
          <w:lang w:val="sr-Cyrl-CS"/>
        </w:rPr>
        <w:t xml:space="preserve">, </w:t>
      </w:r>
      <w:r w:rsidR="00950648" w:rsidRPr="00895819">
        <w:rPr>
          <w:sz w:val="22"/>
          <w:szCs w:val="22"/>
          <w:lang w:val="sr-Cyrl-CS"/>
        </w:rPr>
        <w:t>одговорн</w:t>
      </w:r>
      <w:r w:rsidR="00B348AF" w:rsidRPr="00895819">
        <w:rPr>
          <w:sz w:val="22"/>
          <w:szCs w:val="22"/>
          <w:lang w:val="sr-Cyrl-CS"/>
        </w:rPr>
        <w:t>о је</w:t>
      </w:r>
      <w:r w:rsidR="00950648" w:rsidRPr="00895819">
        <w:rPr>
          <w:sz w:val="22"/>
          <w:szCs w:val="22"/>
          <w:lang w:val="sr-Cyrl-CS"/>
        </w:rPr>
        <w:t xml:space="preserve"> за координацију Операције. Оно ће координирати активности усмерене на постизање ДЛР, пратити напредак, имплементирати Оквир расхода и сарађивати са Суфинансијерима. Поред </w:t>
      </w:r>
      <w:r w:rsidR="00F76D97" w:rsidRPr="00895819">
        <w:rPr>
          <w:sz w:val="22"/>
          <w:szCs w:val="22"/>
          <w:lang w:val="sr-Cyrl-CS"/>
        </w:rPr>
        <w:t>Министарств</w:t>
      </w:r>
      <w:r w:rsidR="00950648" w:rsidRPr="00895819">
        <w:rPr>
          <w:sz w:val="22"/>
          <w:szCs w:val="22"/>
          <w:lang w:val="sr-Cyrl-CS"/>
        </w:rPr>
        <w:t>а</w:t>
      </w:r>
      <w:r w:rsidR="00F76D97" w:rsidRPr="00895819">
        <w:rPr>
          <w:sz w:val="22"/>
          <w:szCs w:val="22"/>
          <w:lang w:val="sr-Cyrl-CS"/>
        </w:rPr>
        <w:t xml:space="preserve"> финансија</w:t>
      </w:r>
      <w:r w:rsidR="00B16F8D" w:rsidRPr="00895819">
        <w:rPr>
          <w:sz w:val="22"/>
          <w:szCs w:val="22"/>
          <w:lang w:val="sr-Cyrl-CS"/>
        </w:rPr>
        <w:t xml:space="preserve">, </w:t>
      </w:r>
      <w:r w:rsidR="00950648" w:rsidRPr="00895819">
        <w:rPr>
          <w:sz w:val="22"/>
          <w:szCs w:val="22"/>
          <w:lang w:val="sr-Cyrl-CS"/>
        </w:rPr>
        <w:t>Операција ће укључити и</w:t>
      </w:r>
      <w:r w:rsidR="00B16F8D" w:rsidRPr="00895819">
        <w:rPr>
          <w:sz w:val="22"/>
          <w:szCs w:val="22"/>
          <w:lang w:val="sr-Cyrl-CS"/>
        </w:rPr>
        <w:t>:</w:t>
      </w:r>
    </w:p>
    <w:p w14:paraId="21604069" w14:textId="77777777" w:rsidR="00B16F8D" w:rsidRPr="00895819" w:rsidRDefault="008F3C0E" w:rsidP="00B16F8D">
      <w:pPr>
        <w:pStyle w:val="comtexte"/>
        <w:numPr>
          <w:ilvl w:val="1"/>
          <w:numId w:val="42"/>
        </w:numPr>
        <w:spacing w:before="0"/>
        <w:rPr>
          <w:sz w:val="22"/>
          <w:szCs w:val="22"/>
          <w:u w:val="single"/>
          <w:lang w:val="sr-Cyrl-CS"/>
        </w:rPr>
      </w:pPr>
      <w:r w:rsidRPr="00895819">
        <w:rPr>
          <w:sz w:val="22"/>
          <w:szCs w:val="22"/>
          <w:u w:val="single"/>
          <w:lang w:val="sr-Cyrl-CS"/>
        </w:rPr>
        <w:t xml:space="preserve">Ресорна министарства кључна за </w:t>
      </w:r>
      <w:r w:rsidR="00D86FD2" w:rsidRPr="00895819">
        <w:rPr>
          <w:sz w:val="22"/>
          <w:szCs w:val="22"/>
          <w:u w:val="single"/>
          <w:lang w:val="sr-Cyrl-CS"/>
        </w:rPr>
        <w:t>Зелен</w:t>
      </w:r>
      <w:r w:rsidRPr="00895819">
        <w:rPr>
          <w:sz w:val="22"/>
          <w:szCs w:val="22"/>
          <w:u w:val="single"/>
          <w:lang w:val="sr-Cyrl-CS"/>
        </w:rPr>
        <w:t>у</w:t>
      </w:r>
      <w:r w:rsidR="00D86FD2" w:rsidRPr="00895819">
        <w:rPr>
          <w:sz w:val="22"/>
          <w:szCs w:val="22"/>
          <w:u w:val="single"/>
          <w:lang w:val="sr-Cyrl-CS"/>
        </w:rPr>
        <w:t xml:space="preserve"> агенд</w:t>
      </w:r>
      <w:r w:rsidRPr="00895819">
        <w:rPr>
          <w:sz w:val="22"/>
          <w:szCs w:val="22"/>
          <w:u w:val="single"/>
          <w:lang w:val="sr-Cyrl-CS"/>
        </w:rPr>
        <w:t>у</w:t>
      </w:r>
      <w:r w:rsidR="00B16F8D" w:rsidRPr="00895819">
        <w:rPr>
          <w:sz w:val="22"/>
          <w:szCs w:val="22"/>
          <w:lang w:val="sr-Cyrl-CS"/>
        </w:rPr>
        <w:t xml:space="preserve">. </w:t>
      </w:r>
      <w:r w:rsidR="000E6BBD" w:rsidRPr="00895819">
        <w:rPr>
          <w:sz w:val="22"/>
          <w:szCs w:val="22"/>
          <w:lang w:val="sr-Cyrl-CS"/>
        </w:rPr>
        <w:t>Министарство заштите животне средине</w:t>
      </w:r>
      <w:r w:rsidR="00B16F8D" w:rsidRPr="00895819">
        <w:rPr>
          <w:sz w:val="22"/>
          <w:szCs w:val="22"/>
          <w:lang w:val="sr-Cyrl-CS"/>
        </w:rPr>
        <w:t xml:space="preserve"> (M</w:t>
      </w:r>
      <w:r w:rsidRPr="00895819">
        <w:rPr>
          <w:sz w:val="22"/>
          <w:szCs w:val="22"/>
          <w:lang w:val="sr-Cyrl-CS"/>
        </w:rPr>
        <w:t>ЗЖС</w:t>
      </w:r>
      <w:r w:rsidR="00B16F8D" w:rsidRPr="00895819">
        <w:rPr>
          <w:sz w:val="22"/>
          <w:szCs w:val="22"/>
          <w:lang w:val="sr-Cyrl-CS"/>
        </w:rPr>
        <w:t xml:space="preserve">), </w:t>
      </w:r>
      <w:r w:rsidR="00F76D97" w:rsidRPr="00895819">
        <w:rPr>
          <w:sz w:val="22"/>
          <w:szCs w:val="22"/>
          <w:lang w:val="sr-Cyrl-CS"/>
        </w:rPr>
        <w:t>Министарство грађевинарства, саобраћаја и инфраструктуре</w:t>
      </w:r>
      <w:r w:rsidR="00B16F8D" w:rsidRPr="00895819">
        <w:rPr>
          <w:sz w:val="22"/>
          <w:szCs w:val="22"/>
          <w:lang w:val="sr-Cyrl-CS"/>
        </w:rPr>
        <w:t xml:space="preserve"> (M</w:t>
      </w:r>
      <w:r w:rsidRPr="00895819">
        <w:rPr>
          <w:sz w:val="22"/>
          <w:szCs w:val="22"/>
          <w:lang w:val="sr-Cyrl-CS"/>
        </w:rPr>
        <w:t>ГСИ</w:t>
      </w:r>
      <w:r w:rsidR="00B16F8D" w:rsidRPr="00895819">
        <w:rPr>
          <w:sz w:val="22"/>
          <w:szCs w:val="22"/>
          <w:lang w:val="sr-Cyrl-CS"/>
        </w:rPr>
        <w:t xml:space="preserve">I), </w:t>
      </w:r>
      <w:r w:rsidR="00937BB3" w:rsidRPr="00895819">
        <w:rPr>
          <w:sz w:val="22"/>
          <w:szCs w:val="22"/>
          <w:lang w:val="sr-Cyrl-CS"/>
        </w:rPr>
        <w:t>Министарство рударства и енергетике</w:t>
      </w:r>
      <w:r w:rsidR="00B16F8D" w:rsidRPr="00895819">
        <w:rPr>
          <w:sz w:val="22"/>
          <w:szCs w:val="22"/>
          <w:lang w:val="sr-Cyrl-CS"/>
        </w:rPr>
        <w:t xml:space="preserve"> (M</w:t>
      </w:r>
      <w:r w:rsidRPr="00895819">
        <w:rPr>
          <w:sz w:val="22"/>
          <w:szCs w:val="22"/>
          <w:lang w:val="sr-Cyrl-CS"/>
        </w:rPr>
        <w:t>РЕ</w:t>
      </w:r>
      <w:r w:rsidR="00B16F8D" w:rsidRPr="00895819">
        <w:rPr>
          <w:sz w:val="22"/>
          <w:szCs w:val="22"/>
          <w:lang w:val="sr-Cyrl-CS"/>
        </w:rPr>
        <w:t xml:space="preserve">), </w:t>
      </w:r>
      <w:r w:rsidRPr="00895819">
        <w:rPr>
          <w:sz w:val="22"/>
          <w:szCs w:val="22"/>
          <w:lang w:val="sr-Cyrl-CS"/>
        </w:rPr>
        <w:t xml:space="preserve">Министарство пољопривреде, шумарства и водопривреде </w:t>
      </w:r>
      <w:r w:rsidR="00B16F8D" w:rsidRPr="00895819">
        <w:rPr>
          <w:sz w:val="22"/>
          <w:szCs w:val="22"/>
          <w:lang w:val="sr-Cyrl-CS"/>
        </w:rPr>
        <w:t>(</w:t>
      </w:r>
      <w:r w:rsidRPr="00895819">
        <w:rPr>
          <w:sz w:val="22"/>
          <w:szCs w:val="22"/>
          <w:lang w:val="sr-Cyrl-CS"/>
        </w:rPr>
        <w:t>МПШВ</w:t>
      </w:r>
      <w:r w:rsidR="00B16F8D" w:rsidRPr="00895819">
        <w:rPr>
          <w:sz w:val="22"/>
          <w:szCs w:val="22"/>
          <w:lang w:val="sr-Cyrl-CS"/>
        </w:rPr>
        <w:t xml:space="preserve">), </w:t>
      </w:r>
      <w:r w:rsidRPr="00895819">
        <w:rPr>
          <w:sz w:val="22"/>
          <w:szCs w:val="22"/>
          <w:lang w:val="sr-Cyrl-CS"/>
        </w:rPr>
        <w:t>Министарство за јавна улагања</w:t>
      </w:r>
      <w:r w:rsidR="00B16F8D" w:rsidRPr="00895819">
        <w:rPr>
          <w:sz w:val="22"/>
          <w:szCs w:val="22"/>
          <w:lang w:val="sr-Cyrl-CS"/>
        </w:rPr>
        <w:t xml:space="preserve"> (M</w:t>
      </w:r>
      <w:r w:rsidRPr="00895819">
        <w:rPr>
          <w:sz w:val="22"/>
          <w:szCs w:val="22"/>
          <w:lang w:val="sr-Cyrl-CS"/>
        </w:rPr>
        <w:t>ЈУ</w:t>
      </w:r>
      <w:r w:rsidR="00B16F8D" w:rsidRPr="00895819">
        <w:rPr>
          <w:sz w:val="22"/>
          <w:szCs w:val="22"/>
          <w:lang w:val="sr-Cyrl-CS"/>
        </w:rPr>
        <w:t>);</w:t>
      </w:r>
    </w:p>
    <w:p w14:paraId="0493BF6F" w14:textId="0C7412FD" w:rsidR="00B16F8D" w:rsidRPr="00895819" w:rsidRDefault="008F3C0E" w:rsidP="00B16F8D">
      <w:pPr>
        <w:pStyle w:val="comtexte"/>
        <w:numPr>
          <w:ilvl w:val="1"/>
          <w:numId w:val="42"/>
        </w:numPr>
        <w:spacing w:before="0"/>
        <w:rPr>
          <w:sz w:val="22"/>
          <w:szCs w:val="22"/>
          <w:u w:val="single"/>
          <w:lang w:val="sr-Cyrl-CS"/>
        </w:rPr>
      </w:pPr>
      <w:r w:rsidRPr="00895819">
        <w:rPr>
          <w:sz w:val="22"/>
          <w:szCs w:val="22"/>
          <w:u w:val="single"/>
          <w:lang w:val="sr-Cyrl-CS"/>
        </w:rPr>
        <w:t>Органи и контролна тела задужена за планирање, програмирање, буџетирање и праћење јавних политика</w:t>
      </w:r>
      <w:r w:rsidR="00B16F8D" w:rsidRPr="00895819">
        <w:rPr>
          <w:sz w:val="22"/>
          <w:szCs w:val="22"/>
          <w:u w:val="single"/>
          <w:lang w:val="sr-Cyrl-CS"/>
        </w:rPr>
        <w:t>.</w:t>
      </w:r>
      <w:r w:rsidR="00B16F8D" w:rsidRPr="00895819">
        <w:rPr>
          <w:sz w:val="22"/>
          <w:szCs w:val="22"/>
          <w:lang w:val="sr-Cyrl-CS"/>
        </w:rPr>
        <w:t xml:space="preserve"> </w:t>
      </w:r>
      <w:r w:rsidR="00937BB3" w:rsidRPr="00895819">
        <w:rPr>
          <w:sz w:val="22"/>
          <w:szCs w:val="22"/>
          <w:lang w:val="sr-Cyrl-CS"/>
        </w:rPr>
        <w:t>Републички секретаријат за јавне политике</w:t>
      </w:r>
      <w:r w:rsidR="00B16F8D" w:rsidRPr="00895819">
        <w:rPr>
          <w:sz w:val="22"/>
          <w:szCs w:val="22"/>
          <w:lang w:val="sr-Cyrl-CS"/>
        </w:rPr>
        <w:t xml:space="preserve"> (</w:t>
      </w:r>
      <w:r w:rsidRPr="00895819">
        <w:rPr>
          <w:sz w:val="22"/>
          <w:szCs w:val="22"/>
          <w:lang w:val="sr-Cyrl-CS"/>
        </w:rPr>
        <w:t>РСЈП</w:t>
      </w:r>
      <w:r w:rsidR="00B16F8D" w:rsidRPr="00895819">
        <w:rPr>
          <w:sz w:val="22"/>
          <w:szCs w:val="22"/>
          <w:lang w:val="sr-Cyrl-CS"/>
        </w:rPr>
        <w:t xml:space="preserve">); </w:t>
      </w:r>
      <w:r w:rsidR="00937BB3" w:rsidRPr="00895819">
        <w:rPr>
          <w:sz w:val="22"/>
          <w:szCs w:val="22"/>
          <w:lang w:val="sr-Cyrl-CS"/>
        </w:rPr>
        <w:lastRenderedPageBreak/>
        <w:t>Републичка дирекција за имовину</w:t>
      </w:r>
      <w:r w:rsidR="00B16F8D" w:rsidRPr="00895819">
        <w:rPr>
          <w:sz w:val="22"/>
          <w:szCs w:val="22"/>
          <w:lang w:val="sr-Cyrl-CS"/>
        </w:rPr>
        <w:t xml:space="preserve"> (</w:t>
      </w:r>
      <w:r w:rsidRPr="00895819">
        <w:rPr>
          <w:sz w:val="22"/>
          <w:szCs w:val="22"/>
          <w:lang w:val="sr-Cyrl-CS"/>
        </w:rPr>
        <w:t>РДИ</w:t>
      </w:r>
      <w:r w:rsidR="00B16F8D" w:rsidRPr="00895819">
        <w:rPr>
          <w:sz w:val="22"/>
          <w:szCs w:val="22"/>
          <w:lang w:val="sr-Cyrl-CS"/>
        </w:rPr>
        <w:t xml:space="preserve">); </w:t>
      </w:r>
      <w:r w:rsidR="00FF799C" w:rsidRPr="00895819">
        <w:rPr>
          <w:sz w:val="22"/>
          <w:szCs w:val="22"/>
          <w:lang w:val="sr-Cyrl-CS"/>
        </w:rPr>
        <w:t>Канцеларија</w:t>
      </w:r>
      <w:r w:rsidR="00937BB3" w:rsidRPr="00895819">
        <w:rPr>
          <w:sz w:val="22"/>
          <w:szCs w:val="22"/>
          <w:lang w:val="sr-Cyrl-CS"/>
        </w:rPr>
        <w:t xml:space="preserve"> за јавне набавке</w:t>
      </w:r>
      <w:r w:rsidR="00B16F8D" w:rsidRPr="00895819">
        <w:rPr>
          <w:sz w:val="22"/>
          <w:szCs w:val="22"/>
          <w:lang w:val="sr-Cyrl-CS"/>
        </w:rPr>
        <w:t xml:space="preserve"> (</w:t>
      </w:r>
      <w:r w:rsidR="00FF799C" w:rsidRPr="00895819">
        <w:rPr>
          <w:sz w:val="22"/>
          <w:szCs w:val="22"/>
          <w:lang w:val="sr-Cyrl-CS"/>
        </w:rPr>
        <w:t>К</w:t>
      </w:r>
      <w:r w:rsidRPr="00895819">
        <w:rPr>
          <w:sz w:val="22"/>
          <w:szCs w:val="22"/>
          <w:lang w:val="sr-Cyrl-CS"/>
        </w:rPr>
        <w:t>ЈН</w:t>
      </w:r>
      <w:r w:rsidR="00B16F8D" w:rsidRPr="00895819">
        <w:rPr>
          <w:sz w:val="22"/>
          <w:szCs w:val="22"/>
          <w:lang w:val="sr-Cyrl-CS"/>
        </w:rPr>
        <w:t xml:space="preserve">), </w:t>
      </w:r>
      <w:r w:rsidRPr="00895819">
        <w:rPr>
          <w:sz w:val="22"/>
          <w:szCs w:val="22"/>
          <w:lang w:val="sr-Cyrl-CS"/>
        </w:rPr>
        <w:t>Управа за заједничке послове републичких органа</w:t>
      </w:r>
      <w:r w:rsidR="009750DD" w:rsidRPr="00895819">
        <w:rPr>
          <w:sz w:val="22"/>
          <w:szCs w:val="22"/>
          <w:lang w:val="sr-Cyrl-CS"/>
        </w:rPr>
        <w:t xml:space="preserve"> </w:t>
      </w:r>
      <w:r w:rsidR="00B16F8D" w:rsidRPr="00895819">
        <w:rPr>
          <w:sz w:val="22"/>
          <w:szCs w:val="22"/>
          <w:lang w:val="sr-Cyrl-CS"/>
        </w:rPr>
        <w:t>(</w:t>
      </w:r>
      <w:r w:rsidRPr="00895819">
        <w:rPr>
          <w:sz w:val="22"/>
          <w:szCs w:val="22"/>
          <w:lang w:val="sr-Cyrl-CS"/>
        </w:rPr>
        <w:t>УЗПРО</w:t>
      </w:r>
      <w:r w:rsidR="00B16F8D" w:rsidRPr="00895819">
        <w:rPr>
          <w:sz w:val="22"/>
          <w:szCs w:val="22"/>
          <w:lang w:val="sr-Cyrl-CS"/>
        </w:rPr>
        <w:t>).</w:t>
      </w:r>
    </w:p>
    <w:p w14:paraId="3A0A3704" w14:textId="1AB625CF" w:rsidR="00F3744B" w:rsidRPr="00895819" w:rsidRDefault="00F3744B" w:rsidP="00F3744B">
      <w:pPr>
        <w:pStyle w:val="comtexte"/>
        <w:numPr>
          <w:ilvl w:val="0"/>
          <w:numId w:val="0"/>
        </w:numPr>
        <w:spacing w:before="0"/>
        <w:rPr>
          <w:sz w:val="22"/>
          <w:szCs w:val="22"/>
          <w:lang w:val="sr-Cyrl-CS"/>
        </w:rPr>
      </w:pPr>
      <w:r w:rsidRPr="00895819">
        <w:rPr>
          <w:sz w:val="22"/>
          <w:szCs w:val="22"/>
          <w:lang w:val="sr-Cyrl-CS"/>
        </w:rPr>
        <w:t xml:space="preserve">Управни одбор Операције </w:t>
      </w:r>
      <w:r w:rsidR="007C2CB2" w:rsidRPr="00895819">
        <w:rPr>
          <w:sz w:val="22"/>
          <w:szCs w:val="22"/>
          <w:lang w:val="sr-Cyrl-CS"/>
        </w:rPr>
        <w:t xml:space="preserve">(УОО) </w:t>
      </w:r>
      <w:r w:rsidRPr="00895819">
        <w:rPr>
          <w:sz w:val="22"/>
          <w:szCs w:val="22"/>
          <w:lang w:val="sr-Cyrl-CS"/>
        </w:rPr>
        <w:t>биће основан за стратешке смернице за имплементацију Операције и интензивираће међуресорну координацију на постизању циљева Зелене агенде. УО</w:t>
      </w:r>
      <w:r w:rsidR="007C2CB2" w:rsidRPr="00895819">
        <w:rPr>
          <w:sz w:val="22"/>
          <w:szCs w:val="22"/>
          <w:lang w:val="sr-Cyrl-CS"/>
        </w:rPr>
        <w:t>О</w:t>
      </w:r>
      <w:r w:rsidRPr="00895819">
        <w:rPr>
          <w:sz w:val="22"/>
          <w:szCs w:val="22"/>
          <w:lang w:val="sr-Cyrl-CS"/>
        </w:rPr>
        <w:t xml:space="preserve"> ће председавати министар финансија и укључиће све релевантне актере Операције на високом нивоу. </w:t>
      </w:r>
      <w:r w:rsidR="007C2CB2" w:rsidRPr="00895819">
        <w:rPr>
          <w:sz w:val="22"/>
          <w:szCs w:val="22"/>
          <w:lang w:val="sr-Cyrl-CS"/>
        </w:rPr>
        <w:t>УОО</w:t>
      </w:r>
      <w:r w:rsidRPr="00895819">
        <w:rPr>
          <w:sz w:val="22"/>
          <w:szCs w:val="22"/>
          <w:lang w:val="sr-Cyrl-CS"/>
        </w:rPr>
        <w:t xml:space="preserve"> ће успоставити везу са владиним радним групама посвећеним реформама управљања јавним финансијама</w:t>
      </w:r>
      <w:r w:rsidR="007C2CB2" w:rsidRPr="00895819">
        <w:rPr>
          <w:sz w:val="22"/>
          <w:szCs w:val="22"/>
          <w:lang w:val="sr-Cyrl-CS"/>
        </w:rPr>
        <w:t xml:space="preserve"> </w:t>
      </w:r>
      <w:r w:rsidRPr="00895819">
        <w:rPr>
          <w:sz w:val="22"/>
          <w:szCs w:val="22"/>
          <w:lang w:val="sr-Cyrl-CS"/>
        </w:rPr>
        <w:t xml:space="preserve"> и механизмима имплементације Зелене агенде.</w:t>
      </w:r>
    </w:p>
    <w:p w14:paraId="3323BD26" w14:textId="25AB4DDF" w:rsidR="00B16F8D" w:rsidRPr="00895819" w:rsidRDefault="00F3744B" w:rsidP="00B16F8D">
      <w:pPr>
        <w:pStyle w:val="comtexte"/>
        <w:numPr>
          <w:ilvl w:val="0"/>
          <w:numId w:val="0"/>
        </w:numPr>
        <w:spacing w:before="0"/>
        <w:rPr>
          <w:sz w:val="22"/>
          <w:szCs w:val="22"/>
          <w:lang w:val="sr-Cyrl-CS"/>
        </w:rPr>
      </w:pPr>
      <w:r w:rsidRPr="00895819">
        <w:rPr>
          <w:sz w:val="22"/>
          <w:szCs w:val="22"/>
          <w:lang w:val="sr-Cyrl-CS"/>
        </w:rPr>
        <w:t>УОО</w:t>
      </w:r>
      <w:r w:rsidR="003F1C71" w:rsidRPr="00895819">
        <w:rPr>
          <w:sz w:val="22"/>
          <w:szCs w:val="22"/>
          <w:lang w:val="sr-Cyrl-CS"/>
        </w:rPr>
        <w:t xml:space="preserve"> </w:t>
      </w:r>
      <w:r w:rsidR="00805920" w:rsidRPr="00895819">
        <w:rPr>
          <w:sz w:val="22"/>
          <w:szCs w:val="22"/>
          <w:lang w:val="sr-Cyrl-CS"/>
        </w:rPr>
        <w:t xml:space="preserve">подршку ће пружати стални секретаријат </w:t>
      </w:r>
      <w:r w:rsidRPr="00895819">
        <w:rPr>
          <w:bCs/>
          <w:sz w:val="22"/>
          <w:szCs w:val="22"/>
          <w:lang w:val="sr-Cyrl-CS"/>
        </w:rPr>
        <w:t>СМСЕИ</w:t>
      </w:r>
      <w:r w:rsidR="00805920" w:rsidRPr="00895819">
        <w:rPr>
          <w:bCs/>
          <w:sz w:val="22"/>
          <w:szCs w:val="22"/>
          <w:lang w:val="sr-Cyrl-CS"/>
        </w:rPr>
        <w:t xml:space="preserve"> </w:t>
      </w:r>
      <w:r w:rsidR="00F76D97" w:rsidRPr="00895819">
        <w:rPr>
          <w:sz w:val="22"/>
          <w:szCs w:val="22"/>
          <w:lang w:val="sr-Cyrl-CS"/>
        </w:rPr>
        <w:t>Министарств</w:t>
      </w:r>
      <w:r w:rsidR="00805920" w:rsidRPr="00895819">
        <w:rPr>
          <w:sz w:val="22"/>
          <w:szCs w:val="22"/>
          <w:lang w:val="sr-Cyrl-CS"/>
        </w:rPr>
        <w:t>а</w:t>
      </w:r>
      <w:r w:rsidR="00F76D97" w:rsidRPr="00895819">
        <w:rPr>
          <w:sz w:val="22"/>
          <w:szCs w:val="22"/>
          <w:lang w:val="sr-Cyrl-CS"/>
        </w:rPr>
        <w:t xml:space="preserve"> финансија</w:t>
      </w:r>
      <w:r w:rsidR="00B16F8D" w:rsidRPr="00895819">
        <w:rPr>
          <w:sz w:val="22"/>
          <w:szCs w:val="22"/>
          <w:lang w:val="sr-Cyrl-CS"/>
        </w:rPr>
        <w:t xml:space="preserve">. </w:t>
      </w:r>
      <w:r w:rsidR="00805920" w:rsidRPr="00895819">
        <w:rPr>
          <w:sz w:val="22"/>
          <w:szCs w:val="22"/>
          <w:lang w:val="sr-Cyrl-CS"/>
        </w:rPr>
        <w:t>Он ће координирати и достављати информације различитим институцијама током трајања Операције</w:t>
      </w:r>
      <w:r w:rsidR="00B16F8D" w:rsidRPr="00895819">
        <w:rPr>
          <w:sz w:val="22"/>
          <w:szCs w:val="22"/>
          <w:lang w:val="sr-Cyrl-CS"/>
        </w:rPr>
        <w:t xml:space="preserve">. </w:t>
      </w:r>
    </w:p>
    <w:p w14:paraId="7D1C1AA4" w14:textId="77777777" w:rsidR="00B16F8D" w:rsidRPr="00895819" w:rsidRDefault="00805920" w:rsidP="00B16F8D">
      <w:pPr>
        <w:pStyle w:val="comtexte"/>
        <w:ind w:left="0" w:firstLine="284"/>
        <w:rPr>
          <w:sz w:val="22"/>
          <w:szCs w:val="22"/>
          <w:lang w:val="sr-Cyrl-CS"/>
        </w:rPr>
      </w:pPr>
      <w:r w:rsidRPr="00895819">
        <w:rPr>
          <w:b/>
          <w:sz w:val="22"/>
          <w:szCs w:val="22"/>
          <w:lang w:val="sr-Cyrl-CS"/>
        </w:rPr>
        <w:t xml:space="preserve">Приручник за имплементацију операције </w:t>
      </w:r>
      <w:r w:rsidR="00B16F8D" w:rsidRPr="00895819">
        <w:rPr>
          <w:b/>
          <w:sz w:val="22"/>
          <w:szCs w:val="22"/>
          <w:lang w:val="sr-Cyrl-CS"/>
        </w:rPr>
        <w:t>(</w:t>
      </w:r>
      <w:r w:rsidRPr="00895819">
        <w:rPr>
          <w:b/>
          <w:sz w:val="22"/>
          <w:szCs w:val="22"/>
          <w:lang w:val="sr-Cyrl-CS"/>
        </w:rPr>
        <w:t>ОИМ</w:t>
      </w:r>
      <w:r w:rsidR="00B16F8D" w:rsidRPr="00895819">
        <w:rPr>
          <w:b/>
          <w:sz w:val="22"/>
          <w:szCs w:val="22"/>
          <w:lang w:val="sr-Cyrl-CS"/>
        </w:rPr>
        <w:t xml:space="preserve">) </w:t>
      </w:r>
      <w:r w:rsidRPr="00895819">
        <w:rPr>
          <w:b/>
          <w:sz w:val="22"/>
          <w:szCs w:val="22"/>
          <w:lang w:val="sr-Cyrl-CS"/>
        </w:rPr>
        <w:t>би</w:t>
      </w:r>
      <w:r w:rsidR="00B348AF" w:rsidRPr="00895819">
        <w:rPr>
          <w:b/>
          <w:sz w:val="22"/>
          <w:szCs w:val="22"/>
          <w:lang w:val="sr-Cyrl-CS"/>
        </w:rPr>
        <w:t>ће</w:t>
      </w:r>
      <w:r w:rsidRPr="00895819">
        <w:rPr>
          <w:b/>
          <w:sz w:val="22"/>
          <w:szCs w:val="22"/>
          <w:lang w:val="sr-Cyrl-CS"/>
        </w:rPr>
        <w:t xml:space="preserve"> донет како би се дефинисали принципи и правила имплементације</w:t>
      </w:r>
      <w:r w:rsidR="00B16F8D" w:rsidRPr="00895819">
        <w:rPr>
          <w:b/>
          <w:sz w:val="22"/>
          <w:szCs w:val="22"/>
          <w:lang w:val="sr-Cyrl-CS"/>
        </w:rPr>
        <w:t>.</w:t>
      </w:r>
      <w:r w:rsidR="00B16F8D" w:rsidRPr="00895819">
        <w:rPr>
          <w:sz w:val="22"/>
          <w:szCs w:val="22"/>
          <w:lang w:val="sr-Cyrl-CS"/>
        </w:rPr>
        <w:t xml:space="preserve"> </w:t>
      </w:r>
      <w:r w:rsidRPr="00895819">
        <w:rPr>
          <w:sz w:val="22"/>
          <w:szCs w:val="22"/>
          <w:lang w:val="sr-Cyrl-CS"/>
        </w:rPr>
        <w:t>Приручник ће, између осталог, дефинисати</w:t>
      </w:r>
      <w:r w:rsidR="00B16F8D" w:rsidRPr="00895819">
        <w:rPr>
          <w:i/>
          <w:sz w:val="22"/>
          <w:szCs w:val="22"/>
          <w:lang w:val="sr-Cyrl-CS"/>
        </w:rPr>
        <w:t xml:space="preserve"> </w:t>
      </w:r>
      <w:r w:rsidR="00B16F8D" w:rsidRPr="00895819">
        <w:rPr>
          <w:sz w:val="22"/>
          <w:szCs w:val="22"/>
          <w:lang w:val="sr-Cyrl-CS"/>
        </w:rPr>
        <w:t xml:space="preserve">(i) </w:t>
      </w:r>
      <w:r w:rsidRPr="00895819">
        <w:rPr>
          <w:sz w:val="22"/>
          <w:szCs w:val="22"/>
          <w:lang w:val="sr-Cyrl-CS"/>
        </w:rPr>
        <w:t xml:space="preserve">методе обрачуна ДЛР у Оквиру резултата; </w:t>
      </w:r>
      <w:r w:rsidR="00B16F8D" w:rsidRPr="00895819">
        <w:rPr>
          <w:sz w:val="22"/>
          <w:szCs w:val="22"/>
          <w:lang w:val="sr-Cyrl-CS"/>
        </w:rPr>
        <w:t xml:space="preserve">(ii) </w:t>
      </w:r>
      <w:r w:rsidRPr="00895819">
        <w:rPr>
          <w:sz w:val="22"/>
          <w:szCs w:val="22"/>
          <w:lang w:val="sr-Cyrl-CS"/>
        </w:rPr>
        <w:t xml:space="preserve">поступак независне верификације ДЛР; </w:t>
      </w:r>
      <w:r w:rsidR="00B16F8D" w:rsidRPr="00895819">
        <w:rPr>
          <w:sz w:val="22"/>
          <w:szCs w:val="22"/>
          <w:lang w:val="sr-Cyrl-CS"/>
        </w:rPr>
        <w:t xml:space="preserve">(iii) </w:t>
      </w:r>
      <w:r w:rsidRPr="00895819">
        <w:rPr>
          <w:sz w:val="22"/>
          <w:szCs w:val="22"/>
          <w:lang w:val="sr-Cyrl-CS"/>
        </w:rPr>
        <w:t>методе правдања Оквира расхода;</w:t>
      </w:r>
      <w:r w:rsidR="00B16F8D" w:rsidRPr="00895819">
        <w:rPr>
          <w:sz w:val="22"/>
          <w:szCs w:val="22"/>
          <w:lang w:val="sr-Cyrl-CS"/>
        </w:rPr>
        <w:t xml:space="preserve"> (iv) </w:t>
      </w:r>
      <w:r w:rsidRPr="00895819">
        <w:rPr>
          <w:sz w:val="22"/>
          <w:szCs w:val="22"/>
          <w:lang w:val="sr-Cyrl-CS"/>
        </w:rPr>
        <w:t xml:space="preserve">одредбе о праћењу еколошких и социјалних ризика по Операцију; и </w:t>
      </w:r>
      <w:r w:rsidR="00B16F8D" w:rsidRPr="00895819">
        <w:rPr>
          <w:sz w:val="22"/>
          <w:szCs w:val="22"/>
          <w:lang w:val="sr-Cyrl-CS"/>
        </w:rPr>
        <w:t xml:space="preserve">(v) </w:t>
      </w:r>
      <w:r w:rsidRPr="00895819">
        <w:rPr>
          <w:sz w:val="22"/>
          <w:szCs w:val="22"/>
          <w:lang w:val="sr-Cyrl-CS"/>
        </w:rPr>
        <w:t>систем праћења и евалуације</w:t>
      </w:r>
      <w:r w:rsidR="00B16F8D" w:rsidRPr="00895819">
        <w:rPr>
          <w:sz w:val="22"/>
          <w:szCs w:val="22"/>
          <w:lang w:val="sr-Cyrl-CS"/>
        </w:rPr>
        <w:t>.</w:t>
      </w:r>
    </w:p>
    <w:p w14:paraId="3A36FC7D" w14:textId="77777777" w:rsidR="00B16F8D" w:rsidRPr="00895819" w:rsidRDefault="00B16F8D" w:rsidP="00B16F8D">
      <w:pPr>
        <w:pStyle w:val="comtexte"/>
        <w:numPr>
          <w:ilvl w:val="0"/>
          <w:numId w:val="0"/>
        </w:numPr>
        <w:rPr>
          <w:sz w:val="22"/>
          <w:szCs w:val="22"/>
          <w:lang w:val="sr-Cyrl-CS"/>
        </w:rPr>
      </w:pPr>
    </w:p>
    <w:p w14:paraId="6A812B70" w14:textId="77777777" w:rsidR="00B16F8D" w:rsidRPr="00895819" w:rsidRDefault="00BB246F" w:rsidP="00B16F8D">
      <w:pPr>
        <w:spacing w:after="120"/>
        <w:rPr>
          <w:b/>
          <w:szCs w:val="22"/>
          <w:u w:val="single"/>
          <w:lang w:val="sr-Cyrl-CS"/>
        </w:rPr>
      </w:pPr>
      <w:r w:rsidRPr="00895819">
        <w:rPr>
          <w:b/>
          <w:szCs w:val="22"/>
          <w:u w:val="single"/>
          <w:lang w:val="sr-Cyrl-CS"/>
        </w:rPr>
        <w:t xml:space="preserve">E </w:t>
      </w:r>
      <w:r w:rsidR="00B16F8D" w:rsidRPr="00895819">
        <w:rPr>
          <w:b/>
          <w:szCs w:val="22"/>
          <w:u w:val="single"/>
          <w:lang w:val="sr-Cyrl-CS"/>
        </w:rPr>
        <w:t xml:space="preserve">– </w:t>
      </w:r>
      <w:r w:rsidR="00DE26FB" w:rsidRPr="00895819">
        <w:rPr>
          <w:b/>
          <w:szCs w:val="22"/>
          <w:u w:val="single"/>
          <w:lang w:val="sr-Cyrl-CS"/>
        </w:rPr>
        <w:t>ДЛИ Програма</w:t>
      </w:r>
    </w:p>
    <w:p w14:paraId="786C5455" w14:textId="77777777" w:rsidR="00B16F8D" w:rsidRPr="00895819" w:rsidRDefault="009535DD" w:rsidP="00B16F8D">
      <w:pPr>
        <w:pStyle w:val="comtexte"/>
        <w:spacing w:before="240"/>
        <w:ind w:left="0" w:firstLine="284"/>
        <w:rPr>
          <w:b/>
          <w:sz w:val="22"/>
          <w:szCs w:val="22"/>
          <w:lang w:val="sr-Cyrl-CS"/>
        </w:rPr>
      </w:pPr>
      <w:r w:rsidRPr="00895819">
        <w:rPr>
          <w:b/>
          <w:sz w:val="22"/>
          <w:szCs w:val="22"/>
          <w:lang w:val="sr-Cyrl-CS"/>
        </w:rPr>
        <w:t>Програм чин</w:t>
      </w:r>
      <w:r w:rsidR="006E11CF" w:rsidRPr="00895819">
        <w:rPr>
          <w:b/>
          <w:sz w:val="22"/>
          <w:szCs w:val="22"/>
          <w:lang w:val="sr-Cyrl-CS"/>
        </w:rPr>
        <w:t>и</w:t>
      </w:r>
      <w:r w:rsidRPr="00895819">
        <w:rPr>
          <w:b/>
          <w:sz w:val="22"/>
          <w:szCs w:val="22"/>
          <w:lang w:val="sr-Cyrl-CS"/>
        </w:rPr>
        <w:t xml:space="preserve"> осам ДЛИ чији циљ је унапређење планирања, програмирања, буџетирања и праћења зелених инвестиција</w:t>
      </w:r>
      <w:r w:rsidR="00B16F8D" w:rsidRPr="00895819">
        <w:rPr>
          <w:b/>
          <w:sz w:val="22"/>
          <w:szCs w:val="22"/>
          <w:lang w:val="sr-Cyrl-CS"/>
        </w:rPr>
        <w:t>.</w:t>
      </w:r>
      <w:r w:rsidR="00B16F8D" w:rsidRPr="00895819">
        <w:rPr>
          <w:sz w:val="22"/>
          <w:szCs w:val="22"/>
          <w:lang w:val="sr-Cyrl-CS"/>
        </w:rPr>
        <w:t xml:space="preserve"> </w:t>
      </w:r>
      <w:r w:rsidRPr="00895819">
        <w:rPr>
          <w:sz w:val="22"/>
          <w:szCs w:val="22"/>
          <w:lang w:val="sr-Cyrl-CS"/>
        </w:rPr>
        <w:t xml:space="preserve">Ови ДЛИ се односе на различите карике у ланцу </w:t>
      </w:r>
      <w:r w:rsidR="006E11CF" w:rsidRPr="00895819">
        <w:rPr>
          <w:sz w:val="22"/>
          <w:szCs w:val="22"/>
          <w:lang w:val="sr-Cyrl-CS"/>
        </w:rPr>
        <w:t xml:space="preserve">мера </w:t>
      </w:r>
      <w:r w:rsidRPr="00895819">
        <w:rPr>
          <w:sz w:val="22"/>
          <w:szCs w:val="22"/>
          <w:lang w:val="sr-Cyrl-CS"/>
        </w:rPr>
        <w:t xml:space="preserve">јавних </w:t>
      </w:r>
      <w:r w:rsidR="006E11CF" w:rsidRPr="00895819">
        <w:rPr>
          <w:sz w:val="22"/>
          <w:szCs w:val="22"/>
          <w:lang w:val="sr-Cyrl-CS"/>
        </w:rPr>
        <w:t>политика</w:t>
      </w:r>
      <w:r w:rsidR="00B16F8D" w:rsidRPr="00895819">
        <w:rPr>
          <w:sz w:val="22"/>
          <w:szCs w:val="22"/>
          <w:lang w:val="sr-Cyrl-CS"/>
        </w:rPr>
        <w:t xml:space="preserve"> – </w:t>
      </w:r>
      <w:r w:rsidRPr="00895819">
        <w:rPr>
          <w:sz w:val="22"/>
          <w:szCs w:val="22"/>
          <w:lang w:val="sr-Cyrl-CS"/>
        </w:rPr>
        <w:t xml:space="preserve">од планирања до евалуације, преко припреме пројеката, евидентирања имовине, набавке или праћења гаса са ефектом стаклене баште. У Оквиру резултата датом у Прилогу 3Ц дата је тачна формулација ДЛР и ИРИ који чине сваки ДЛИ.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8"/>
        <w:gridCol w:w="7952"/>
      </w:tblGrid>
      <w:tr w:rsidR="007D640F" w:rsidRPr="00895819" w14:paraId="55967E13" w14:textId="77777777" w:rsidTr="00485361">
        <w:tc>
          <w:tcPr>
            <w:tcW w:w="1129" w:type="dxa"/>
          </w:tcPr>
          <w:p w14:paraId="6EEC2940" w14:textId="77777777" w:rsidR="00B16F8D" w:rsidRPr="00895819" w:rsidRDefault="00B16F8D" w:rsidP="00485361">
            <w:pPr>
              <w:pStyle w:val="comtexte"/>
              <w:numPr>
                <w:ilvl w:val="0"/>
                <w:numId w:val="0"/>
              </w:numPr>
              <w:jc w:val="left"/>
              <w:rPr>
                <w:sz w:val="22"/>
                <w:szCs w:val="22"/>
                <w:lang w:val="sr-Cyrl-CS"/>
              </w:rPr>
            </w:pPr>
            <w:r w:rsidRPr="00895819">
              <w:rPr>
                <w:sz w:val="22"/>
                <w:szCs w:val="22"/>
                <w:lang w:val="sr-Cyrl-CS"/>
              </w:rPr>
              <w:sym w:font="Wingdings" w:char="F076"/>
            </w:r>
            <w:r w:rsidRPr="00895819">
              <w:rPr>
                <w:sz w:val="22"/>
                <w:szCs w:val="22"/>
                <w:lang w:val="sr-Cyrl-CS"/>
              </w:rPr>
              <w:t xml:space="preserve"> </w:t>
            </w:r>
            <w:r w:rsidR="005D56F9" w:rsidRPr="00895819">
              <w:rPr>
                <w:sz w:val="22"/>
                <w:szCs w:val="22"/>
                <w:lang w:val="sr-Cyrl-CS"/>
              </w:rPr>
              <w:t>ДЛИ</w:t>
            </w:r>
            <w:r w:rsidRPr="00895819">
              <w:rPr>
                <w:sz w:val="22"/>
                <w:szCs w:val="22"/>
                <w:lang w:val="sr-Cyrl-CS"/>
              </w:rPr>
              <w:t xml:space="preserve"> 1</w:t>
            </w:r>
          </w:p>
        </w:tc>
        <w:tc>
          <w:tcPr>
            <w:tcW w:w="8215" w:type="dxa"/>
          </w:tcPr>
          <w:p w14:paraId="74F77D80" w14:textId="68D02F2D" w:rsidR="00B16F8D" w:rsidRPr="00895819" w:rsidRDefault="005D56F9" w:rsidP="00E33E84">
            <w:pPr>
              <w:pStyle w:val="comtexte"/>
              <w:numPr>
                <w:ilvl w:val="0"/>
                <w:numId w:val="0"/>
              </w:numPr>
              <w:rPr>
                <w:sz w:val="22"/>
                <w:szCs w:val="22"/>
                <w:lang w:val="sr-Cyrl-CS"/>
              </w:rPr>
            </w:pPr>
            <w:r w:rsidRPr="00895819">
              <w:rPr>
                <w:b/>
                <w:sz w:val="22"/>
                <w:szCs w:val="22"/>
                <w:lang w:val="sr-Cyrl-CS"/>
              </w:rPr>
              <w:t>Планирање</w:t>
            </w:r>
            <w:r w:rsidR="00B16F8D" w:rsidRPr="00895819">
              <w:rPr>
                <w:b/>
                <w:sz w:val="22"/>
                <w:szCs w:val="22"/>
                <w:lang w:val="sr-Cyrl-CS"/>
              </w:rPr>
              <w:t>.</w:t>
            </w:r>
            <w:r w:rsidR="00B16F8D" w:rsidRPr="00895819">
              <w:rPr>
                <w:sz w:val="22"/>
                <w:szCs w:val="22"/>
                <w:lang w:val="sr-Cyrl-CS"/>
              </w:rPr>
              <w:t xml:space="preserve"> </w:t>
            </w:r>
            <w:r w:rsidR="00E33E84" w:rsidRPr="00895819">
              <w:rPr>
                <w:sz w:val="22"/>
                <w:szCs w:val="22"/>
                <w:lang w:val="sr-Cyrl-CS"/>
              </w:rPr>
              <w:t>Побољшано разматрање питања климе и животне средине у документима јавн</w:t>
            </w:r>
            <w:r w:rsidR="000F3A4D" w:rsidRPr="00895819">
              <w:rPr>
                <w:sz w:val="22"/>
                <w:szCs w:val="22"/>
                <w:lang w:val="sr-Cyrl-CS"/>
              </w:rPr>
              <w:t xml:space="preserve">их </w:t>
            </w:r>
            <w:r w:rsidR="00E33E84" w:rsidRPr="00895819">
              <w:rPr>
                <w:sz w:val="22"/>
                <w:szCs w:val="22"/>
                <w:lang w:val="sr-Cyrl-CS"/>
              </w:rPr>
              <w:t>политик</w:t>
            </w:r>
            <w:r w:rsidR="000F3A4D" w:rsidRPr="00895819">
              <w:rPr>
                <w:sz w:val="22"/>
                <w:szCs w:val="22"/>
                <w:lang w:val="sr-Cyrl-CS"/>
              </w:rPr>
              <w:t>а</w:t>
            </w:r>
            <w:r w:rsidR="00E33E84" w:rsidRPr="00895819">
              <w:rPr>
                <w:sz w:val="22"/>
                <w:szCs w:val="22"/>
                <w:lang w:val="sr-Cyrl-CS"/>
              </w:rPr>
              <w:t>. Укључивање процена трошкова у документ</w:t>
            </w:r>
            <w:r w:rsidR="000F3A4D" w:rsidRPr="00895819">
              <w:rPr>
                <w:sz w:val="22"/>
                <w:szCs w:val="22"/>
                <w:lang w:val="sr-Cyrl-CS"/>
              </w:rPr>
              <w:t>а</w:t>
            </w:r>
            <w:r w:rsidR="00E33E84" w:rsidRPr="00895819">
              <w:rPr>
                <w:sz w:val="22"/>
                <w:szCs w:val="22"/>
                <w:lang w:val="sr-Cyrl-CS"/>
              </w:rPr>
              <w:t xml:space="preserve"> јавн</w:t>
            </w:r>
            <w:r w:rsidR="000F3A4D" w:rsidRPr="00895819">
              <w:rPr>
                <w:sz w:val="22"/>
                <w:szCs w:val="22"/>
                <w:lang w:val="sr-Cyrl-CS"/>
              </w:rPr>
              <w:t>их</w:t>
            </w:r>
            <w:r w:rsidR="00E33E84" w:rsidRPr="00895819">
              <w:rPr>
                <w:sz w:val="22"/>
                <w:szCs w:val="22"/>
                <w:lang w:val="sr-Cyrl-CS"/>
              </w:rPr>
              <w:t xml:space="preserve"> политик</w:t>
            </w:r>
            <w:r w:rsidR="000F3A4D" w:rsidRPr="00895819">
              <w:rPr>
                <w:sz w:val="22"/>
                <w:szCs w:val="22"/>
                <w:lang w:val="sr-Cyrl-CS"/>
              </w:rPr>
              <w:t>а</w:t>
            </w:r>
            <w:r w:rsidR="00E33E84" w:rsidRPr="00895819">
              <w:rPr>
                <w:sz w:val="22"/>
                <w:szCs w:val="22"/>
                <w:lang w:val="sr-Cyrl-CS"/>
              </w:rPr>
              <w:t>.</w:t>
            </w:r>
          </w:p>
        </w:tc>
      </w:tr>
      <w:tr w:rsidR="007D640F" w:rsidRPr="00895819" w14:paraId="285216A9" w14:textId="77777777" w:rsidTr="00485361">
        <w:tc>
          <w:tcPr>
            <w:tcW w:w="1129" w:type="dxa"/>
          </w:tcPr>
          <w:p w14:paraId="096F925F" w14:textId="77777777" w:rsidR="00B16F8D" w:rsidRPr="00895819" w:rsidRDefault="00B16F8D" w:rsidP="00485361">
            <w:pPr>
              <w:pStyle w:val="comtexte"/>
              <w:numPr>
                <w:ilvl w:val="0"/>
                <w:numId w:val="0"/>
              </w:numPr>
              <w:jc w:val="left"/>
              <w:rPr>
                <w:sz w:val="22"/>
                <w:szCs w:val="22"/>
                <w:lang w:val="sr-Cyrl-CS"/>
              </w:rPr>
            </w:pPr>
            <w:r w:rsidRPr="00895819">
              <w:rPr>
                <w:sz w:val="22"/>
                <w:szCs w:val="22"/>
                <w:lang w:val="sr-Cyrl-CS"/>
              </w:rPr>
              <w:sym w:font="Wingdings" w:char="F076"/>
            </w:r>
            <w:r w:rsidR="005D56F9" w:rsidRPr="00895819">
              <w:rPr>
                <w:sz w:val="22"/>
                <w:szCs w:val="22"/>
                <w:lang w:val="sr-Cyrl-CS"/>
              </w:rPr>
              <w:t>ДЛИ</w:t>
            </w:r>
            <w:r w:rsidRPr="00895819">
              <w:rPr>
                <w:sz w:val="22"/>
                <w:szCs w:val="22"/>
                <w:lang w:val="sr-Cyrl-CS"/>
              </w:rPr>
              <w:t xml:space="preserve"> 2</w:t>
            </w:r>
          </w:p>
        </w:tc>
        <w:tc>
          <w:tcPr>
            <w:tcW w:w="8215" w:type="dxa"/>
          </w:tcPr>
          <w:p w14:paraId="184EF678" w14:textId="77777777" w:rsidR="00B16F8D" w:rsidRPr="00895819" w:rsidRDefault="005D56F9" w:rsidP="00485361">
            <w:pPr>
              <w:pStyle w:val="comtexte"/>
              <w:numPr>
                <w:ilvl w:val="0"/>
                <w:numId w:val="0"/>
              </w:numPr>
              <w:rPr>
                <w:b/>
                <w:sz w:val="22"/>
                <w:szCs w:val="22"/>
                <w:lang w:val="sr-Cyrl-CS"/>
              </w:rPr>
            </w:pPr>
            <w:r w:rsidRPr="00895819">
              <w:rPr>
                <w:b/>
                <w:sz w:val="22"/>
                <w:szCs w:val="22"/>
                <w:lang w:val="sr-Cyrl-CS"/>
              </w:rPr>
              <w:t>Зелени буџет</w:t>
            </w:r>
            <w:r w:rsidR="00B16F8D" w:rsidRPr="00895819">
              <w:rPr>
                <w:b/>
                <w:sz w:val="22"/>
                <w:szCs w:val="22"/>
                <w:lang w:val="sr-Cyrl-CS"/>
              </w:rPr>
              <w:t>.</w:t>
            </w:r>
            <w:r w:rsidR="00B16F8D" w:rsidRPr="00895819">
              <w:rPr>
                <w:sz w:val="22"/>
                <w:szCs w:val="22"/>
                <w:lang w:val="sr-Cyrl-CS"/>
              </w:rPr>
              <w:t xml:space="preserve"> </w:t>
            </w:r>
            <w:r w:rsidR="00763860" w:rsidRPr="00895819">
              <w:rPr>
                <w:sz w:val="22"/>
                <w:szCs w:val="22"/>
                <w:lang w:val="sr-Cyrl-CS"/>
              </w:rPr>
              <w:t xml:space="preserve">Примена методологије за процену утицаја </w:t>
            </w:r>
            <w:r w:rsidR="00B16F8D" w:rsidRPr="00895819">
              <w:rPr>
                <w:sz w:val="22"/>
                <w:szCs w:val="22"/>
                <w:lang w:val="sr-Cyrl-CS"/>
              </w:rPr>
              <w:t xml:space="preserve">– </w:t>
            </w:r>
            <w:r w:rsidR="00763860" w:rsidRPr="00895819">
              <w:rPr>
                <w:sz w:val="22"/>
                <w:szCs w:val="22"/>
                <w:lang w:val="sr-Cyrl-CS"/>
              </w:rPr>
              <w:t>како позитивног тако и негативног</w:t>
            </w:r>
            <w:r w:rsidR="00B16F8D" w:rsidRPr="00895819">
              <w:rPr>
                <w:sz w:val="22"/>
                <w:szCs w:val="22"/>
                <w:lang w:val="sr-Cyrl-CS"/>
              </w:rPr>
              <w:t xml:space="preserve"> – </w:t>
            </w:r>
            <w:r w:rsidR="00763860" w:rsidRPr="00895819">
              <w:rPr>
                <w:sz w:val="22"/>
                <w:szCs w:val="22"/>
                <w:lang w:val="sr-Cyrl-CS"/>
              </w:rPr>
              <w:t>буџетских ставки на климу и животну средину</w:t>
            </w:r>
            <w:r w:rsidR="00B16F8D" w:rsidRPr="00895819">
              <w:rPr>
                <w:sz w:val="22"/>
                <w:szCs w:val="22"/>
                <w:lang w:val="sr-Cyrl-CS"/>
              </w:rPr>
              <w:t>.</w:t>
            </w:r>
          </w:p>
        </w:tc>
      </w:tr>
      <w:tr w:rsidR="007D640F" w:rsidRPr="00895819" w14:paraId="7DFBA6FA" w14:textId="77777777" w:rsidTr="00485361">
        <w:tc>
          <w:tcPr>
            <w:tcW w:w="1129" w:type="dxa"/>
          </w:tcPr>
          <w:p w14:paraId="703C2CA8" w14:textId="77777777" w:rsidR="00B16F8D" w:rsidRPr="00895819" w:rsidRDefault="00B16F8D" w:rsidP="00485361">
            <w:pPr>
              <w:pStyle w:val="comtexte"/>
              <w:numPr>
                <w:ilvl w:val="0"/>
                <w:numId w:val="0"/>
              </w:numPr>
              <w:jc w:val="left"/>
              <w:rPr>
                <w:sz w:val="22"/>
                <w:szCs w:val="22"/>
                <w:lang w:val="sr-Cyrl-CS"/>
              </w:rPr>
            </w:pPr>
            <w:r w:rsidRPr="00895819">
              <w:rPr>
                <w:sz w:val="22"/>
                <w:szCs w:val="22"/>
                <w:lang w:val="sr-Cyrl-CS"/>
              </w:rPr>
              <w:sym w:font="Wingdings" w:char="F076"/>
            </w:r>
            <w:r w:rsidR="005D56F9" w:rsidRPr="00895819">
              <w:rPr>
                <w:sz w:val="22"/>
                <w:szCs w:val="22"/>
                <w:lang w:val="sr-Cyrl-CS"/>
              </w:rPr>
              <w:t>ДЛИ</w:t>
            </w:r>
            <w:r w:rsidRPr="00895819">
              <w:rPr>
                <w:sz w:val="22"/>
                <w:szCs w:val="22"/>
                <w:lang w:val="sr-Cyrl-CS"/>
              </w:rPr>
              <w:t xml:space="preserve"> 3</w:t>
            </w:r>
          </w:p>
        </w:tc>
        <w:tc>
          <w:tcPr>
            <w:tcW w:w="8215" w:type="dxa"/>
          </w:tcPr>
          <w:p w14:paraId="4F8A0C03" w14:textId="77777777" w:rsidR="00B16F8D" w:rsidRPr="00895819" w:rsidRDefault="005D56F9" w:rsidP="00485361">
            <w:pPr>
              <w:pStyle w:val="comtexte"/>
              <w:numPr>
                <w:ilvl w:val="0"/>
                <w:numId w:val="0"/>
              </w:numPr>
              <w:rPr>
                <w:b/>
                <w:sz w:val="22"/>
                <w:szCs w:val="22"/>
                <w:lang w:val="sr-Cyrl-CS"/>
              </w:rPr>
            </w:pPr>
            <w:r w:rsidRPr="00895819">
              <w:rPr>
                <w:b/>
                <w:sz w:val="22"/>
                <w:szCs w:val="22"/>
                <w:lang w:val="sr-Cyrl-CS"/>
              </w:rPr>
              <w:t>Припрема и праћење инвестиционих пројеката.</w:t>
            </w:r>
            <w:r w:rsidR="00B16F8D" w:rsidRPr="00895819">
              <w:rPr>
                <w:sz w:val="22"/>
                <w:szCs w:val="22"/>
                <w:lang w:val="sr-Cyrl-CS"/>
              </w:rPr>
              <w:t xml:space="preserve"> </w:t>
            </w:r>
            <w:r w:rsidR="00F14948" w:rsidRPr="00895819">
              <w:rPr>
                <w:sz w:val="22"/>
                <w:szCs w:val="22"/>
                <w:lang w:val="sr-Cyrl-CS"/>
              </w:rPr>
              <w:t>Примена заједничких стандарда квалитета за потребе анализе изводљивости, утврђивања приоритета и праћења пројеката јавних улагања</w:t>
            </w:r>
            <w:r w:rsidR="00B16F8D" w:rsidRPr="00895819">
              <w:rPr>
                <w:sz w:val="22"/>
                <w:szCs w:val="22"/>
                <w:lang w:val="sr-Cyrl-CS"/>
              </w:rPr>
              <w:t xml:space="preserve">. </w:t>
            </w:r>
          </w:p>
        </w:tc>
      </w:tr>
      <w:tr w:rsidR="007D640F" w:rsidRPr="00895819" w14:paraId="767B52F9" w14:textId="77777777" w:rsidTr="00485361">
        <w:tc>
          <w:tcPr>
            <w:tcW w:w="1129" w:type="dxa"/>
          </w:tcPr>
          <w:p w14:paraId="3A41C77F" w14:textId="77777777" w:rsidR="00B16F8D" w:rsidRPr="00895819" w:rsidRDefault="00B16F8D" w:rsidP="00485361">
            <w:pPr>
              <w:pStyle w:val="comtexte"/>
              <w:numPr>
                <w:ilvl w:val="0"/>
                <w:numId w:val="0"/>
              </w:numPr>
              <w:jc w:val="left"/>
              <w:rPr>
                <w:sz w:val="22"/>
                <w:szCs w:val="22"/>
                <w:lang w:val="sr-Cyrl-CS"/>
              </w:rPr>
            </w:pPr>
            <w:r w:rsidRPr="00895819">
              <w:rPr>
                <w:sz w:val="22"/>
                <w:szCs w:val="22"/>
                <w:lang w:val="sr-Cyrl-CS"/>
              </w:rPr>
              <w:sym w:font="Wingdings" w:char="F076"/>
            </w:r>
            <w:r w:rsidRPr="00895819">
              <w:rPr>
                <w:sz w:val="22"/>
                <w:szCs w:val="22"/>
                <w:lang w:val="sr-Cyrl-CS"/>
              </w:rPr>
              <w:t xml:space="preserve"> </w:t>
            </w:r>
            <w:r w:rsidR="004B3FF4" w:rsidRPr="00895819">
              <w:rPr>
                <w:sz w:val="22"/>
                <w:szCs w:val="22"/>
                <w:lang w:val="sr-Cyrl-CS"/>
              </w:rPr>
              <w:t>ДЛИ</w:t>
            </w:r>
            <w:r w:rsidRPr="00895819">
              <w:rPr>
                <w:sz w:val="22"/>
                <w:szCs w:val="22"/>
                <w:lang w:val="sr-Cyrl-CS"/>
              </w:rPr>
              <w:t xml:space="preserve"> 4</w:t>
            </w:r>
          </w:p>
        </w:tc>
        <w:tc>
          <w:tcPr>
            <w:tcW w:w="8215" w:type="dxa"/>
          </w:tcPr>
          <w:p w14:paraId="088F2496" w14:textId="77777777" w:rsidR="00B16F8D" w:rsidRPr="00895819" w:rsidRDefault="00F14948" w:rsidP="00485361">
            <w:pPr>
              <w:pStyle w:val="comtexte"/>
              <w:numPr>
                <w:ilvl w:val="0"/>
                <w:numId w:val="0"/>
              </w:numPr>
              <w:rPr>
                <w:sz w:val="22"/>
                <w:szCs w:val="22"/>
                <w:lang w:val="sr-Cyrl-CS"/>
              </w:rPr>
            </w:pPr>
            <w:r w:rsidRPr="00895819">
              <w:rPr>
                <w:b/>
                <w:sz w:val="22"/>
                <w:szCs w:val="22"/>
                <w:lang w:val="sr-Cyrl-CS"/>
              </w:rPr>
              <w:t>Повећање удела зелених инвестиција</w:t>
            </w:r>
            <w:r w:rsidR="00B16F8D" w:rsidRPr="00895819">
              <w:rPr>
                <w:b/>
                <w:sz w:val="22"/>
                <w:szCs w:val="22"/>
                <w:lang w:val="sr-Cyrl-CS"/>
              </w:rPr>
              <w:t>.</w:t>
            </w:r>
            <w:r w:rsidR="00B16F8D" w:rsidRPr="00895819">
              <w:rPr>
                <w:sz w:val="22"/>
                <w:szCs w:val="22"/>
                <w:lang w:val="sr-Cyrl-CS"/>
              </w:rPr>
              <w:t xml:space="preserve"> </w:t>
            </w:r>
            <w:r w:rsidRPr="00895819">
              <w:rPr>
                <w:sz w:val="22"/>
                <w:szCs w:val="22"/>
                <w:lang w:val="sr-Cyrl-CS"/>
              </w:rPr>
              <w:t>Примена методологије за класификацију пројеката према еколошкој релевантности и климатским користима</w:t>
            </w:r>
            <w:r w:rsidR="006E11CF" w:rsidRPr="00895819">
              <w:rPr>
                <w:sz w:val="22"/>
                <w:szCs w:val="22"/>
                <w:lang w:val="sr-Cyrl-CS"/>
              </w:rPr>
              <w:t>.</w:t>
            </w:r>
            <w:r w:rsidRPr="00895819">
              <w:rPr>
                <w:sz w:val="22"/>
                <w:szCs w:val="22"/>
                <w:lang w:val="sr-Cyrl-CS"/>
              </w:rPr>
              <w:t xml:space="preserve"> Повећање удела зелених пројеката у јавним улагањима на </w:t>
            </w:r>
            <w:r w:rsidR="00B16F8D" w:rsidRPr="00895819">
              <w:rPr>
                <w:sz w:val="22"/>
                <w:szCs w:val="22"/>
                <w:lang w:val="sr-Cyrl-CS"/>
              </w:rPr>
              <w:t>25%.</w:t>
            </w:r>
          </w:p>
        </w:tc>
      </w:tr>
      <w:tr w:rsidR="007D640F" w:rsidRPr="00895819" w14:paraId="5E35436A" w14:textId="77777777" w:rsidTr="00485361">
        <w:tc>
          <w:tcPr>
            <w:tcW w:w="1129" w:type="dxa"/>
          </w:tcPr>
          <w:p w14:paraId="742B1B68" w14:textId="77777777" w:rsidR="00B16F8D" w:rsidRPr="00895819" w:rsidRDefault="00B16F8D" w:rsidP="00485361">
            <w:pPr>
              <w:pStyle w:val="comtexte"/>
              <w:numPr>
                <w:ilvl w:val="0"/>
                <w:numId w:val="0"/>
              </w:numPr>
              <w:jc w:val="left"/>
              <w:rPr>
                <w:sz w:val="22"/>
                <w:szCs w:val="22"/>
                <w:lang w:val="sr-Cyrl-CS"/>
              </w:rPr>
            </w:pPr>
            <w:r w:rsidRPr="00895819">
              <w:rPr>
                <w:sz w:val="22"/>
                <w:szCs w:val="22"/>
                <w:lang w:val="sr-Cyrl-CS"/>
              </w:rPr>
              <w:sym w:font="Wingdings" w:char="F076"/>
            </w:r>
            <w:r w:rsidRPr="00895819">
              <w:rPr>
                <w:sz w:val="22"/>
                <w:szCs w:val="22"/>
                <w:lang w:val="sr-Cyrl-CS"/>
              </w:rPr>
              <w:t xml:space="preserve"> </w:t>
            </w:r>
            <w:r w:rsidR="004B3FF4" w:rsidRPr="00895819">
              <w:rPr>
                <w:sz w:val="22"/>
                <w:szCs w:val="22"/>
                <w:lang w:val="sr-Cyrl-CS"/>
              </w:rPr>
              <w:t>ДЛИ</w:t>
            </w:r>
            <w:r w:rsidRPr="00895819">
              <w:rPr>
                <w:sz w:val="22"/>
                <w:szCs w:val="22"/>
                <w:lang w:val="sr-Cyrl-CS"/>
              </w:rPr>
              <w:t xml:space="preserve"> 5</w:t>
            </w:r>
          </w:p>
        </w:tc>
        <w:tc>
          <w:tcPr>
            <w:tcW w:w="8215" w:type="dxa"/>
          </w:tcPr>
          <w:p w14:paraId="34C755D9" w14:textId="77777777" w:rsidR="00B16F8D" w:rsidRPr="00895819" w:rsidRDefault="004B3FF4" w:rsidP="00485361">
            <w:pPr>
              <w:pStyle w:val="comtexte"/>
              <w:numPr>
                <w:ilvl w:val="0"/>
                <w:numId w:val="0"/>
              </w:numPr>
              <w:rPr>
                <w:sz w:val="22"/>
                <w:szCs w:val="22"/>
                <w:lang w:val="sr-Cyrl-CS"/>
              </w:rPr>
            </w:pPr>
            <w:r w:rsidRPr="00895819">
              <w:rPr>
                <w:b/>
                <w:sz w:val="22"/>
                <w:szCs w:val="22"/>
                <w:lang w:val="sr-Cyrl-CS"/>
              </w:rPr>
              <w:t>Повећање удела зелених јавних набавки</w:t>
            </w:r>
            <w:r w:rsidR="00B16F8D" w:rsidRPr="00895819">
              <w:rPr>
                <w:b/>
                <w:sz w:val="22"/>
                <w:szCs w:val="22"/>
                <w:lang w:val="sr-Cyrl-CS"/>
              </w:rPr>
              <w:t xml:space="preserve">. </w:t>
            </w:r>
            <w:r w:rsidR="00F14948" w:rsidRPr="00895819">
              <w:rPr>
                <w:bCs/>
                <w:sz w:val="22"/>
                <w:szCs w:val="22"/>
                <w:lang w:val="sr-Cyrl-CS"/>
              </w:rPr>
              <w:t>Повећање удела</w:t>
            </w:r>
            <w:r w:rsidR="00F14948" w:rsidRPr="00895819">
              <w:rPr>
                <w:b/>
                <w:sz w:val="22"/>
                <w:szCs w:val="22"/>
                <w:lang w:val="sr-Cyrl-CS"/>
              </w:rPr>
              <w:t xml:space="preserve"> </w:t>
            </w:r>
            <w:r w:rsidR="00F14948" w:rsidRPr="00895819">
              <w:rPr>
                <w:bCs/>
                <w:sz w:val="22"/>
                <w:szCs w:val="22"/>
                <w:lang w:val="sr-Cyrl-CS"/>
              </w:rPr>
              <w:t xml:space="preserve">зелених јавних набавки и уговора са </w:t>
            </w:r>
            <w:r w:rsidR="00B16F8D" w:rsidRPr="00895819">
              <w:rPr>
                <w:bCs/>
                <w:sz w:val="22"/>
                <w:szCs w:val="22"/>
                <w:lang w:val="sr-Cyrl-CS"/>
              </w:rPr>
              <w:t xml:space="preserve">3% </w:t>
            </w:r>
            <w:r w:rsidR="00F14948" w:rsidRPr="00895819">
              <w:rPr>
                <w:bCs/>
                <w:sz w:val="22"/>
                <w:szCs w:val="22"/>
                <w:lang w:val="sr-Cyrl-CS"/>
              </w:rPr>
              <w:t>на</w:t>
            </w:r>
            <w:r w:rsidR="00B16F8D" w:rsidRPr="00895819">
              <w:rPr>
                <w:bCs/>
                <w:sz w:val="22"/>
                <w:szCs w:val="22"/>
                <w:lang w:val="sr-Cyrl-CS"/>
              </w:rPr>
              <w:t xml:space="preserve"> </w:t>
            </w:r>
            <w:r w:rsidR="00B16F8D" w:rsidRPr="00895819">
              <w:rPr>
                <w:sz w:val="22"/>
                <w:szCs w:val="22"/>
                <w:lang w:val="sr-Cyrl-CS"/>
              </w:rPr>
              <w:t>12%.</w:t>
            </w:r>
          </w:p>
        </w:tc>
      </w:tr>
      <w:tr w:rsidR="007D640F" w:rsidRPr="00895819" w14:paraId="76A18418" w14:textId="77777777" w:rsidTr="00485361">
        <w:tc>
          <w:tcPr>
            <w:tcW w:w="1129" w:type="dxa"/>
          </w:tcPr>
          <w:p w14:paraId="3C6834B1" w14:textId="77777777" w:rsidR="00B16F8D" w:rsidRPr="00895819" w:rsidRDefault="00B16F8D" w:rsidP="00485361">
            <w:pPr>
              <w:pStyle w:val="comtexte"/>
              <w:numPr>
                <w:ilvl w:val="0"/>
                <w:numId w:val="0"/>
              </w:numPr>
              <w:jc w:val="left"/>
              <w:rPr>
                <w:sz w:val="22"/>
                <w:szCs w:val="22"/>
                <w:lang w:val="sr-Cyrl-CS"/>
              </w:rPr>
            </w:pPr>
            <w:r w:rsidRPr="00895819">
              <w:rPr>
                <w:sz w:val="22"/>
                <w:szCs w:val="22"/>
                <w:lang w:val="sr-Cyrl-CS"/>
              </w:rPr>
              <w:sym w:font="Wingdings" w:char="F076"/>
            </w:r>
            <w:r w:rsidRPr="00895819">
              <w:rPr>
                <w:sz w:val="22"/>
                <w:szCs w:val="22"/>
                <w:lang w:val="sr-Cyrl-CS"/>
              </w:rPr>
              <w:t xml:space="preserve"> </w:t>
            </w:r>
            <w:r w:rsidR="007D6AA2" w:rsidRPr="00895819">
              <w:rPr>
                <w:sz w:val="22"/>
                <w:szCs w:val="22"/>
                <w:lang w:val="sr-Cyrl-CS"/>
              </w:rPr>
              <w:t>ДЛИ</w:t>
            </w:r>
            <w:r w:rsidRPr="00895819">
              <w:rPr>
                <w:sz w:val="22"/>
                <w:szCs w:val="22"/>
                <w:lang w:val="sr-Cyrl-CS"/>
              </w:rPr>
              <w:t xml:space="preserve"> 6</w:t>
            </w:r>
          </w:p>
        </w:tc>
        <w:tc>
          <w:tcPr>
            <w:tcW w:w="8215" w:type="dxa"/>
          </w:tcPr>
          <w:p w14:paraId="04BA3575" w14:textId="77777777" w:rsidR="00B16F8D" w:rsidRPr="00895819" w:rsidRDefault="007D640F" w:rsidP="00485361">
            <w:pPr>
              <w:pStyle w:val="comtexte"/>
              <w:numPr>
                <w:ilvl w:val="0"/>
                <w:numId w:val="0"/>
              </w:numPr>
              <w:rPr>
                <w:sz w:val="22"/>
                <w:szCs w:val="22"/>
                <w:lang w:val="sr-Cyrl-CS"/>
              </w:rPr>
            </w:pPr>
            <w:r w:rsidRPr="00895819">
              <w:rPr>
                <w:b/>
                <w:sz w:val="22"/>
                <w:szCs w:val="22"/>
                <w:lang w:val="sr-Cyrl-CS"/>
              </w:rPr>
              <w:t>Програмско буџетирање и буџетска транспарентност</w:t>
            </w:r>
            <w:r w:rsidR="00B16F8D" w:rsidRPr="00895819">
              <w:rPr>
                <w:b/>
                <w:sz w:val="22"/>
                <w:szCs w:val="22"/>
                <w:lang w:val="sr-Cyrl-CS"/>
              </w:rPr>
              <w:t>.</w:t>
            </w:r>
            <w:r w:rsidR="00B16F8D" w:rsidRPr="00895819">
              <w:rPr>
                <w:sz w:val="22"/>
                <w:szCs w:val="22"/>
                <w:lang w:val="sr-Cyrl-CS"/>
              </w:rPr>
              <w:t xml:space="preserve"> </w:t>
            </w:r>
            <w:r w:rsidRPr="00895819">
              <w:rPr>
                <w:sz w:val="22"/>
                <w:szCs w:val="22"/>
                <w:lang w:val="sr-Cyrl-CS"/>
              </w:rPr>
              <w:t xml:space="preserve">Усклађивање програмских кључних показатеља учинка </w:t>
            </w:r>
            <w:r w:rsidR="00B16F8D" w:rsidRPr="00895819">
              <w:rPr>
                <w:sz w:val="22"/>
                <w:szCs w:val="22"/>
                <w:lang w:val="sr-Cyrl-CS"/>
              </w:rPr>
              <w:t>(</w:t>
            </w:r>
            <w:r w:rsidRPr="00895819">
              <w:rPr>
                <w:sz w:val="22"/>
                <w:szCs w:val="22"/>
                <w:lang w:val="sr-Cyrl-CS"/>
              </w:rPr>
              <w:t>КПИ</w:t>
            </w:r>
            <w:r w:rsidR="00B16F8D" w:rsidRPr="00895819">
              <w:rPr>
                <w:sz w:val="22"/>
                <w:szCs w:val="22"/>
                <w:lang w:val="sr-Cyrl-CS"/>
              </w:rPr>
              <w:t xml:space="preserve">) </w:t>
            </w:r>
            <w:r w:rsidRPr="00895819">
              <w:rPr>
                <w:sz w:val="22"/>
                <w:szCs w:val="22"/>
                <w:lang w:val="sr-Cyrl-CS"/>
              </w:rPr>
              <w:t xml:space="preserve">са </w:t>
            </w:r>
            <w:r w:rsidR="00D86FD2" w:rsidRPr="00895819">
              <w:rPr>
                <w:sz w:val="22"/>
                <w:szCs w:val="22"/>
                <w:lang w:val="sr-Cyrl-CS"/>
              </w:rPr>
              <w:t>Зелен</w:t>
            </w:r>
            <w:r w:rsidRPr="00895819">
              <w:rPr>
                <w:sz w:val="22"/>
                <w:szCs w:val="22"/>
                <w:lang w:val="sr-Cyrl-CS"/>
              </w:rPr>
              <w:t>ом</w:t>
            </w:r>
            <w:r w:rsidR="00D86FD2" w:rsidRPr="00895819">
              <w:rPr>
                <w:sz w:val="22"/>
                <w:szCs w:val="22"/>
                <w:lang w:val="sr-Cyrl-CS"/>
              </w:rPr>
              <w:t xml:space="preserve"> агенд</w:t>
            </w:r>
            <w:r w:rsidRPr="00895819">
              <w:rPr>
                <w:sz w:val="22"/>
                <w:szCs w:val="22"/>
                <w:lang w:val="sr-Cyrl-CS"/>
              </w:rPr>
              <w:t>ом</w:t>
            </w:r>
            <w:r w:rsidR="00B16F8D" w:rsidRPr="00895819">
              <w:rPr>
                <w:sz w:val="22"/>
                <w:szCs w:val="22"/>
                <w:lang w:val="sr-Cyrl-CS"/>
              </w:rPr>
              <w:t xml:space="preserve">, </w:t>
            </w:r>
            <w:r w:rsidRPr="00895819">
              <w:rPr>
                <w:sz w:val="22"/>
                <w:szCs w:val="22"/>
                <w:lang w:val="sr-Cyrl-CS"/>
              </w:rPr>
              <w:t>мерење ефикасности и извештавање о техничкој и финансијској имплементацији</w:t>
            </w:r>
            <w:r w:rsidR="00B16F8D" w:rsidRPr="00895819">
              <w:rPr>
                <w:sz w:val="22"/>
                <w:szCs w:val="22"/>
                <w:lang w:val="sr-Cyrl-CS"/>
              </w:rPr>
              <w:t>.</w:t>
            </w:r>
          </w:p>
        </w:tc>
      </w:tr>
      <w:tr w:rsidR="007D640F" w:rsidRPr="00895819" w14:paraId="512E67A3" w14:textId="77777777" w:rsidTr="00485361">
        <w:tc>
          <w:tcPr>
            <w:tcW w:w="1129" w:type="dxa"/>
          </w:tcPr>
          <w:p w14:paraId="2D558E92" w14:textId="77777777" w:rsidR="00B16F8D" w:rsidRPr="00895819" w:rsidRDefault="00B16F8D" w:rsidP="00485361">
            <w:pPr>
              <w:pStyle w:val="comtexte"/>
              <w:numPr>
                <w:ilvl w:val="0"/>
                <w:numId w:val="0"/>
              </w:numPr>
              <w:jc w:val="left"/>
              <w:rPr>
                <w:sz w:val="22"/>
                <w:szCs w:val="22"/>
                <w:lang w:val="sr-Cyrl-CS"/>
              </w:rPr>
            </w:pPr>
            <w:r w:rsidRPr="00895819">
              <w:rPr>
                <w:sz w:val="22"/>
                <w:szCs w:val="22"/>
                <w:lang w:val="sr-Cyrl-CS"/>
              </w:rPr>
              <w:sym w:font="Wingdings" w:char="F076"/>
            </w:r>
            <w:r w:rsidRPr="00895819">
              <w:rPr>
                <w:sz w:val="22"/>
                <w:szCs w:val="22"/>
                <w:lang w:val="sr-Cyrl-CS"/>
              </w:rPr>
              <w:t xml:space="preserve"> </w:t>
            </w:r>
            <w:r w:rsidR="007D6AA2" w:rsidRPr="00895819">
              <w:rPr>
                <w:sz w:val="22"/>
                <w:szCs w:val="22"/>
                <w:lang w:val="sr-Cyrl-CS"/>
              </w:rPr>
              <w:t>ДЛИ</w:t>
            </w:r>
            <w:r w:rsidRPr="00895819">
              <w:rPr>
                <w:sz w:val="22"/>
                <w:szCs w:val="22"/>
                <w:lang w:val="sr-Cyrl-CS"/>
              </w:rPr>
              <w:t xml:space="preserve"> 7</w:t>
            </w:r>
          </w:p>
        </w:tc>
        <w:tc>
          <w:tcPr>
            <w:tcW w:w="8215" w:type="dxa"/>
          </w:tcPr>
          <w:p w14:paraId="464B48A3" w14:textId="77777777" w:rsidR="00B16F8D" w:rsidRPr="00895819" w:rsidRDefault="00E12B26" w:rsidP="009B1CBC">
            <w:pPr>
              <w:pStyle w:val="comtexte"/>
              <w:numPr>
                <w:ilvl w:val="0"/>
                <w:numId w:val="0"/>
              </w:numPr>
              <w:rPr>
                <w:sz w:val="22"/>
                <w:szCs w:val="22"/>
                <w:lang w:val="sr-Cyrl-CS"/>
              </w:rPr>
            </w:pPr>
            <w:r w:rsidRPr="00895819">
              <w:rPr>
                <w:b/>
                <w:sz w:val="22"/>
                <w:szCs w:val="22"/>
                <w:lang w:val="sr-Cyrl-CS"/>
              </w:rPr>
              <w:t>Анализа и праћење буџетских ризика</w:t>
            </w:r>
            <w:r w:rsidR="00B16F8D" w:rsidRPr="00895819">
              <w:rPr>
                <w:b/>
                <w:sz w:val="22"/>
                <w:szCs w:val="22"/>
                <w:lang w:val="sr-Cyrl-CS"/>
              </w:rPr>
              <w:t>.</w:t>
            </w:r>
            <w:r w:rsidR="00B16F8D" w:rsidRPr="00895819">
              <w:rPr>
                <w:sz w:val="22"/>
                <w:szCs w:val="22"/>
                <w:lang w:val="sr-Cyrl-CS"/>
              </w:rPr>
              <w:t xml:space="preserve"> </w:t>
            </w:r>
            <w:r w:rsidRPr="00895819">
              <w:rPr>
                <w:sz w:val="22"/>
                <w:szCs w:val="22"/>
                <w:lang w:val="sr-Cyrl-CS"/>
              </w:rPr>
              <w:t>Објављивање извештаја о фискалним ризицима, који садржи одељак посвећен природним непогодама –</w:t>
            </w:r>
            <w:r w:rsidR="009B1CBC" w:rsidRPr="00895819">
              <w:rPr>
                <w:sz w:val="22"/>
                <w:szCs w:val="22"/>
                <w:lang w:val="sr-Cyrl-CS"/>
              </w:rPr>
              <w:t xml:space="preserve"> </w:t>
            </w:r>
            <w:r w:rsidRPr="00895819">
              <w:rPr>
                <w:sz w:val="22"/>
                <w:szCs w:val="22"/>
                <w:lang w:val="sr-Cyrl-CS"/>
              </w:rPr>
              <w:t>укључујући и климатски узроковане природне непогоде</w:t>
            </w:r>
            <w:r w:rsidR="009B1CBC" w:rsidRPr="00895819">
              <w:rPr>
                <w:sz w:val="22"/>
                <w:szCs w:val="22"/>
                <w:lang w:val="sr-Cyrl-CS"/>
              </w:rPr>
              <w:t xml:space="preserve"> (</w:t>
            </w:r>
            <w:r w:rsidRPr="00895819">
              <w:rPr>
                <w:sz w:val="22"/>
                <w:szCs w:val="22"/>
                <w:lang w:val="sr-Cyrl-CS"/>
              </w:rPr>
              <w:t>као што су поплаве</w:t>
            </w:r>
            <w:r w:rsidR="009B1CBC" w:rsidRPr="00895819">
              <w:rPr>
                <w:sz w:val="22"/>
                <w:szCs w:val="22"/>
                <w:lang w:val="sr-Cyrl-CS"/>
              </w:rPr>
              <w:t xml:space="preserve">). </w:t>
            </w:r>
            <w:r w:rsidRPr="00895819">
              <w:rPr>
                <w:sz w:val="22"/>
                <w:szCs w:val="22"/>
                <w:lang w:val="sr-Cyrl-CS"/>
              </w:rPr>
              <w:t xml:space="preserve">Припрема мера </w:t>
            </w:r>
            <w:r w:rsidR="006274F6" w:rsidRPr="00895819">
              <w:rPr>
                <w:sz w:val="22"/>
                <w:szCs w:val="22"/>
                <w:lang w:val="sr-Cyrl-CS"/>
              </w:rPr>
              <w:t xml:space="preserve">за непредвиђене ситуације </w:t>
            </w:r>
            <w:r w:rsidRPr="00895819">
              <w:rPr>
                <w:sz w:val="22"/>
                <w:szCs w:val="22"/>
                <w:lang w:val="sr-Cyrl-CS"/>
              </w:rPr>
              <w:t>у буџету и фискалној стратегији</w:t>
            </w:r>
            <w:r w:rsidR="00B16F8D" w:rsidRPr="00895819">
              <w:rPr>
                <w:sz w:val="22"/>
                <w:szCs w:val="22"/>
                <w:lang w:val="sr-Cyrl-CS"/>
              </w:rPr>
              <w:t>.</w:t>
            </w:r>
          </w:p>
        </w:tc>
      </w:tr>
      <w:tr w:rsidR="007D640F" w:rsidRPr="00895819" w14:paraId="1CDF52F4" w14:textId="77777777" w:rsidTr="00485361">
        <w:tc>
          <w:tcPr>
            <w:tcW w:w="1129" w:type="dxa"/>
          </w:tcPr>
          <w:p w14:paraId="7C4AAA8F" w14:textId="77777777" w:rsidR="00B16F8D" w:rsidRPr="00895819" w:rsidRDefault="00B16F8D" w:rsidP="00080DDE">
            <w:pPr>
              <w:pStyle w:val="comtexte"/>
              <w:numPr>
                <w:ilvl w:val="0"/>
                <w:numId w:val="0"/>
              </w:numPr>
              <w:jc w:val="left"/>
              <w:rPr>
                <w:sz w:val="22"/>
                <w:szCs w:val="22"/>
                <w:lang w:val="sr-Cyrl-CS"/>
              </w:rPr>
            </w:pPr>
            <w:r w:rsidRPr="00895819">
              <w:rPr>
                <w:sz w:val="22"/>
                <w:szCs w:val="22"/>
                <w:lang w:val="sr-Cyrl-CS"/>
              </w:rPr>
              <w:sym w:font="Wingdings" w:char="F076"/>
            </w:r>
            <w:r w:rsidRPr="00895819">
              <w:rPr>
                <w:sz w:val="22"/>
                <w:szCs w:val="22"/>
                <w:lang w:val="sr-Cyrl-CS"/>
              </w:rPr>
              <w:t xml:space="preserve"> </w:t>
            </w:r>
            <w:r w:rsidR="00080DDE" w:rsidRPr="00895819">
              <w:rPr>
                <w:sz w:val="22"/>
                <w:szCs w:val="22"/>
                <w:lang w:val="sr-Cyrl-CS"/>
              </w:rPr>
              <w:t>ДЛИ</w:t>
            </w:r>
            <w:r w:rsidRPr="00895819">
              <w:rPr>
                <w:sz w:val="22"/>
                <w:szCs w:val="22"/>
                <w:lang w:val="sr-Cyrl-CS"/>
              </w:rPr>
              <w:t xml:space="preserve"> 8</w:t>
            </w:r>
          </w:p>
        </w:tc>
        <w:tc>
          <w:tcPr>
            <w:tcW w:w="8215" w:type="dxa"/>
          </w:tcPr>
          <w:p w14:paraId="577E21B0" w14:textId="45077879" w:rsidR="00B16F8D" w:rsidRPr="00895819" w:rsidRDefault="0055152D" w:rsidP="000E07E7">
            <w:pPr>
              <w:pStyle w:val="comtexte"/>
              <w:numPr>
                <w:ilvl w:val="0"/>
                <w:numId w:val="0"/>
              </w:numPr>
              <w:rPr>
                <w:sz w:val="22"/>
                <w:szCs w:val="22"/>
                <w:lang w:val="sr-Cyrl-CS"/>
              </w:rPr>
            </w:pPr>
            <w:r w:rsidRPr="00895819">
              <w:rPr>
                <w:b/>
                <w:sz w:val="22"/>
                <w:szCs w:val="22"/>
                <w:lang w:val="sr-Cyrl-CS"/>
              </w:rPr>
              <w:t>Праћење, извештавање и верификација</w:t>
            </w:r>
            <w:r w:rsidR="00B16F8D" w:rsidRPr="00895819">
              <w:rPr>
                <w:b/>
                <w:sz w:val="22"/>
                <w:szCs w:val="22"/>
                <w:lang w:val="sr-Cyrl-CS"/>
              </w:rPr>
              <w:t xml:space="preserve"> (</w:t>
            </w:r>
            <w:r w:rsidRPr="00895819">
              <w:rPr>
                <w:b/>
                <w:sz w:val="22"/>
                <w:szCs w:val="22"/>
                <w:lang w:val="sr-Cyrl-CS"/>
              </w:rPr>
              <w:t>МРВ</w:t>
            </w:r>
            <w:r w:rsidR="00B16F8D" w:rsidRPr="00895819">
              <w:rPr>
                <w:b/>
                <w:sz w:val="22"/>
                <w:szCs w:val="22"/>
                <w:lang w:val="sr-Cyrl-CS"/>
              </w:rPr>
              <w:t xml:space="preserve">) </w:t>
            </w:r>
            <w:r w:rsidRPr="00895819">
              <w:rPr>
                <w:b/>
                <w:sz w:val="22"/>
                <w:szCs w:val="22"/>
                <w:lang w:val="sr-Cyrl-CS"/>
              </w:rPr>
              <w:t>емисије гаса са ефектом стаклене баште</w:t>
            </w:r>
            <w:r w:rsidR="00B16F8D" w:rsidRPr="00895819">
              <w:rPr>
                <w:b/>
                <w:sz w:val="22"/>
                <w:szCs w:val="22"/>
                <w:lang w:val="sr-Cyrl-CS"/>
              </w:rPr>
              <w:t>.</w:t>
            </w:r>
            <w:r w:rsidR="00B16F8D" w:rsidRPr="00895819">
              <w:rPr>
                <w:sz w:val="22"/>
                <w:szCs w:val="22"/>
                <w:lang w:val="sr-Cyrl-CS"/>
              </w:rPr>
              <w:t xml:space="preserve"> </w:t>
            </w:r>
            <w:r w:rsidR="00EE5CF7" w:rsidRPr="00895819">
              <w:rPr>
                <w:sz w:val="22"/>
                <w:szCs w:val="22"/>
                <w:lang w:val="sr-Cyrl-CS"/>
              </w:rPr>
              <w:t xml:space="preserve">Имплементација годишњег инвентара </w:t>
            </w:r>
            <w:r w:rsidR="007A6BE0" w:rsidRPr="00895819">
              <w:rPr>
                <w:sz w:val="22"/>
                <w:lang w:val="sr-Cyrl-CS"/>
              </w:rPr>
              <w:t>GHG</w:t>
            </w:r>
            <w:r w:rsidR="00EE5CF7" w:rsidRPr="00895819">
              <w:rPr>
                <w:sz w:val="22"/>
                <w:szCs w:val="22"/>
                <w:lang w:val="sr-Cyrl-CS"/>
              </w:rPr>
              <w:t>. Имплементациј</w:t>
            </w:r>
            <w:r w:rsidR="006E11CF" w:rsidRPr="00895819">
              <w:rPr>
                <w:sz w:val="22"/>
                <w:szCs w:val="22"/>
                <w:lang w:val="sr-Cyrl-CS"/>
              </w:rPr>
              <w:t>а</w:t>
            </w:r>
            <w:r w:rsidR="00EE5CF7" w:rsidRPr="00895819">
              <w:rPr>
                <w:sz w:val="22"/>
                <w:szCs w:val="22"/>
                <w:lang w:val="sr-Cyrl-CS"/>
              </w:rPr>
              <w:t xml:space="preserve"> </w:t>
            </w:r>
            <w:r w:rsidR="00EE5CF7" w:rsidRPr="00895819">
              <w:rPr>
                <w:sz w:val="22"/>
                <w:szCs w:val="22"/>
                <w:lang w:val="sr-Cyrl-CS"/>
              </w:rPr>
              <w:lastRenderedPageBreak/>
              <w:t>система праћења за регулисане индустрије</w:t>
            </w:r>
            <w:r w:rsidR="00B16F8D" w:rsidRPr="00895819">
              <w:rPr>
                <w:sz w:val="22"/>
                <w:szCs w:val="22"/>
                <w:lang w:val="sr-Cyrl-CS"/>
              </w:rPr>
              <w:t xml:space="preserve">. </w:t>
            </w:r>
            <w:r w:rsidR="00EE5CF7" w:rsidRPr="00895819">
              <w:rPr>
                <w:sz w:val="22"/>
                <w:szCs w:val="22"/>
                <w:lang w:val="sr-Cyrl-CS"/>
              </w:rPr>
              <w:t>Објављивање извештаја на сваке две године о транспарентности у складу са париским споразумом</w:t>
            </w:r>
            <w:r w:rsidR="00B16F8D" w:rsidRPr="00895819">
              <w:rPr>
                <w:sz w:val="22"/>
                <w:szCs w:val="22"/>
                <w:lang w:val="sr-Cyrl-CS"/>
              </w:rPr>
              <w:t>.</w:t>
            </w:r>
          </w:p>
        </w:tc>
      </w:tr>
    </w:tbl>
    <w:p w14:paraId="3E7E1157" w14:textId="5DE1C42E" w:rsidR="00B16F8D" w:rsidRPr="00895819" w:rsidRDefault="00EE5CF7" w:rsidP="00B16F8D">
      <w:pPr>
        <w:pStyle w:val="comtexte"/>
        <w:numPr>
          <w:ilvl w:val="0"/>
          <w:numId w:val="0"/>
        </w:numPr>
        <w:spacing w:after="0"/>
        <w:rPr>
          <w:sz w:val="22"/>
          <w:szCs w:val="22"/>
          <w:lang w:val="sr-Cyrl-CS"/>
        </w:rPr>
      </w:pPr>
      <w:r w:rsidRPr="00895819">
        <w:rPr>
          <w:sz w:val="22"/>
          <w:szCs w:val="22"/>
          <w:lang w:val="sr-Cyrl-CS"/>
        </w:rPr>
        <w:lastRenderedPageBreak/>
        <w:t>Показатељи за свак</w:t>
      </w:r>
      <w:r w:rsidR="006E11CF" w:rsidRPr="00895819">
        <w:rPr>
          <w:sz w:val="22"/>
          <w:szCs w:val="22"/>
          <w:lang w:val="sr-Cyrl-CS"/>
        </w:rPr>
        <w:t>у</w:t>
      </w:r>
      <w:r w:rsidRPr="00895819">
        <w:rPr>
          <w:sz w:val="22"/>
          <w:szCs w:val="22"/>
          <w:lang w:val="sr-Cyrl-CS"/>
        </w:rPr>
        <w:t xml:space="preserve"> од области резултата конципирани су инкрементално</w:t>
      </w:r>
      <w:r w:rsidR="00B16F8D" w:rsidRPr="00895819">
        <w:rPr>
          <w:sz w:val="22"/>
          <w:szCs w:val="22"/>
          <w:lang w:val="sr-Cyrl-CS"/>
        </w:rPr>
        <w:t xml:space="preserve">: </w:t>
      </w:r>
      <w:r w:rsidRPr="00895819">
        <w:rPr>
          <w:sz w:val="22"/>
          <w:szCs w:val="22"/>
          <w:lang w:val="sr-Cyrl-CS"/>
        </w:rPr>
        <w:t xml:space="preserve">сваки од њих </w:t>
      </w:r>
      <w:r w:rsidR="005E4E4C" w:rsidRPr="00895819">
        <w:rPr>
          <w:sz w:val="22"/>
          <w:szCs w:val="22"/>
          <w:lang w:val="sr-Cyrl-CS"/>
        </w:rPr>
        <w:t>означава нову фазу за даље јачање зеленог планирања у Србији. Као такви, неки се фокусирају на „класичне</w:t>
      </w:r>
      <w:r w:rsidR="007C25D7" w:rsidRPr="00895819">
        <w:rPr>
          <w:lang w:val="sr-Cyrl-CS"/>
        </w:rPr>
        <w:t>”</w:t>
      </w:r>
      <w:r w:rsidR="005E4E4C" w:rsidRPr="00895819">
        <w:rPr>
          <w:sz w:val="22"/>
          <w:szCs w:val="22"/>
          <w:lang w:val="sr-Cyrl-CS"/>
        </w:rPr>
        <w:t xml:space="preserve"> основе (тј. </w:t>
      </w:r>
      <w:r w:rsidR="009C7382" w:rsidRPr="00895819">
        <w:rPr>
          <w:sz w:val="22"/>
          <w:szCs w:val="22"/>
          <w:lang w:val="sr-Cyrl-CS"/>
        </w:rPr>
        <w:t xml:space="preserve">оне </w:t>
      </w:r>
      <w:r w:rsidR="005E4E4C" w:rsidRPr="00895819">
        <w:rPr>
          <w:sz w:val="22"/>
          <w:szCs w:val="22"/>
          <w:lang w:val="sr-Cyrl-CS"/>
        </w:rPr>
        <w:t>које нису специфичне за еколошку транзицију) јавних финансија</w:t>
      </w:r>
      <w:r w:rsidR="00B16F8D" w:rsidRPr="00895819">
        <w:rPr>
          <w:sz w:val="22"/>
          <w:szCs w:val="22"/>
          <w:lang w:val="sr-Cyrl-CS"/>
        </w:rPr>
        <w:t xml:space="preserve">. </w:t>
      </w:r>
    </w:p>
    <w:p w14:paraId="056C0103" w14:textId="272AA2CA" w:rsidR="00B16F8D" w:rsidRPr="00895819" w:rsidRDefault="005E4E4C" w:rsidP="00B16F8D">
      <w:pPr>
        <w:pStyle w:val="comtexte"/>
        <w:ind w:left="0" w:firstLine="284"/>
        <w:rPr>
          <w:b/>
          <w:sz w:val="22"/>
          <w:szCs w:val="22"/>
          <w:lang w:val="sr-Cyrl-CS"/>
        </w:rPr>
      </w:pPr>
      <w:r w:rsidRPr="00895819">
        <w:rPr>
          <w:b/>
          <w:sz w:val="22"/>
          <w:szCs w:val="22"/>
          <w:lang w:val="sr-Cyrl-CS"/>
        </w:rPr>
        <w:t xml:space="preserve">Програм се заснива на Оквиру расхода у вредности од </w:t>
      </w:r>
      <w:r w:rsidR="009750DD" w:rsidRPr="00895819">
        <w:rPr>
          <w:b/>
          <w:sz w:val="22"/>
          <w:szCs w:val="22"/>
          <w:lang w:val="sr-Cyrl-CS"/>
        </w:rPr>
        <w:t>163</w:t>
      </w:r>
      <w:r w:rsidRPr="00895819">
        <w:rPr>
          <w:b/>
          <w:sz w:val="22"/>
          <w:szCs w:val="22"/>
          <w:lang w:val="sr-Cyrl-CS"/>
        </w:rPr>
        <w:t xml:space="preserve"> милиона евра</w:t>
      </w:r>
      <w:r w:rsidR="00B16F8D" w:rsidRPr="00895819">
        <w:rPr>
          <w:b/>
          <w:sz w:val="22"/>
          <w:szCs w:val="22"/>
          <w:lang w:val="sr-Cyrl-CS"/>
        </w:rPr>
        <w:t>.</w:t>
      </w:r>
      <w:r w:rsidR="00B16F8D" w:rsidRPr="00895819">
        <w:rPr>
          <w:sz w:val="22"/>
          <w:szCs w:val="22"/>
          <w:lang w:val="sr-Cyrl-CS"/>
        </w:rPr>
        <w:t xml:space="preserve"> </w:t>
      </w:r>
      <w:r w:rsidRPr="00895819">
        <w:rPr>
          <w:sz w:val="22"/>
          <w:szCs w:val="22"/>
          <w:lang w:val="sr-Cyrl-CS"/>
        </w:rPr>
        <w:t>Овај Оквир расхода има за циљ да осигура значајне инвестиције потребне за спровођење Зелене агенде</w:t>
      </w:r>
      <w:r w:rsidR="00B16F8D" w:rsidRPr="00895819">
        <w:rPr>
          <w:sz w:val="22"/>
          <w:szCs w:val="22"/>
          <w:lang w:val="sr-Cyrl-CS"/>
        </w:rPr>
        <w:t xml:space="preserve">. </w:t>
      </w:r>
      <w:r w:rsidRPr="00895819">
        <w:rPr>
          <w:sz w:val="22"/>
          <w:szCs w:val="22"/>
          <w:lang w:val="sr-Cyrl-CS"/>
        </w:rPr>
        <w:t>Углавном подржава сту</w:t>
      </w:r>
      <w:r w:rsidR="009C7382" w:rsidRPr="00895819">
        <w:rPr>
          <w:sz w:val="22"/>
          <w:szCs w:val="22"/>
          <w:lang w:val="sr-Cyrl-CS"/>
        </w:rPr>
        <w:t>б</w:t>
      </w:r>
      <w:r w:rsidRPr="00895819">
        <w:rPr>
          <w:sz w:val="22"/>
          <w:szCs w:val="22"/>
          <w:lang w:val="sr-Cyrl-CS"/>
        </w:rPr>
        <w:t xml:space="preserve"> Зелене агенде</w:t>
      </w:r>
      <w:r w:rsidR="00B16F8D" w:rsidRPr="00895819">
        <w:rPr>
          <w:sz w:val="22"/>
          <w:szCs w:val="22"/>
          <w:lang w:val="sr-Cyrl-CS"/>
        </w:rPr>
        <w:t xml:space="preserve"> </w:t>
      </w:r>
      <w:r w:rsidR="007C25D7" w:rsidRPr="00895819">
        <w:rPr>
          <w:sz w:val="22"/>
          <w:szCs w:val="22"/>
          <w:lang w:val="sr-Cyrl-CS"/>
        </w:rPr>
        <w:t>„</w:t>
      </w:r>
      <w:r w:rsidRPr="00895819">
        <w:rPr>
          <w:sz w:val="22"/>
          <w:szCs w:val="22"/>
          <w:lang w:val="sr-Cyrl-CS"/>
        </w:rPr>
        <w:t>Клима, енергетика и мобилност</w:t>
      </w:r>
      <w:r w:rsidR="00B16F8D" w:rsidRPr="00895819">
        <w:rPr>
          <w:sz w:val="22"/>
          <w:szCs w:val="22"/>
          <w:lang w:val="sr-Cyrl-CS"/>
        </w:rPr>
        <w:t>” (</w:t>
      </w:r>
      <w:r w:rsidR="009750DD" w:rsidRPr="00895819">
        <w:rPr>
          <w:sz w:val="22"/>
          <w:szCs w:val="22"/>
          <w:lang w:val="sr-Cyrl-CS"/>
        </w:rPr>
        <w:t>63</w:t>
      </w:r>
      <w:r w:rsidR="00B16F8D" w:rsidRPr="00895819">
        <w:rPr>
          <w:sz w:val="22"/>
          <w:szCs w:val="22"/>
          <w:lang w:val="sr-Cyrl-CS"/>
        </w:rPr>
        <w:t xml:space="preserve">% </w:t>
      </w:r>
      <w:r w:rsidRPr="00895819">
        <w:rPr>
          <w:sz w:val="22"/>
          <w:szCs w:val="22"/>
          <w:lang w:val="sr-Cyrl-CS"/>
        </w:rPr>
        <w:t>расхода</w:t>
      </w:r>
      <w:r w:rsidR="00B16F8D" w:rsidRPr="00895819">
        <w:rPr>
          <w:sz w:val="22"/>
          <w:szCs w:val="22"/>
          <w:lang w:val="sr-Cyrl-CS"/>
        </w:rPr>
        <w:t xml:space="preserve">) </w:t>
      </w:r>
      <w:r w:rsidRPr="00895819">
        <w:rPr>
          <w:sz w:val="22"/>
          <w:szCs w:val="22"/>
          <w:lang w:val="sr-Cyrl-CS"/>
        </w:rPr>
        <w:t>и углавном га чине инвестиције као што су изградња/реновирање</w:t>
      </w:r>
      <w:r w:rsidR="00B16F8D" w:rsidRPr="00895819">
        <w:rPr>
          <w:sz w:val="22"/>
          <w:szCs w:val="22"/>
          <w:lang w:val="sr-Cyrl-CS"/>
        </w:rPr>
        <w:t xml:space="preserve"> (</w:t>
      </w:r>
      <w:r w:rsidR="009750DD" w:rsidRPr="00895819">
        <w:rPr>
          <w:sz w:val="22"/>
          <w:szCs w:val="22"/>
          <w:lang w:val="sr-Cyrl-CS"/>
        </w:rPr>
        <w:t>62</w:t>
      </w:r>
      <w:r w:rsidR="00B16F8D" w:rsidRPr="00895819">
        <w:rPr>
          <w:sz w:val="22"/>
          <w:szCs w:val="22"/>
          <w:lang w:val="sr-Cyrl-CS"/>
        </w:rPr>
        <w:t xml:space="preserve">%), </w:t>
      </w:r>
      <w:r w:rsidRPr="00895819">
        <w:rPr>
          <w:sz w:val="22"/>
          <w:szCs w:val="22"/>
          <w:lang w:val="sr-Cyrl-CS"/>
        </w:rPr>
        <w:t>набавка опреме</w:t>
      </w:r>
      <w:r w:rsidR="00B16F8D" w:rsidRPr="00895819">
        <w:rPr>
          <w:sz w:val="22"/>
          <w:szCs w:val="22"/>
          <w:lang w:val="sr-Cyrl-CS"/>
        </w:rPr>
        <w:t xml:space="preserve"> (</w:t>
      </w:r>
      <w:r w:rsidR="009750DD" w:rsidRPr="00895819">
        <w:rPr>
          <w:sz w:val="22"/>
          <w:szCs w:val="22"/>
          <w:lang w:val="sr-Cyrl-CS"/>
        </w:rPr>
        <w:t>11</w:t>
      </w:r>
      <w:r w:rsidR="00B16F8D" w:rsidRPr="00895819">
        <w:rPr>
          <w:sz w:val="22"/>
          <w:szCs w:val="22"/>
          <w:lang w:val="sr-Cyrl-CS"/>
        </w:rPr>
        <w:t xml:space="preserve">%) </w:t>
      </w:r>
      <w:r w:rsidRPr="00895819">
        <w:rPr>
          <w:sz w:val="22"/>
          <w:szCs w:val="22"/>
          <w:lang w:val="sr-Cyrl-CS"/>
        </w:rPr>
        <w:t xml:space="preserve">или професионални </w:t>
      </w:r>
      <w:r w:rsidR="009C7382" w:rsidRPr="00895819">
        <w:rPr>
          <w:sz w:val="22"/>
          <w:szCs w:val="22"/>
          <w:lang w:val="sr-Cyrl-CS"/>
        </w:rPr>
        <w:t>с</w:t>
      </w:r>
      <w:r w:rsidRPr="00895819">
        <w:rPr>
          <w:sz w:val="22"/>
          <w:szCs w:val="22"/>
          <w:lang w:val="sr-Cyrl-CS"/>
        </w:rPr>
        <w:t>о</w:t>
      </w:r>
      <w:r w:rsidR="009C7382" w:rsidRPr="00895819">
        <w:rPr>
          <w:sz w:val="22"/>
          <w:szCs w:val="22"/>
          <w:lang w:val="sr-Cyrl-CS"/>
        </w:rPr>
        <w:t>ф</w:t>
      </w:r>
      <w:r w:rsidRPr="00895819">
        <w:rPr>
          <w:sz w:val="22"/>
          <w:szCs w:val="22"/>
          <w:lang w:val="sr-Cyrl-CS"/>
        </w:rPr>
        <w:t>твери</w:t>
      </w:r>
      <w:r w:rsidR="00B16F8D" w:rsidRPr="00895819">
        <w:rPr>
          <w:sz w:val="22"/>
          <w:szCs w:val="22"/>
          <w:lang w:val="sr-Cyrl-CS"/>
        </w:rPr>
        <w:t xml:space="preserve"> (</w:t>
      </w:r>
      <w:r w:rsidR="009750DD" w:rsidRPr="00895819">
        <w:rPr>
          <w:sz w:val="22"/>
          <w:szCs w:val="22"/>
          <w:lang w:val="sr-Cyrl-CS"/>
        </w:rPr>
        <w:t>10</w:t>
      </w:r>
      <w:r w:rsidR="00B16F8D" w:rsidRPr="00895819">
        <w:rPr>
          <w:sz w:val="22"/>
          <w:szCs w:val="22"/>
          <w:lang w:val="sr-Cyrl-CS"/>
        </w:rPr>
        <w:t xml:space="preserve">%). </w:t>
      </w:r>
      <w:r w:rsidRPr="00895819">
        <w:rPr>
          <w:sz w:val="22"/>
          <w:szCs w:val="22"/>
          <w:lang w:val="sr-Cyrl-CS"/>
        </w:rPr>
        <w:t xml:space="preserve">Главна институција у Оквиру расхода је </w:t>
      </w:r>
      <w:r w:rsidR="00F76D97" w:rsidRPr="00895819">
        <w:rPr>
          <w:sz w:val="22"/>
          <w:szCs w:val="22"/>
          <w:lang w:val="sr-Cyrl-CS"/>
        </w:rPr>
        <w:t>Министарство грађевинарства, саобраћаја и инфраструктуре</w:t>
      </w:r>
      <w:r w:rsidR="00B16F8D" w:rsidRPr="00895819">
        <w:rPr>
          <w:sz w:val="22"/>
          <w:szCs w:val="22"/>
          <w:lang w:val="sr-Cyrl-CS"/>
        </w:rPr>
        <w:t xml:space="preserve"> (</w:t>
      </w:r>
      <w:r w:rsidRPr="00895819">
        <w:rPr>
          <w:sz w:val="22"/>
          <w:szCs w:val="22"/>
          <w:lang w:val="sr-Cyrl-CS"/>
        </w:rPr>
        <w:t>МГСИ</w:t>
      </w:r>
      <w:r w:rsidR="00B16F8D" w:rsidRPr="00895819">
        <w:rPr>
          <w:sz w:val="22"/>
          <w:szCs w:val="22"/>
          <w:lang w:val="sr-Cyrl-CS"/>
        </w:rPr>
        <w:t xml:space="preserve">). </w:t>
      </w:r>
      <w:r w:rsidRPr="00895819">
        <w:rPr>
          <w:sz w:val="22"/>
          <w:szCs w:val="22"/>
          <w:lang w:val="sr-Cyrl-CS"/>
        </w:rPr>
        <w:t xml:space="preserve">Овај Оквир расхода се односи на Кредит АФД-а и реализује се паралелно са оквиром расхода који користи ИБРД </w:t>
      </w:r>
      <w:r w:rsidR="00B16F8D" w:rsidRPr="00895819">
        <w:rPr>
          <w:sz w:val="22"/>
          <w:szCs w:val="22"/>
          <w:lang w:val="sr-Cyrl-CS"/>
        </w:rPr>
        <w:t xml:space="preserve">– </w:t>
      </w:r>
      <w:r w:rsidRPr="00895819">
        <w:rPr>
          <w:sz w:val="22"/>
          <w:szCs w:val="22"/>
          <w:lang w:val="sr-Cyrl-CS"/>
        </w:rPr>
        <w:t xml:space="preserve">који покрива само оперативне расходе и трансфере везане за </w:t>
      </w:r>
      <w:r w:rsidR="00D86FD2" w:rsidRPr="00895819">
        <w:rPr>
          <w:sz w:val="22"/>
          <w:szCs w:val="22"/>
          <w:lang w:val="sr-Cyrl-CS"/>
        </w:rPr>
        <w:t>Зелен</w:t>
      </w:r>
      <w:r w:rsidRPr="00895819">
        <w:rPr>
          <w:sz w:val="22"/>
          <w:szCs w:val="22"/>
          <w:lang w:val="sr-Cyrl-CS"/>
        </w:rPr>
        <w:t>у</w:t>
      </w:r>
      <w:r w:rsidR="00D86FD2" w:rsidRPr="00895819">
        <w:rPr>
          <w:sz w:val="22"/>
          <w:szCs w:val="22"/>
          <w:lang w:val="sr-Cyrl-CS"/>
        </w:rPr>
        <w:t xml:space="preserve"> агенд</w:t>
      </w:r>
      <w:r w:rsidRPr="00895819">
        <w:rPr>
          <w:sz w:val="22"/>
          <w:szCs w:val="22"/>
          <w:lang w:val="sr-Cyrl-CS"/>
        </w:rPr>
        <w:t>у</w:t>
      </w:r>
      <w:r w:rsidR="00B16F8D" w:rsidRPr="00895819">
        <w:rPr>
          <w:sz w:val="22"/>
          <w:szCs w:val="22"/>
          <w:lang w:val="sr-Cyrl-CS"/>
        </w:rPr>
        <w:t xml:space="preserve">. </w:t>
      </w:r>
      <w:r w:rsidRPr="00895819">
        <w:rPr>
          <w:sz w:val="22"/>
          <w:szCs w:val="22"/>
          <w:lang w:val="sr-Cyrl-CS"/>
        </w:rPr>
        <w:t>Заједно, ова два оквира расхода обухватају укупан износ од 491 милион евра, од чега 27% подржавају Суфинансијери</w:t>
      </w:r>
      <w:r w:rsidR="00B16F8D" w:rsidRPr="00895819">
        <w:rPr>
          <w:sz w:val="22"/>
          <w:szCs w:val="22"/>
          <w:lang w:val="sr-Cyrl-CS"/>
        </w:rPr>
        <w:t>.</w:t>
      </w:r>
    </w:p>
    <w:p w14:paraId="1B6F91BB" w14:textId="77777777" w:rsidR="00B16F8D" w:rsidRPr="00895819" w:rsidRDefault="001F0F01" w:rsidP="00B16F8D">
      <w:pPr>
        <w:pStyle w:val="comtexte"/>
        <w:ind w:left="0" w:firstLine="284"/>
        <w:rPr>
          <w:b/>
          <w:sz w:val="22"/>
          <w:szCs w:val="22"/>
          <w:lang w:val="sr-Cyrl-CS"/>
        </w:rPr>
      </w:pPr>
      <w:r w:rsidRPr="00895819">
        <w:rPr>
          <w:b/>
          <w:sz w:val="22"/>
          <w:szCs w:val="22"/>
          <w:lang w:val="sr-Cyrl-CS"/>
        </w:rPr>
        <w:t>Техничка помоћ ће се финансирати кроз Траншу техничке помоћи, са специфичним бесповратним средствима АФД-а паралелно са покретањем одабраних активности техничке помоћи.</w:t>
      </w:r>
      <w:r w:rsidR="00B16F8D" w:rsidRPr="00895819">
        <w:rPr>
          <w:sz w:val="22"/>
          <w:szCs w:val="22"/>
          <w:lang w:val="sr-Cyrl-CS"/>
        </w:rPr>
        <w:t xml:space="preserve"> </w:t>
      </w:r>
      <w:r w:rsidRPr="00895819">
        <w:rPr>
          <w:sz w:val="22"/>
          <w:szCs w:val="22"/>
          <w:lang w:val="sr-Cyrl-CS"/>
        </w:rPr>
        <w:t>Техничка помоћ биће усмерена на припрему методологија, модела, обука и стандарда неопходних за усклађивање ланца расхода са императивима зелене транзиције</w:t>
      </w:r>
      <w:r w:rsidR="00B16F8D" w:rsidRPr="00895819">
        <w:rPr>
          <w:sz w:val="22"/>
          <w:szCs w:val="22"/>
          <w:lang w:val="sr-Cyrl-CS"/>
        </w:rPr>
        <w:t xml:space="preserve">. </w:t>
      </w:r>
    </w:p>
    <w:p w14:paraId="22366AE8" w14:textId="77777777" w:rsidR="00B16F8D" w:rsidRPr="00895819" w:rsidRDefault="00B16F8D" w:rsidP="00B16F8D">
      <w:pPr>
        <w:pStyle w:val="corpstexte"/>
        <w:rPr>
          <w:sz w:val="22"/>
          <w:szCs w:val="22"/>
          <w:lang w:val="sr-Cyrl-CS"/>
        </w:rPr>
      </w:pPr>
    </w:p>
    <w:p w14:paraId="1CB0140F" w14:textId="2E12B13A" w:rsidR="00B16F8D" w:rsidRPr="00895819" w:rsidRDefault="00775997" w:rsidP="00B16F8D">
      <w:pPr>
        <w:spacing w:after="240"/>
        <w:rPr>
          <w:b/>
          <w:szCs w:val="22"/>
          <w:u w:val="single"/>
          <w:lang w:val="sr-Cyrl-CS"/>
        </w:rPr>
      </w:pPr>
      <w:r w:rsidRPr="00895819">
        <w:rPr>
          <w:b/>
          <w:szCs w:val="22"/>
          <w:u w:val="single"/>
          <w:lang w:val="sr-Cyrl-CS"/>
        </w:rPr>
        <w:t>Ф</w:t>
      </w:r>
      <w:r w:rsidR="00B16F8D" w:rsidRPr="00895819">
        <w:rPr>
          <w:b/>
          <w:szCs w:val="22"/>
          <w:u w:val="single"/>
          <w:lang w:val="sr-Cyrl-CS"/>
        </w:rPr>
        <w:t xml:space="preserve"> – </w:t>
      </w:r>
      <w:r w:rsidR="00281115" w:rsidRPr="00895819">
        <w:rPr>
          <w:b/>
          <w:szCs w:val="22"/>
          <w:u w:val="single"/>
          <w:lang w:val="sr-Cyrl-CS"/>
        </w:rPr>
        <w:t>ДЛИ Програма</w:t>
      </w:r>
    </w:p>
    <w:p w14:paraId="29FE4BC2" w14:textId="77777777" w:rsidR="00B16F8D" w:rsidRPr="00895819" w:rsidRDefault="00C91B70" w:rsidP="00B16F8D">
      <w:pPr>
        <w:pStyle w:val="comtexte"/>
        <w:ind w:left="0" w:firstLine="284"/>
        <w:rPr>
          <w:b/>
          <w:sz w:val="22"/>
          <w:szCs w:val="22"/>
          <w:lang w:val="sr-Cyrl-CS"/>
        </w:rPr>
      </w:pPr>
      <w:r w:rsidRPr="00895819">
        <w:rPr>
          <w:b/>
          <w:sz w:val="22"/>
          <w:szCs w:val="22"/>
          <w:lang w:val="sr-Cyrl-CS"/>
        </w:rPr>
        <w:t>Оквир резултата представља основу система праћења и евалуације</w:t>
      </w:r>
      <w:r w:rsidR="00B16F8D" w:rsidRPr="00895819">
        <w:rPr>
          <w:b/>
          <w:sz w:val="22"/>
          <w:szCs w:val="22"/>
          <w:lang w:val="sr-Cyrl-CS"/>
        </w:rPr>
        <w:t>.</w:t>
      </w:r>
      <w:r w:rsidR="00B16F8D" w:rsidRPr="00895819">
        <w:rPr>
          <w:sz w:val="22"/>
          <w:szCs w:val="22"/>
          <w:lang w:val="sr-Cyrl-CS"/>
        </w:rPr>
        <w:t xml:space="preserve"> </w:t>
      </w:r>
      <w:r w:rsidRPr="00895819">
        <w:rPr>
          <w:sz w:val="22"/>
          <w:szCs w:val="22"/>
          <w:lang w:val="sr-Cyrl-CS"/>
        </w:rPr>
        <w:t>Мапирањем к</w:t>
      </w:r>
      <w:r w:rsidR="00BD477C" w:rsidRPr="00895819">
        <w:rPr>
          <w:sz w:val="22"/>
          <w:szCs w:val="22"/>
          <w:lang w:val="sr-Cyrl-CS"/>
        </w:rPr>
        <w:t xml:space="preserve">ритичног пута за сваку област резултата, оквир резултата ће документовати напредак Операције и усмеравати имплементацију. Поступак обрачуна сваког показатеља </w:t>
      </w:r>
      <w:r w:rsidR="00B16F8D" w:rsidRPr="00895819">
        <w:rPr>
          <w:sz w:val="22"/>
          <w:szCs w:val="22"/>
          <w:lang w:val="sr-Cyrl-CS"/>
        </w:rPr>
        <w:t>(</w:t>
      </w:r>
      <w:r w:rsidR="00BD477C" w:rsidRPr="00895819">
        <w:rPr>
          <w:sz w:val="22"/>
          <w:szCs w:val="22"/>
          <w:lang w:val="sr-Cyrl-CS"/>
        </w:rPr>
        <w:t>формула, извор података, одговорност</w:t>
      </w:r>
      <w:r w:rsidR="00B16F8D" w:rsidRPr="00895819">
        <w:rPr>
          <w:sz w:val="22"/>
          <w:szCs w:val="22"/>
          <w:lang w:val="sr-Cyrl-CS"/>
        </w:rPr>
        <w:t xml:space="preserve">) </w:t>
      </w:r>
      <w:r w:rsidR="00BD477C" w:rsidRPr="00895819">
        <w:rPr>
          <w:sz w:val="22"/>
          <w:szCs w:val="22"/>
          <w:lang w:val="sr-Cyrl-CS"/>
        </w:rPr>
        <w:t>детаљно је утврђен у Протоколу за верификацију који ће бити саставни део ОИМ-а</w:t>
      </w:r>
      <w:r w:rsidR="00B16F8D" w:rsidRPr="00895819">
        <w:rPr>
          <w:sz w:val="22"/>
          <w:szCs w:val="22"/>
          <w:lang w:val="sr-Cyrl-CS"/>
        </w:rPr>
        <w:t xml:space="preserve">. </w:t>
      </w:r>
    </w:p>
    <w:p w14:paraId="1BAD0FD2" w14:textId="77777777" w:rsidR="00B00CEE" w:rsidRPr="00895819" w:rsidRDefault="00BD477C" w:rsidP="00B00CEE">
      <w:pPr>
        <w:pStyle w:val="comtexte"/>
        <w:spacing w:after="240"/>
        <w:ind w:left="0" w:firstLine="284"/>
        <w:rPr>
          <w:b/>
          <w:sz w:val="22"/>
          <w:szCs w:val="22"/>
          <w:lang w:val="sr-Cyrl-CS"/>
        </w:rPr>
      </w:pPr>
      <w:r w:rsidRPr="00895819">
        <w:rPr>
          <w:b/>
          <w:sz w:val="22"/>
          <w:szCs w:val="22"/>
          <w:lang w:val="sr-Cyrl-CS"/>
        </w:rPr>
        <w:t>Републички секретаријат за јавне политике (РСЈП) и независни ревизор за ДЛИ #1 биће задужени за верификацију постигнућа показатеља</w:t>
      </w:r>
      <w:r w:rsidR="00B16F8D" w:rsidRPr="00895819">
        <w:rPr>
          <w:sz w:val="22"/>
          <w:szCs w:val="22"/>
          <w:lang w:val="sr-Cyrl-CS"/>
        </w:rPr>
        <w:t xml:space="preserve">. </w:t>
      </w:r>
      <w:r w:rsidRPr="00895819">
        <w:rPr>
          <w:sz w:val="22"/>
          <w:szCs w:val="22"/>
          <w:lang w:val="sr-Cyrl-CS"/>
        </w:rPr>
        <w:t xml:space="preserve">РСЈП ће верификовати и извештавати о имплементацији ДЛИ </w:t>
      </w:r>
      <w:r w:rsidR="00B16F8D" w:rsidRPr="00895819">
        <w:rPr>
          <w:sz w:val="22"/>
          <w:szCs w:val="22"/>
          <w:lang w:val="sr-Cyrl-CS"/>
        </w:rPr>
        <w:t xml:space="preserve">2 </w:t>
      </w:r>
      <w:r w:rsidRPr="00895819">
        <w:rPr>
          <w:sz w:val="22"/>
          <w:szCs w:val="22"/>
          <w:lang w:val="sr-Cyrl-CS"/>
        </w:rPr>
        <w:t>-</w:t>
      </w:r>
      <w:r w:rsidR="00B16F8D" w:rsidRPr="00895819">
        <w:rPr>
          <w:sz w:val="22"/>
          <w:szCs w:val="22"/>
          <w:lang w:val="sr-Cyrl-CS"/>
        </w:rPr>
        <w:t xml:space="preserve"> 8. </w:t>
      </w:r>
      <w:r w:rsidRPr="00895819">
        <w:rPr>
          <w:sz w:val="22"/>
          <w:szCs w:val="22"/>
          <w:lang w:val="sr-Cyrl-CS"/>
        </w:rPr>
        <w:t xml:space="preserve">За реализацију овог задатка биће обезбеђена Техничка помоћ. Независни агент за верификацију биће задужен за верификацију ДЛИ </w:t>
      </w:r>
      <w:r w:rsidR="00B16F8D" w:rsidRPr="00895819">
        <w:rPr>
          <w:sz w:val="22"/>
          <w:szCs w:val="22"/>
          <w:lang w:val="sr-Cyrl-CS"/>
        </w:rPr>
        <w:t xml:space="preserve">1– </w:t>
      </w:r>
      <w:r w:rsidRPr="00895819">
        <w:rPr>
          <w:sz w:val="22"/>
          <w:szCs w:val="22"/>
          <w:lang w:val="sr-Cyrl-CS"/>
        </w:rPr>
        <w:t xml:space="preserve">а РСЈП је пилот институција </w:t>
      </w:r>
      <w:r w:rsidR="00B16F8D" w:rsidRPr="00895819">
        <w:rPr>
          <w:sz w:val="22"/>
          <w:szCs w:val="22"/>
          <w:lang w:val="sr-Cyrl-CS"/>
        </w:rPr>
        <w:t xml:space="preserve">– </w:t>
      </w:r>
      <w:r w:rsidRPr="00895819">
        <w:rPr>
          <w:sz w:val="22"/>
          <w:szCs w:val="22"/>
          <w:lang w:val="sr-Cyrl-CS"/>
        </w:rPr>
        <w:t>како би се избегао било какав конфликт интереса</w:t>
      </w:r>
      <w:r w:rsidR="00B16F8D" w:rsidRPr="00895819">
        <w:rPr>
          <w:sz w:val="22"/>
          <w:szCs w:val="22"/>
          <w:lang w:val="sr-Cyrl-CS"/>
        </w:rPr>
        <w:t xml:space="preserve">. </w:t>
      </w:r>
    </w:p>
    <w:p w14:paraId="5944A38F" w14:textId="3BE8AFA8" w:rsidR="00B00CEE" w:rsidRPr="00895819" w:rsidRDefault="00E80F76" w:rsidP="00B16F8D">
      <w:pPr>
        <w:rPr>
          <w:b/>
          <w:szCs w:val="22"/>
          <w:u w:val="single"/>
          <w:lang w:val="sr-Cyrl-CS"/>
        </w:rPr>
      </w:pPr>
      <w:r w:rsidRPr="00895819">
        <w:rPr>
          <w:b/>
          <w:szCs w:val="22"/>
          <w:u w:val="single"/>
          <w:lang w:val="sr-Cyrl-CS"/>
        </w:rPr>
        <w:t>Г</w:t>
      </w:r>
      <w:r w:rsidR="00B00CEE" w:rsidRPr="00895819">
        <w:rPr>
          <w:b/>
          <w:szCs w:val="22"/>
          <w:u w:val="single"/>
          <w:lang w:val="sr-Cyrl-CS"/>
        </w:rPr>
        <w:t xml:space="preserve"> – </w:t>
      </w:r>
      <w:r w:rsidR="00CF07D3" w:rsidRPr="00895819">
        <w:rPr>
          <w:b/>
          <w:szCs w:val="22"/>
          <w:u w:val="single"/>
          <w:lang w:val="sr-Cyrl-CS"/>
        </w:rPr>
        <w:t>Техничка помоћ</w:t>
      </w:r>
    </w:p>
    <w:p w14:paraId="39438E99" w14:textId="77777777" w:rsidR="00B00CEE" w:rsidRPr="00895819" w:rsidRDefault="00B00CEE" w:rsidP="00B16F8D">
      <w:pPr>
        <w:rPr>
          <w:b/>
          <w:szCs w:val="22"/>
          <w:u w:val="single"/>
          <w:lang w:val="sr-Cyrl-CS"/>
        </w:rPr>
      </w:pPr>
    </w:p>
    <w:p w14:paraId="6FC261C4" w14:textId="77777777" w:rsidR="00B00CEE" w:rsidRPr="00895819" w:rsidRDefault="00CF07D3" w:rsidP="00B16F8D">
      <w:pPr>
        <w:rPr>
          <w:szCs w:val="22"/>
          <w:lang w:val="sr-Cyrl-CS"/>
        </w:rPr>
      </w:pPr>
      <w:r w:rsidRPr="00895819">
        <w:rPr>
          <w:szCs w:val="22"/>
          <w:lang w:val="sr-Cyrl-CS"/>
        </w:rPr>
        <w:t xml:space="preserve">Техничку помоћ коју ће заједнички финансирати АФД </w:t>
      </w:r>
      <w:r w:rsidR="002562F4" w:rsidRPr="00895819">
        <w:rPr>
          <w:szCs w:val="22"/>
          <w:lang w:val="sr-Cyrl-CS"/>
        </w:rPr>
        <w:t>(</w:t>
      </w:r>
      <w:r w:rsidRPr="00895819">
        <w:rPr>
          <w:szCs w:val="22"/>
          <w:lang w:val="sr-Cyrl-CS"/>
        </w:rPr>
        <w:t>кроз Траншу техничке помоћи</w:t>
      </w:r>
      <w:r w:rsidR="002562F4" w:rsidRPr="00895819">
        <w:rPr>
          <w:szCs w:val="22"/>
          <w:lang w:val="sr-Cyrl-CS"/>
        </w:rPr>
        <w:t>)</w:t>
      </w:r>
      <w:r w:rsidRPr="00895819">
        <w:rPr>
          <w:szCs w:val="22"/>
          <w:lang w:val="sr-Cyrl-CS"/>
        </w:rPr>
        <w:t xml:space="preserve"> и зајам ИБРД-а, састоји се, између осталог, из следећих активности које ће пружити подршку имплементацији Програма</w:t>
      </w:r>
      <w:r w:rsidR="00B00CEE" w:rsidRPr="00895819">
        <w:rPr>
          <w:szCs w:val="22"/>
          <w:lang w:val="sr-Cyrl-CS"/>
        </w:rPr>
        <w:t>:</w:t>
      </w:r>
    </w:p>
    <w:p w14:paraId="0F2D8269" w14:textId="6ADFF498" w:rsidR="009525F0" w:rsidRPr="00895819" w:rsidRDefault="00E80F76" w:rsidP="00E80F76">
      <w:pPr>
        <w:pStyle w:val="BodyText"/>
        <w:spacing w:after="0"/>
        <w:ind w:left="1413" w:hanging="705"/>
        <w:rPr>
          <w:szCs w:val="22"/>
          <w:lang w:val="sr-Cyrl-CS"/>
        </w:rPr>
      </w:pPr>
      <w:r w:rsidRPr="00895819">
        <w:rPr>
          <w:szCs w:val="22"/>
          <w:lang w:val="sr-Cyrl-CS"/>
        </w:rPr>
        <w:t>(а)</w:t>
      </w:r>
      <w:r w:rsidRPr="00895819">
        <w:rPr>
          <w:szCs w:val="22"/>
          <w:lang w:val="sr-Cyrl-CS"/>
        </w:rPr>
        <w:tab/>
      </w:r>
      <w:r w:rsidR="00CF07D3" w:rsidRPr="00895819">
        <w:rPr>
          <w:szCs w:val="22"/>
          <w:lang w:val="sr-Cyrl-CS"/>
        </w:rPr>
        <w:t xml:space="preserve">обезбеђивање техничке помоћи, обуке и оперативних трошкова МФ, РСЈП, МЗЖС, РДИ и </w:t>
      </w:r>
      <w:r w:rsidR="00832C76" w:rsidRPr="00895819">
        <w:rPr>
          <w:szCs w:val="22"/>
          <w:lang w:val="sr-Cyrl-CS"/>
        </w:rPr>
        <w:t>К</w:t>
      </w:r>
      <w:r w:rsidR="00CF07D3" w:rsidRPr="00895819">
        <w:rPr>
          <w:szCs w:val="22"/>
          <w:lang w:val="sr-Cyrl-CS"/>
        </w:rPr>
        <w:t xml:space="preserve">ЈН </w:t>
      </w:r>
      <w:r w:rsidR="00D97D9A" w:rsidRPr="00895819">
        <w:rPr>
          <w:szCs w:val="22"/>
          <w:lang w:val="sr-Cyrl-CS"/>
        </w:rPr>
        <w:t>за потребе управљања Операцијом, имплементације, праћења и евалуације, укључујући и трошкове Агента за верификацију</w:t>
      </w:r>
      <w:r w:rsidR="009525F0" w:rsidRPr="00895819">
        <w:rPr>
          <w:szCs w:val="22"/>
          <w:lang w:val="sr-Cyrl-CS"/>
        </w:rPr>
        <w:t xml:space="preserve">; </w:t>
      </w:r>
    </w:p>
    <w:p w14:paraId="5FF0A054" w14:textId="77777777" w:rsidR="009525F0" w:rsidRPr="00895819" w:rsidRDefault="009525F0" w:rsidP="001C0C03">
      <w:pPr>
        <w:pStyle w:val="BodyText"/>
        <w:spacing w:after="0"/>
        <w:rPr>
          <w:szCs w:val="22"/>
          <w:lang w:val="sr-Cyrl-CS"/>
        </w:rPr>
      </w:pPr>
    </w:p>
    <w:p w14:paraId="2D439A79" w14:textId="264E2DAB" w:rsidR="009525F0" w:rsidRPr="00895819" w:rsidRDefault="00E80F76" w:rsidP="00E80F76">
      <w:pPr>
        <w:pStyle w:val="BodyText"/>
        <w:spacing w:after="0"/>
        <w:ind w:firstLine="708"/>
        <w:rPr>
          <w:szCs w:val="22"/>
          <w:lang w:val="sr-Cyrl-CS"/>
        </w:rPr>
      </w:pPr>
      <w:r w:rsidRPr="00895819">
        <w:rPr>
          <w:szCs w:val="22"/>
          <w:lang w:val="sr-Cyrl-CS"/>
        </w:rPr>
        <w:t>(б)</w:t>
      </w:r>
      <w:r w:rsidRPr="00895819">
        <w:rPr>
          <w:szCs w:val="22"/>
          <w:lang w:val="sr-Cyrl-CS"/>
        </w:rPr>
        <w:tab/>
      </w:r>
      <w:r w:rsidR="00D97D9A" w:rsidRPr="00895819">
        <w:rPr>
          <w:szCs w:val="22"/>
          <w:lang w:val="sr-Cyrl-CS"/>
        </w:rPr>
        <w:t>припрема приручника и материјала за обуку</w:t>
      </w:r>
      <w:r w:rsidR="009525F0" w:rsidRPr="00895819">
        <w:rPr>
          <w:szCs w:val="22"/>
          <w:lang w:val="sr-Cyrl-CS"/>
        </w:rPr>
        <w:t xml:space="preserve">; </w:t>
      </w:r>
    </w:p>
    <w:p w14:paraId="1589D346" w14:textId="77777777" w:rsidR="009525F0" w:rsidRPr="00895819" w:rsidRDefault="009525F0" w:rsidP="001C0C03">
      <w:pPr>
        <w:pStyle w:val="BodyText"/>
        <w:spacing w:after="0"/>
        <w:ind w:left="1440"/>
        <w:rPr>
          <w:szCs w:val="22"/>
          <w:lang w:val="sr-Cyrl-CS"/>
        </w:rPr>
      </w:pPr>
    </w:p>
    <w:p w14:paraId="637AEA90" w14:textId="20F2F3DE" w:rsidR="009525F0" w:rsidRPr="00895819" w:rsidRDefault="00E80F76" w:rsidP="00E80F76">
      <w:pPr>
        <w:pStyle w:val="BodyText"/>
        <w:spacing w:after="0"/>
        <w:ind w:left="1413" w:hanging="705"/>
        <w:rPr>
          <w:szCs w:val="22"/>
          <w:lang w:val="sr-Cyrl-CS"/>
        </w:rPr>
      </w:pPr>
      <w:r w:rsidRPr="00895819">
        <w:rPr>
          <w:szCs w:val="22"/>
          <w:lang w:val="sr-Cyrl-CS"/>
        </w:rPr>
        <w:t>(ц)</w:t>
      </w:r>
      <w:r w:rsidRPr="00895819">
        <w:rPr>
          <w:szCs w:val="22"/>
          <w:lang w:val="sr-Cyrl-CS"/>
        </w:rPr>
        <w:tab/>
      </w:r>
      <w:r w:rsidR="00B46C08" w:rsidRPr="00895819">
        <w:rPr>
          <w:szCs w:val="22"/>
          <w:lang w:val="sr-Cyrl-CS"/>
        </w:rPr>
        <w:t>циљане активности изградње капацитета у циљу подршке имплементацији активности</w:t>
      </w:r>
      <w:r w:rsidR="009525F0" w:rsidRPr="00895819">
        <w:rPr>
          <w:szCs w:val="22"/>
          <w:lang w:val="sr-Cyrl-CS"/>
        </w:rPr>
        <w:t>;</w:t>
      </w:r>
    </w:p>
    <w:p w14:paraId="7D8570BF" w14:textId="77777777" w:rsidR="009525F0" w:rsidRPr="00895819" w:rsidRDefault="009525F0" w:rsidP="001C0C03">
      <w:pPr>
        <w:pStyle w:val="BodyText"/>
        <w:spacing w:after="0"/>
        <w:ind w:left="1440"/>
        <w:rPr>
          <w:szCs w:val="22"/>
          <w:lang w:val="sr-Cyrl-CS"/>
        </w:rPr>
      </w:pPr>
    </w:p>
    <w:p w14:paraId="034358CF" w14:textId="0766802B" w:rsidR="009525F0" w:rsidRPr="00895819" w:rsidRDefault="00E80F76" w:rsidP="00E80F76">
      <w:pPr>
        <w:pStyle w:val="BodyText"/>
        <w:spacing w:after="0"/>
        <w:ind w:left="1413" w:hanging="705"/>
        <w:rPr>
          <w:szCs w:val="22"/>
          <w:lang w:val="sr-Cyrl-CS"/>
        </w:rPr>
      </w:pPr>
      <w:r w:rsidRPr="00895819">
        <w:rPr>
          <w:szCs w:val="22"/>
          <w:lang w:val="sr-Cyrl-CS"/>
        </w:rPr>
        <w:t>(д)</w:t>
      </w:r>
      <w:r w:rsidRPr="00895819">
        <w:rPr>
          <w:szCs w:val="22"/>
          <w:lang w:val="sr-Cyrl-CS"/>
        </w:rPr>
        <w:tab/>
      </w:r>
      <w:r w:rsidR="00B46C08" w:rsidRPr="00895819">
        <w:rPr>
          <w:szCs w:val="22"/>
          <w:lang w:val="sr-Cyrl-CS"/>
        </w:rPr>
        <w:t xml:space="preserve">набавка два </w:t>
      </w:r>
      <w:r w:rsidR="002562F4" w:rsidRPr="00895819">
        <w:rPr>
          <w:szCs w:val="22"/>
          <w:lang w:val="sr-Cyrl-CS"/>
        </w:rPr>
        <w:t>(2)</w:t>
      </w:r>
      <w:r w:rsidR="009525F0" w:rsidRPr="00895819">
        <w:rPr>
          <w:szCs w:val="22"/>
          <w:lang w:val="sr-Cyrl-CS"/>
        </w:rPr>
        <w:t xml:space="preserve"> </w:t>
      </w:r>
      <w:r w:rsidR="00B46C08" w:rsidRPr="00895819">
        <w:rPr>
          <w:szCs w:val="22"/>
          <w:lang w:val="sr-Cyrl-CS"/>
        </w:rPr>
        <w:t>софтвера</w:t>
      </w:r>
      <w:r w:rsidR="009525F0" w:rsidRPr="00895819">
        <w:rPr>
          <w:szCs w:val="22"/>
          <w:lang w:val="sr-Cyrl-CS"/>
        </w:rPr>
        <w:t xml:space="preserve">: </w:t>
      </w:r>
      <w:r w:rsidR="00B46C08" w:rsidRPr="00895819">
        <w:rPr>
          <w:szCs w:val="22"/>
          <w:lang w:val="sr-Cyrl-CS"/>
        </w:rPr>
        <w:t xml:space="preserve">софтвер за јачање ИТ решења за </w:t>
      </w:r>
      <w:r w:rsidR="007A6BE0" w:rsidRPr="00895819">
        <w:rPr>
          <w:rFonts w:cs="Times New Roman"/>
          <w:lang w:val="sr-Cyrl-CS"/>
        </w:rPr>
        <w:t>GHG</w:t>
      </w:r>
      <w:r w:rsidR="007A6BE0" w:rsidRPr="00895819">
        <w:rPr>
          <w:szCs w:val="22"/>
          <w:lang w:val="sr-Cyrl-CS"/>
        </w:rPr>
        <w:t xml:space="preserve"> </w:t>
      </w:r>
      <w:r w:rsidR="00B46C08" w:rsidRPr="00895819">
        <w:rPr>
          <w:szCs w:val="22"/>
          <w:lang w:val="sr-Cyrl-CS"/>
        </w:rPr>
        <w:t>МРВ и софтвер за обрачун трошкова за припрему докумената јавних политика</w:t>
      </w:r>
      <w:r w:rsidR="009525F0" w:rsidRPr="00895819">
        <w:rPr>
          <w:szCs w:val="22"/>
          <w:lang w:val="sr-Cyrl-CS"/>
        </w:rPr>
        <w:t>;</w:t>
      </w:r>
    </w:p>
    <w:p w14:paraId="49B2B5C5" w14:textId="77777777" w:rsidR="009525F0" w:rsidRPr="00895819" w:rsidRDefault="009525F0" w:rsidP="001C0C03">
      <w:pPr>
        <w:pStyle w:val="BodyText"/>
        <w:spacing w:after="0"/>
        <w:ind w:left="1440"/>
        <w:rPr>
          <w:szCs w:val="22"/>
          <w:lang w:val="sr-Cyrl-CS"/>
        </w:rPr>
      </w:pPr>
    </w:p>
    <w:p w14:paraId="67F425BA" w14:textId="27CABBB9" w:rsidR="009525F0" w:rsidRPr="00895819" w:rsidRDefault="00E80F76" w:rsidP="00E80F76">
      <w:pPr>
        <w:pStyle w:val="BodyText"/>
        <w:spacing w:after="0"/>
        <w:ind w:firstLine="708"/>
        <w:rPr>
          <w:szCs w:val="22"/>
          <w:lang w:val="sr-Cyrl-CS"/>
        </w:rPr>
      </w:pPr>
      <w:r w:rsidRPr="00895819">
        <w:rPr>
          <w:szCs w:val="22"/>
          <w:lang w:val="sr-Cyrl-CS"/>
        </w:rPr>
        <w:t>(е)</w:t>
      </w:r>
      <w:r w:rsidRPr="00895819">
        <w:rPr>
          <w:szCs w:val="22"/>
          <w:lang w:val="sr-Cyrl-CS"/>
        </w:rPr>
        <w:tab/>
      </w:r>
      <w:r w:rsidR="00B46C08" w:rsidRPr="00895819">
        <w:rPr>
          <w:szCs w:val="22"/>
          <w:lang w:val="sr-Cyrl-CS"/>
        </w:rPr>
        <w:t>интервенције усмерене на управљање променама и промену понашања</w:t>
      </w:r>
      <w:r w:rsidR="009525F0" w:rsidRPr="00895819">
        <w:rPr>
          <w:szCs w:val="22"/>
          <w:lang w:val="sr-Cyrl-CS"/>
        </w:rPr>
        <w:t>;</w:t>
      </w:r>
    </w:p>
    <w:p w14:paraId="1C583547" w14:textId="77777777" w:rsidR="009525F0" w:rsidRPr="00895819" w:rsidRDefault="009525F0" w:rsidP="001C0C03">
      <w:pPr>
        <w:pStyle w:val="BodyText"/>
        <w:spacing w:after="0"/>
        <w:ind w:left="1440"/>
        <w:rPr>
          <w:szCs w:val="22"/>
          <w:lang w:val="sr-Cyrl-CS"/>
        </w:rPr>
      </w:pPr>
    </w:p>
    <w:p w14:paraId="7F009D10" w14:textId="7F5C940F" w:rsidR="009525F0" w:rsidRPr="00895819" w:rsidRDefault="00E80F76" w:rsidP="00E80F76">
      <w:pPr>
        <w:pStyle w:val="BodyText"/>
        <w:spacing w:after="0"/>
        <w:ind w:firstLine="708"/>
        <w:rPr>
          <w:szCs w:val="22"/>
          <w:lang w:val="sr-Cyrl-CS"/>
        </w:rPr>
      </w:pPr>
      <w:r w:rsidRPr="00895819">
        <w:rPr>
          <w:szCs w:val="22"/>
          <w:lang w:val="sr-Cyrl-CS"/>
        </w:rPr>
        <w:t>(ф)</w:t>
      </w:r>
      <w:r w:rsidRPr="00895819">
        <w:rPr>
          <w:szCs w:val="22"/>
          <w:lang w:val="sr-Cyrl-CS"/>
        </w:rPr>
        <w:tab/>
      </w:r>
      <w:r w:rsidR="00B46C08" w:rsidRPr="00895819">
        <w:rPr>
          <w:szCs w:val="22"/>
          <w:lang w:val="sr-Cyrl-CS"/>
        </w:rPr>
        <w:t>активности у области комуникација, кампања и јачања свести</w:t>
      </w:r>
      <w:r w:rsidR="009525F0" w:rsidRPr="00895819">
        <w:rPr>
          <w:szCs w:val="22"/>
          <w:lang w:val="sr-Cyrl-CS"/>
        </w:rPr>
        <w:t xml:space="preserve">; </w:t>
      </w:r>
      <w:r w:rsidR="00B46C08" w:rsidRPr="00895819">
        <w:rPr>
          <w:szCs w:val="22"/>
          <w:lang w:val="sr-Cyrl-CS"/>
        </w:rPr>
        <w:t>и</w:t>
      </w:r>
      <w:r w:rsidR="009525F0" w:rsidRPr="00895819">
        <w:rPr>
          <w:szCs w:val="22"/>
          <w:lang w:val="sr-Cyrl-CS"/>
        </w:rPr>
        <w:t xml:space="preserve"> </w:t>
      </w:r>
    </w:p>
    <w:p w14:paraId="55965876" w14:textId="77777777" w:rsidR="009525F0" w:rsidRPr="00895819" w:rsidRDefault="009525F0" w:rsidP="001C0C03">
      <w:pPr>
        <w:pStyle w:val="BodyText"/>
        <w:spacing w:after="0"/>
        <w:ind w:left="1440"/>
        <w:rPr>
          <w:szCs w:val="22"/>
          <w:lang w:val="sr-Cyrl-CS"/>
        </w:rPr>
      </w:pPr>
    </w:p>
    <w:p w14:paraId="03CC8535" w14:textId="0E0E9F64" w:rsidR="009525F0" w:rsidRPr="00895819" w:rsidRDefault="00E80F76" w:rsidP="00E80F76">
      <w:pPr>
        <w:pStyle w:val="BodyText"/>
        <w:spacing w:after="0"/>
        <w:ind w:left="1413" w:hanging="705"/>
        <w:rPr>
          <w:szCs w:val="22"/>
          <w:lang w:val="sr-Cyrl-CS"/>
        </w:rPr>
      </w:pPr>
      <w:r w:rsidRPr="00895819">
        <w:rPr>
          <w:szCs w:val="22"/>
          <w:lang w:val="sr-Cyrl-CS"/>
        </w:rPr>
        <w:t>(г)</w:t>
      </w:r>
      <w:r w:rsidRPr="00895819">
        <w:rPr>
          <w:szCs w:val="22"/>
          <w:lang w:val="sr-Cyrl-CS"/>
        </w:rPr>
        <w:tab/>
      </w:r>
      <w:r w:rsidR="00B46C08" w:rsidRPr="00895819">
        <w:rPr>
          <w:szCs w:val="22"/>
          <w:lang w:val="sr-Cyrl-CS"/>
        </w:rPr>
        <w:t>идентификација искустава и најбоље праксе у другим земљама које могу бити релевантне за Зајмопримца</w:t>
      </w:r>
      <w:r w:rsidR="009525F0" w:rsidRPr="00895819">
        <w:rPr>
          <w:szCs w:val="22"/>
          <w:lang w:val="sr-Cyrl-CS"/>
        </w:rPr>
        <w:t>.</w:t>
      </w:r>
    </w:p>
    <w:p w14:paraId="581EE9AA" w14:textId="77777777" w:rsidR="002562F4" w:rsidRPr="00895819" w:rsidRDefault="002562F4" w:rsidP="001C0C03">
      <w:pPr>
        <w:rPr>
          <w:b/>
          <w:szCs w:val="22"/>
          <w:u w:val="single"/>
          <w:lang w:val="sr-Cyrl-CS"/>
        </w:rPr>
      </w:pPr>
    </w:p>
    <w:p w14:paraId="34F70D6E" w14:textId="77777777" w:rsidR="002562F4" w:rsidRPr="00895819" w:rsidRDefault="0049072D" w:rsidP="001C0C03">
      <w:pPr>
        <w:rPr>
          <w:b/>
          <w:szCs w:val="22"/>
          <w:u w:val="single"/>
          <w:lang w:val="sr-Cyrl-CS"/>
        </w:rPr>
      </w:pPr>
      <w:r w:rsidRPr="00895819">
        <w:rPr>
          <w:b/>
          <w:szCs w:val="22"/>
          <w:u w:val="single"/>
          <w:lang w:val="sr-Cyrl-CS"/>
        </w:rPr>
        <w:t>Наведене активности могу се прилагођавати по потреби и у консултацијама између Зајмодавца, ИБРД-а и Зајмопримца</w:t>
      </w:r>
      <w:r w:rsidR="002562F4" w:rsidRPr="00895819">
        <w:rPr>
          <w:b/>
          <w:szCs w:val="22"/>
          <w:u w:val="single"/>
          <w:lang w:val="sr-Cyrl-CS"/>
        </w:rPr>
        <w:t>.</w:t>
      </w:r>
    </w:p>
    <w:p w14:paraId="04CAF34E" w14:textId="77777777" w:rsidR="002562F4" w:rsidRPr="00895819" w:rsidRDefault="002562F4" w:rsidP="001C0C03">
      <w:pPr>
        <w:rPr>
          <w:b/>
          <w:szCs w:val="22"/>
          <w:u w:val="single"/>
          <w:lang w:val="sr-Cyrl-CS"/>
        </w:rPr>
      </w:pPr>
    </w:p>
    <w:p w14:paraId="78E4AF9B" w14:textId="77777777" w:rsidR="004F26BF" w:rsidRPr="00895819" w:rsidRDefault="0049072D" w:rsidP="001C0C03">
      <w:pPr>
        <w:rPr>
          <w:szCs w:val="22"/>
          <w:lang w:val="sr-Cyrl-CS"/>
        </w:rPr>
      </w:pPr>
      <w:r w:rsidRPr="00895819">
        <w:rPr>
          <w:szCs w:val="22"/>
          <w:lang w:val="sr-Cyrl-CS"/>
        </w:rPr>
        <w:t xml:space="preserve">Следеће планиране активности Техничке помоћи биће финансиране паралелним бесповратним средствима АФД-а </w:t>
      </w:r>
      <w:r w:rsidR="004F26BF" w:rsidRPr="00895819">
        <w:rPr>
          <w:szCs w:val="22"/>
          <w:lang w:val="sr-Cyrl-CS"/>
        </w:rPr>
        <w:t>(</w:t>
      </w:r>
      <w:r w:rsidR="003B3891" w:rsidRPr="00895819">
        <w:rPr>
          <w:szCs w:val="22"/>
          <w:lang w:val="sr-Cyrl-CS"/>
        </w:rPr>
        <w:t>ЦРС</w:t>
      </w:r>
      <w:r w:rsidR="004F26BF" w:rsidRPr="00895819">
        <w:rPr>
          <w:szCs w:val="22"/>
          <w:lang w:val="sr-Cyrl-CS"/>
        </w:rPr>
        <w:t>1033 02)</w:t>
      </w:r>
      <w:r w:rsidR="00210798" w:rsidRPr="00895819">
        <w:rPr>
          <w:szCs w:val="22"/>
          <w:lang w:val="sr-Cyrl-CS"/>
        </w:rPr>
        <w:t xml:space="preserve"> </w:t>
      </w:r>
      <w:r w:rsidRPr="00895819">
        <w:rPr>
          <w:szCs w:val="22"/>
          <w:lang w:val="sr-Cyrl-CS"/>
        </w:rPr>
        <w:t>како би се помогла имплементације Програма</w:t>
      </w:r>
      <w:r w:rsidR="004F26BF" w:rsidRPr="00895819">
        <w:rPr>
          <w:szCs w:val="22"/>
          <w:lang w:val="sr-Cyrl-CS"/>
        </w:rPr>
        <w:t>:</w:t>
      </w:r>
    </w:p>
    <w:p w14:paraId="7831B6F4" w14:textId="77777777" w:rsidR="004F26BF" w:rsidRPr="00895819" w:rsidRDefault="004F26BF" w:rsidP="001C0C03">
      <w:pPr>
        <w:rPr>
          <w:szCs w:val="22"/>
          <w:lang w:val="sr-Cyrl-CS"/>
        </w:rPr>
      </w:pPr>
    </w:p>
    <w:p w14:paraId="2644B357" w14:textId="7790AA77" w:rsidR="004F26BF" w:rsidRPr="00895819" w:rsidRDefault="00E80F76" w:rsidP="00E80F76">
      <w:pPr>
        <w:pStyle w:val="BodyText"/>
        <w:spacing w:after="0"/>
        <w:ind w:left="1080" w:hanging="720"/>
        <w:rPr>
          <w:szCs w:val="22"/>
          <w:lang w:val="sr-Cyrl-CS"/>
        </w:rPr>
      </w:pPr>
      <w:r w:rsidRPr="00895819">
        <w:rPr>
          <w:szCs w:val="22"/>
          <w:lang w:val="sr-Cyrl-CS"/>
        </w:rPr>
        <w:t>(а)</w:t>
      </w:r>
      <w:r w:rsidRPr="00895819">
        <w:rPr>
          <w:szCs w:val="22"/>
          <w:lang w:val="sr-Cyrl-CS"/>
        </w:rPr>
        <w:tab/>
      </w:r>
      <w:r w:rsidR="00ED3F0C" w:rsidRPr="00895819">
        <w:rPr>
          <w:szCs w:val="22"/>
          <w:lang w:val="sr-Cyrl-CS"/>
        </w:rPr>
        <w:t xml:space="preserve">У вези са ДЛИ </w:t>
      </w:r>
      <w:r w:rsidR="004F26BF" w:rsidRPr="00895819">
        <w:rPr>
          <w:szCs w:val="22"/>
          <w:lang w:val="sr-Cyrl-CS"/>
        </w:rPr>
        <w:t xml:space="preserve">2 </w:t>
      </w:r>
      <w:r w:rsidR="00D95A6B" w:rsidRPr="00895819">
        <w:rPr>
          <w:szCs w:val="22"/>
          <w:lang w:val="sr-Cyrl-CS"/>
        </w:rPr>
        <w:t>–</w:t>
      </w:r>
      <w:r w:rsidR="004F26BF" w:rsidRPr="00895819">
        <w:rPr>
          <w:szCs w:val="22"/>
          <w:lang w:val="sr-Cyrl-CS"/>
        </w:rPr>
        <w:t xml:space="preserve"> </w:t>
      </w:r>
      <w:r w:rsidR="00ED3F0C" w:rsidRPr="00895819">
        <w:rPr>
          <w:szCs w:val="22"/>
          <w:lang w:val="sr-Cyrl-CS"/>
        </w:rPr>
        <w:t>Р</w:t>
      </w:r>
      <w:r w:rsidR="00D95A6B" w:rsidRPr="00895819">
        <w:rPr>
          <w:szCs w:val="22"/>
          <w:lang w:val="sr-Cyrl-CS"/>
        </w:rPr>
        <w:t>азвој, пилотирање и шира примена методологије зеленог буџетирања</w:t>
      </w:r>
      <w:r w:rsidR="004F26BF" w:rsidRPr="00895819">
        <w:rPr>
          <w:szCs w:val="22"/>
          <w:lang w:val="sr-Cyrl-CS"/>
        </w:rPr>
        <w:t xml:space="preserve">: (i) </w:t>
      </w:r>
      <w:r w:rsidR="00D95A6B" w:rsidRPr="00895819">
        <w:rPr>
          <w:szCs w:val="22"/>
          <w:lang w:val="sr-Cyrl-CS"/>
        </w:rPr>
        <w:t xml:space="preserve">учешће у обукама </w:t>
      </w:r>
      <w:r w:rsidR="00ED3F0C" w:rsidRPr="00895819">
        <w:rPr>
          <w:szCs w:val="22"/>
          <w:lang w:val="sr-Cyrl-CS"/>
        </w:rPr>
        <w:t>конципираним у Француској</w:t>
      </w:r>
      <w:r w:rsidR="00D95A6B" w:rsidRPr="00895819">
        <w:rPr>
          <w:szCs w:val="22"/>
          <w:lang w:val="sr-Cyrl-CS"/>
        </w:rPr>
        <w:t>;</w:t>
      </w:r>
      <w:r w:rsidR="004F26BF" w:rsidRPr="00895819">
        <w:rPr>
          <w:szCs w:val="22"/>
          <w:lang w:val="sr-Cyrl-CS"/>
        </w:rPr>
        <w:t xml:space="preserve"> (ii) </w:t>
      </w:r>
      <w:r w:rsidR="00D95A6B" w:rsidRPr="00895819">
        <w:rPr>
          <w:szCs w:val="22"/>
          <w:lang w:val="sr-Cyrl-CS"/>
        </w:rPr>
        <w:t>иницијална подршка и савети о политикама по питању конципирања методологије</w:t>
      </w:r>
      <w:r w:rsidR="004F26BF" w:rsidRPr="00895819">
        <w:rPr>
          <w:szCs w:val="22"/>
          <w:lang w:val="sr-Cyrl-CS"/>
        </w:rPr>
        <w:t>.</w:t>
      </w:r>
    </w:p>
    <w:p w14:paraId="34A0DE75" w14:textId="77777777" w:rsidR="004F26BF" w:rsidRPr="00895819" w:rsidRDefault="004F26BF" w:rsidP="001C0C03">
      <w:pPr>
        <w:pStyle w:val="BodyText"/>
        <w:spacing w:after="0"/>
        <w:ind w:left="1080"/>
        <w:rPr>
          <w:szCs w:val="22"/>
          <w:lang w:val="sr-Cyrl-CS"/>
        </w:rPr>
      </w:pPr>
    </w:p>
    <w:p w14:paraId="1A82FDC8" w14:textId="6C0CC8BA" w:rsidR="004F26BF" w:rsidRPr="00895819" w:rsidRDefault="00E80F76" w:rsidP="00E80F76">
      <w:pPr>
        <w:pStyle w:val="BodyText"/>
        <w:spacing w:after="0"/>
        <w:ind w:left="1080" w:hanging="720"/>
        <w:rPr>
          <w:szCs w:val="22"/>
          <w:lang w:val="sr-Cyrl-CS"/>
        </w:rPr>
      </w:pPr>
      <w:r w:rsidRPr="00895819">
        <w:rPr>
          <w:szCs w:val="22"/>
          <w:lang w:val="sr-Cyrl-CS"/>
        </w:rPr>
        <w:t>(б)</w:t>
      </w:r>
      <w:r w:rsidRPr="00895819">
        <w:rPr>
          <w:szCs w:val="22"/>
          <w:lang w:val="sr-Cyrl-CS"/>
        </w:rPr>
        <w:tab/>
      </w:r>
      <w:r w:rsidR="00ED3F0C" w:rsidRPr="00895819">
        <w:rPr>
          <w:szCs w:val="22"/>
          <w:lang w:val="sr-Cyrl-CS"/>
        </w:rPr>
        <w:t xml:space="preserve">У вези са ДЛИ </w:t>
      </w:r>
      <w:r w:rsidR="004F26BF" w:rsidRPr="00895819">
        <w:rPr>
          <w:szCs w:val="22"/>
          <w:lang w:val="sr-Cyrl-CS"/>
        </w:rPr>
        <w:t xml:space="preserve">3 </w:t>
      </w:r>
      <w:r w:rsidR="00D95A6B" w:rsidRPr="00895819">
        <w:rPr>
          <w:szCs w:val="22"/>
          <w:lang w:val="sr-Cyrl-CS"/>
        </w:rPr>
        <w:t>–</w:t>
      </w:r>
      <w:r w:rsidR="004F26BF" w:rsidRPr="00895819">
        <w:rPr>
          <w:szCs w:val="22"/>
          <w:lang w:val="sr-Cyrl-CS"/>
        </w:rPr>
        <w:t xml:space="preserve"> </w:t>
      </w:r>
      <w:r w:rsidR="00ED3F0C" w:rsidRPr="00895819">
        <w:rPr>
          <w:szCs w:val="22"/>
          <w:lang w:val="sr-Cyrl-CS"/>
        </w:rPr>
        <w:t>П</w:t>
      </w:r>
      <w:r w:rsidR="00D95A6B" w:rsidRPr="00895819">
        <w:rPr>
          <w:szCs w:val="22"/>
          <w:lang w:val="sr-Cyrl-CS"/>
        </w:rPr>
        <w:t xml:space="preserve">рипрема јавних улагања, </w:t>
      </w:r>
      <w:r w:rsidR="005F33FC" w:rsidRPr="00895819">
        <w:rPr>
          <w:szCs w:val="22"/>
          <w:lang w:val="sr-Cyrl-CS"/>
        </w:rPr>
        <w:t>ревизија</w:t>
      </w:r>
      <w:r w:rsidR="00D95A6B" w:rsidRPr="00895819">
        <w:rPr>
          <w:szCs w:val="22"/>
          <w:lang w:val="sr-Cyrl-CS"/>
        </w:rPr>
        <w:t xml:space="preserve"> и праћење</w:t>
      </w:r>
      <w:r w:rsidR="004F26BF" w:rsidRPr="00895819">
        <w:rPr>
          <w:szCs w:val="22"/>
          <w:lang w:val="sr-Cyrl-CS"/>
        </w:rPr>
        <w:t xml:space="preserve">: </w:t>
      </w:r>
      <w:r w:rsidR="00D95A6B" w:rsidRPr="00895819">
        <w:rPr>
          <w:szCs w:val="22"/>
          <w:lang w:val="sr-Cyrl-CS"/>
        </w:rPr>
        <w:t>техничка помоћ намењена МГСИ у области припреме и праћења пројеката</w:t>
      </w:r>
      <w:r w:rsidR="004F26BF" w:rsidRPr="00895819">
        <w:rPr>
          <w:szCs w:val="22"/>
          <w:lang w:val="sr-Cyrl-CS"/>
        </w:rPr>
        <w:t xml:space="preserve">: </w:t>
      </w:r>
      <w:r w:rsidR="005F33FC" w:rsidRPr="00895819">
        <w:rPr>
          <w:szCs w:val="22"/>
          <w:lang w:val="sr-Cyrl-CS"/>
        </w:rPr>
        <w:t>инжењерска, правна, еколошка, социјална и економска анализа</w:t>
      </w:r>
      <w:r w:rsidR="004F26BF" w:rsidRPr="00895819">
        <w:rPr>
          <w:szCs w:val="22"/>
          <w:lang w:val="sr-Cyrl-CS"/>
        </w:rPr>
        <w:t>.</w:t>
      </w:r>
    </w:p>
    <w:p w14:paraId="2E4E9BE0" w14:textId="77777777" w:rsidR="004F26BF" w:rsidRPr="00895819" w:rsidRDefault="004F26BF" w:rsidP="001C0C03">
      <w:pPr>
        <w:pStyle w:val="ListParagraph"/>
        <w:rPr>
          <w:lang w:val="sr-Cyrl-CS"/>
        </w:rPr>
      </w:pPr>
    </w:p>
    <w:p w14:paraId="18BEBF63" w14:textId="48DB05D7" w:rsidR="004F26BF" w:rsidRPr="00895819" w:rsidRDefault="00E80F76" w:rsidP="00E80F76">
      <w:pPr>
        <w:pStyle w:val="BodyText"/>
        <w:spacing w:after="0"/>
        <w:ind w:left="1080" w:hanging="720"/>
        <w:rPr>
          <w:szCs w:val="22"/>
          <w:lang w:val="sr-Cyrl-CS"/>
        </w:rPr>
      </w:pPr>
      <w:r w:rsidRPr="00895819">
        <w:rPr>
          <w:szCs w:val="22"/>
          <w:lang w:val="sr-Cyrl-CS"/>
        </w:rPr>
        <w:t>(ц)</w:t>
      </w:r>
      <w:r w:rsidRPr="00895819">
        <w:rPr>
          <w:szCs w:val="22"/>
          <w:lang w:val="sr-Cyrl-CS"/>
        </w:rPr>
        <w:tab/>
      </w:r>
      <w:r w:rsidR="00ED3F0C" w:rsidRPr="00895819">
        <w:rPr>
          <w:szCs w:val="22"/>
          <w:lang w:val="sr-Cyrl-CS"/>
        </w:rPr>
        <w:t xml:space="preserve">У вези са ДЛИ </w:t>
      </w:r>
      <w:r w:rsidR="004F26BF" w:rsidRPr="00895819">
        <w:rPr>
          <w:szCs w:val="22"/>
          <w:lang w:val="sr-Cyrl-CS"/>
        </w:rPr>
        <w:t xml:space="preserve">8 </w:t>
      </w:r>
      <w:r w:rsidR="005F33FC" w:rsidRPr="00895819">
        <w:rPr>
          <w:szCs w:val="22"/>
          <w:lang w:val="sr-Cyrl-CS"/>
        </w:rPr>
        <w:t>–</w:t>
      </w:r>
      <w:r w:rsidR="004F26BF" w:rsidRPr="00895819">
        <w:rPr>
          <w:szCs w:val="22"/>
          <w:lang w:val="sr-Cyrl-CS"/>
        </w:rPr>
        <w:t xml:space="preserve"> </w:t>
      </w:r>
      <w:r w:rsidR="00ED3F0C" w:rsidRPr="00895819">
        <w:rPr>
          <w:szCs w:val="22"/>
          <w:lang w:val="sr-Cyrl-CS"/>
        </w:rPr>
        <w:t>П</w:t>
      </w:r>
      <w:r w:rsidR="005F33FC" w:rsidRPr="00895819">
        <w:rPr>
          <w:szCs w:val="22"/>
          <w:lang w:val="sr-Cyrl-CS"/>
        </w:rPr>
        <w:t>одршка унапређењу МРВ система</w:t>
      </w:r>
      <w:r w:rsidR="004F26BF" w:rsidRPr="00895819">
        <w:rPr>
          <w:szCs w:val="22"/>
          <w:lang w:val="sr-Cyrl-CS"/>
        </w:rPr>
        <w:t xml:space="preserve">: (i) </w:t>
      </w:r>
      <w:r w:rsidR="005F33FC" w:rsidRPr="00895819">
        <w:rPr>
          <w:szCs w:val="22"/>
          <w:lang w:val="sr-Cyrl-CS"/>
        </w:rPr>
        <w:t>подршка МЗЖС и СЕПА за имплементацију мапе пута за МРВ за 2023</w:t>
      </w:r>
      <w:r w:rsidRPr="00895819">
        <w:rPr>
          <w:szCs w:val="22"/>
          <w:lang w:val="sr-Cyrl-CS"/>
        </w:rPr>
        <w:t>. годину</w:t>
      </w:r>
      <w:r w:rsidR="005F33FC" w:rsidRPr="00895819">
        <w:rPr>
          <w:szCs w:val="22"/>
          <w:lang w:val="sr-Cyrl-CS"/>
        </w:rPr>
        <w:t>;</w:t>
      </w:r>
      <w:r w:rsidR="004F26BF" w:rsidRPr="00895819">
        <w:rPr>
          <w:szCs w:val="22"/>
          <w:lang w:val="sr-Cyrl-CS"/>
        </w:rPr>
        <w:t xml:space="preserve"> (ii) </w:t>
      </w:r>
      <w:r w:rsidR="005F33FC" w:rsidRPr="00895819">
        <w:rPr>
          <w:szCs w:val="22"/>
          <w:lang w:val="sr-Cyrl-CS"/>
        </w:rPr>
        <w:t xml:space="preserve">подршка за МЗЖС и СЕПА у проширењу мапе пута на период </w:t>
      </w:r>
      <w:r w:rsidR="004F26BF" w:rsidRPr="00895819">
        <w:rPr>
          <w:szCs w:val="22"/>
          <w:lang w:val="sr-Cyrl-CS"/>
        </w:rPr>
        <w:t>2024-26</w:t>
      </w:r>
      <w:r w:rsidRPr="00895819">
        <w:rPr>
          <w:szCs w:val="22"/>
          <w:lang w:val="sr-Cyrl-CS"/>
        </w:rPr>
        <w:t>. године</w:t>
      </w:r>
      <w:r w:rsidR="004F26BF" w:rsidRPr="00895819">
        <w:rPr>
          <w:szCs w:val="22"/>
          <w:lang w:val="sr-Cyrl-CS"/>
        </w:rPr>
        <w:t xml:space="preserve">: </w:t>
      </w:r>
      <w:r w:rsidR="005F33FC" w:rsidRPr="00895819">
        <w:rPr>
          <w:szCs w:val="22"/>
          <w:lang w:val="sr-Cyrl-CS"/>
        </w:rPr>
        <w:t xml:space="preserve">идентификовање приоритетних мера и инвестиција </w:t>
      </w:r>
      <w:r w:rsidR="004F26BF" w:rsidRPr="00895819">
        <w:rPr>
          <w:szCs w:val="22"/>
          <w:lang w:val="sr-Cyrl-CS"/>
        </w:rPr>
        <w:t xml:space="preserve">– </w:t>
      </w:r>
      <w:r w:rsidR="005F33FC" w:rsidRPr="00895819">
        <w:rPr>
          <w:szCs w:val="22"/>
          <w:lang w:val="sr-Cyrl-CS"/>
        </w:rPr>
        <w:t>посебно улагања у ИТ</w:t>
      </w:r>
      <w:r w:rsidR="004F26BF" w:rsidRPr="00895819">
        <w:rPr>
          <w:szCs w:val="22"/>
          <w:lang w:val="sr-Cyrl-CS"/>
        </w:rPr>
        <w:t>.</w:t>
      </w:r>
    </w:p>
    <w:p w14:paraId="68C0F8BA" w14:textId="77777777" w:rsidR="004F26BF" w:rsidRPr="00895819" w:rsidRDefault="004F26BF" w:rsidP="001C0C03">
      <w:pPr>
        <w:rPr>
          <w:szCs w:val="22"/>
          <w:lang w:val="sr-Cyrl-CS"/>
        </w:rPr>
      </w:pPr>
    </w:p>
    <w:p w14:paraId="4E12E783" w14:textId="77777777" w:rsidR="00795931" w:rsidRPr="00895819" w:rsidRDefault="00ED3F0C" w:rsidP="00795931">
      <w:pPr>
        <w:rPr>
          <w:b/>
          <w:szCs w:val="22"/>
          <w:u w:val="single"/>
          <w:lang w:val="sr-Cyrl-CS"/>
        </w:rPr>
      </w:pPr>
      <w:r w:rsidRPr="00895819">
        <w:rPr>
          <w:b/>
          <w:szCs w:val="22"/>
          <w:u w:val="single"/>
          <w:lang w:val="sr-Cyrl-CS"/>
        </w:rPr>
        <w:t>Наведене активности могу се прилагођавати по потреби и у консултацијама између АФД-а и релевантних Институција</w:t>
      </w:r>
      <w:r w:rsidR="00795931" w:rsidRPr="00895819">
        <w:rPr>
          <w:b/>
          <w:szCs w:val="22"/>
          <w:u w:val="single"/>
          <w:lang w:val="sr-Cyrl-CS"/>
        </w:rPr>
        <w:t>.</w:t>
      </w:r>
    </w:p>
    <w:p w14:paraId="464874AA" w14:textId="77777777" w:rsidR="00795931" w:rsidRPr="00895819" w:rsidRDefault="00795931" w:rsidP="001C0C03">
      <w:pPr>
        <w:rPr>
          <w:szCs w:val="22"/>
          <w:lang w:val="sr-Cyrl-CS"/>
        </w:rPr>
      </w:pPr>
    </w:p>
    <w:p w14:paraId="64B0830F" w14:textId="77777777" w:rsidR="004F26BF" w:rsidRPr="00895819" w:rsidRDefault="00ED3F0C" w:rsidP="001C0C03">
      <w:pPr>
        <w:rPr>
          <w:szCs w:val="22"/>
          <w:lang w:val="sr-Cyrl-CS"/>
        </w:rPr>
      </w:pPr>
      <w:r w:rsidRPr="00895819">
        <w:rPr>
          <w:szCs w:val="22"/>
          <w:lang w:val="sr-Cyrl-CS"/>
        </w:rPr>
        <w:t>Следећ</w:t>
      </w:r>
      <w:r w:rsidR="00AB0AD4" w:rsidRPr="00895819">
        <w:rPr>
          <w:szCs w:val="22"/>
          <w:lang w:val="sr-Cyrl-CS"/>
        </w:rPr>
        <w:t>е</w:t>
      </w:r>
      <w:r w:rsidRPr="00895819">
        <w:rPr>
          <w:szCs w:val="22"/>
          <w:lang w:val="sr-Cyrl-CS"/>
        </w:rPr>
        <w:t xml:space="preserve"> разматране активности Техничке помоћи добиће додатну </w:t>
      </w:r>
      <w:r w:rsidR="00470D96" w:rsidRPr="00895819">
        <w:rPr>
          <w:szCs w:val="22"/>
          <w:lang w:val="sr-Cyrl-CS"/>
        </w:rPr>
        <w:t>подршку</w:t>
      </w:r>
      <w:r w:rsidRPr="00895819">
        <w:rPr>
          <w:szCs w:val="22"/>
          <w:lang w:val="sr-Cyrl-CS"/>
        </w:rPr>
        <w:t xml:space="preserve"> преко паралелног пројекта АФД-а „Подршка родној равноправности на Западном Балкану</w:t>
      </w:r>
      <w:r w:rsidR="004F26BF" w:rsidRPr="00895819">
        <w:rPr>
          <w:szCs w:val="22"/>
          <w:lang w:val="sr-Cyrl-CS"/>
        </w:rPr>
        <w:t xml:space="preserve">” (CZZ2922) </w:t>
      </w:r>
      <w:r w:rsidRPr="00895819">
        <w:rPr>
          <w:szCs w:val="22"/>
          <w:lang w:val="sr-Cyrl-CS"/>
        </w:rPr>
        <w:t xml:space="preserve">и </w:t>
      </w:r>
      <w:r w:rsidR="004F26BF" w:rsidRPr="00895819">
        <w:rPr>
          <w:i/>
          <w:iCs/>
          <w:szCs w:val="22"/>
          <w:lang w:val="sr-Cyrl-CS"/>
        </w:rPr>
        <w:t>UN Women</w:t>
      </w:r>
      <w:r w:rsidR="004F26BF" w:rsidRPr="00895819">
        <w:rPr>
          <w:szCs w:val="22"/>
          <w:lang w:val="sr-Cyrl-CS"/>
        </w:rPr>
        <w:t>:</w:t>
      </w:r>
    </w:p>
    <w:p w14:paraId="62A0C677" w14:textId="77777777" w:rsidR="004F26BF" w:rsidRPr="00895819" w:rsidRDefault="004F26BF" w:rsidP="001C0C03">
      <w:pPr>
        <w:rPr>
          <w:szCs w:val="22"/>
          <w:lang w:val="sr-Cyrl-CS"/>
        </w:rPr>
      </w:pPr>
    </w:p>
    <w:p w14:paraId="4CEAB246" w14:textId="6A4F6BBB" w:rsidR="004F26BF" w:rsidRPr="00895819" w:rsidRDefault="00ED3F0C" w:rsidP="001C0C03">
      <w:pPr>
        <w:pStyle w:val="BodyText"/>
        <w:numPr>
          <w:ilvl w:val="0"/>
          <w:numId w:val="63"/>
        </w:numPr>
        <w:spacing w:after="0"/>
        <w:rPr>
          <w:szCs w:val="22"/>
          <w:lang w:val="sr-Cyrl-CS"/>
        </w:rPr>
      </w:pPr>
      <w:r w:rsidRPr="00895819">
        <w:rPr>
          <w:szCs w:val="22"/>
          <w:lang w:val="sr-Cyrl-CS"/>
        </w:rPr>
        <w:t xml:space="preserve">У вези са ДЛИ </w:t>
      </w:r>
      <w:r w:rsidR="004F26BF" w:rsidRPr="00895819">
        <w:rPr>
          <w:szCs w:val="22"/>
          <w:lang w:val="sr-Cyrl-CS"/>
        </w:rPr>
        <w:t xml:space="preserve">1 </w:t>
      </w:r>
      <w:r w:rsidRPr="00895819">
        <w:rPr>
          <w:szCs w:val="22"/>
          <w:lang w:val="sr-Cyrl-CS"/>
        </w:rPr>
        <w:t>–</w:t>
      </w:r>
      <w:r w:rsidR="004F26BF" w:rsidRPr="00895819">
        <w:rPr>
          <w:szCs w:val="22"/>
          <w:lang w:val="sr-Cyrl-CS"/>
        </w:rPr>
        <w:t xml:space="preserve"> </w:t>
      </w:r>
      <w:r w:rsidRPr="00895819">
        <w:rPr>
          <w:szCs w:val="22"/>
          <w:lang w:val="sr-Cyrl-CS"/>
        </w:rPr>
        <w:t>Интегриса</w:t>
      </w:r>
      <w:r w:rsidR="00470D96" w:rsidRPr="00895819">
        <w:rPr>
          <w:szCs w:val="22"/>
          <w:lang w:val="sr-Cyrl-CS"/>
        </w:rPr>
        <w:t>ње</w:t>
      </w:r>
      <w:r w:rsidRPr="00895819">
        <w:rPr>
          <w:szCs w:val="22"/>
          <w:lang w:val="sr-Cyrl-CS"/>
        </w:rPr>
        <w:t xml:space="preserve"> родне димензије у документа </w:t>
      </w:r>
      <w:r w:rsidR="00EE4115" w:rsidRPr="00895819">
        <w:rPr>
          <w:szCs w:val="22"/>
          <w:lang w:val="sr-Cyrl-CS"/>
        </w:rPr>
        <w:t xml:space="preserve">јавних </w:t>
      </w:r>
      <w:r w:rsidRPr="00895819">
        <w:rPr>
          <w:szCs w:val="22"/>
          <w:lang w:val="sr-Cyrl-CS"/>
        </w:rPr>
        <w:t>политиа</w:t>
      </w:r>
      <w:r w:rsidR="001018E9" w:rsidRPr="00895819">
        <w:rPr>
          <w:szCs w:val="22"/>
          <w:lang w:val="sr-Cyrl-CS"/>
        </w:rPr>
        <w:t xml:space="preserve">, </w:t>
      </w:r>
      <w:r w:rsidR="00470D96" w:rsidRPr="00895819">
        <w:rPr>
          <w:szCs w:val="22"/>
          <w:lang w:val="sr-Cyrl-CS"/>
        </w:rPr>
        <w:t>на захтев:</w:t>
      </w:r>
      <w:r w:rsidR="001018E9" w:rsidRPr="00895819">
        <w:rPr>
          <w:szCs w:val="22"/>
          <w:lang w:val="sr-Cyrl-CS"/>
        </w:rPr>
        <w:t xml:space="preserve"> </w:t>
      </w:r>
      <w:r w:rsidR="004F26BF" w:rsidRPr="00895819">
        <w:rPr>
          <w:szCs w:val="22"/>
          <w:lang w:val="sr-Cyrl-CS"/>
        </w:rPr>
        <w:t xml:space="preserve">(i) </w:t>
      </w:r>
      <w:r w:rsidRPr="00895819">
        <w:rPr>
          <w:szCs w:val="22"/>
          <w:lang w:val="sr-Cyrl-CS"/>
        </w:rPr>
        <w:t>аналитичк</w:t>
      </w:r>
      <w:r w:rsidR="00470D96" w:rsidRPr="00895819">
        <w:rPr>
          <w:szCs w:val="22"/>
          <w:lang w:val="sr-Cyrl-CS"/>
        </w:rPr>
        <w:t>е</w:t>
      </w:r>
      <w:r w:rsidRPr="00895819">
        <w:rPr>
          <w:szCs w:val="22"/>
          <w:lang w:val="sr-Cyrl-CS"/>
        </w:rPr>
        <w:t xml:space="preserve"> студиј</w:t>
      </w:r>
      <w:r w:rsidR="00470D96" w:rsidRPr="00895819">
        <w:rPr>
          <w:szCs w:val="22"/>
          <w:lang w:val="sr-Cyrl-CS"/>
        </w:rPr>
        <w:t>е</w:t>
      </w:r>
      <w:r w:rsidRPr="00895819">
        <w:rPr>
          <w:szCs w:val="22"/>
          <w:lang w:val="sr-Cyrl-CS"/>
        </w:rPr>
        <w:t xml:space="preserve"> и процен</w:t>
      </w:r>
      <w:r w:rsidR="001018E9" w:rsidRPr="00895819">
        <w:rPr>
          <w:szCs w:val="22"/>
          <w:lang w:val="sr-Cyrl-CS"/>
        </w:rPr>
        <w:t>а</w:t>
      </w:r>
      <w:r w:rsidRPr="00895819">
        <w:rPr>
          <w:szCs w:val="22"/>
          <w:lang w:val="sr-Cyrl-CS"/>
        </w:rPr>
        <w:t xml:space="preserve"> </w:t>
      </w:r>
      <w:r w:rsidR="001018E9" w:rsidRPr="00895819">
        <w:rPr>
          <w:szCs w:val="22"/>
          <w:lang w:val="sr-Cyrl-CS"/>
        </w:rPr>
        <w:t xml:space="preserve">утицаја </w:t>
      </w:r>
      <w:r w:rsidRPr="00895819">
        <w:rPr>
          <w:szCs w:val="22"/>
          <w:lang w:val="sr-Cyrl-CS"/>
        </w:rPr>
        <w:t xml:space="preserve">нацрта докумената </w:t>
      </w:r>
      <w:r w:rsidR="00EE4115" w:rsidRPr="00895819">
        <w:rPr>
          <w:szCs w:val="22"/>
          <w:lang w:val="sr-Cyrl-CS"/>
        </w:rPr>
        <w:t xml:space="preserve">јавних </w:t>
      </w:r>
      <w:r w:rsidRPr="00895819">
        <w:rPr>
          <w:szCs w:val="22"/>
          <w:lang w:val="sr-Cyrl-CS"/>
        </w:rPr>
        <w:t>политик</w:t>
      </w:r>
      <w:r w:rsidR="001018E9" w:rsidRPr="00895819">
        <w:rPr>
          <w:szCs w:val="22"/>
          <w:lang w:val="sr-Cyrl-CS"/>
        </w:rPr>
        <w:t>а на родна питања</w:t>
      </w:r>
      <w:r w:rsidRPr="00895819">
        <w:rPr>
          <w:szCs w:val="22"/>
          <w:lang w:val="sr-Cyrl-CS"/>
        </w:rPr>
        <w:t>;</w:t>
      </w:r>
      <w:r w:rsidR="004F26BF" w:rsidRPr="00895819">
        <w:rPr>
          <w:szCs w:val="22"/>
          <w:lang w:val="sr-Cyrl-CS"/>
        </w:rPr>
        <w:t xml:space="preserve"> (ii) </w:t>
      </w:r>
      <w:r w:rsidRPr="00895819">
        <w:rPr>
          <w:szCs w:val="22"/>
          <w:lang w:val="sr-Cyrl-CS"/>
        </w:rPr>
        <w:t>интеграциј</w:t>
      </w:r>
      <w:r w:rsidR="00470D96" w:rsidRPr="00895819">
        <w:rPr>
          <w:szCs w:val="22"/>
          <w:lang w:val="sr-Cyrl-CS"/>
        </w:rPr>
        <w:t>а</w:t>
      </w:r>
      <w:r w:rsidRPr="00895819">
        <w:rPr>
          <w:szCs w:val="22"/>
          <w:lang w:val="sr-Cyrl-CS"/>
        </w:rPr>
        <w:t xml:space="preserve"> родних питања у Смернице за укључивање зелених и </w:t>
      </w:r>
      <w:r w:rsidR="001018E9" w:rsidRPr="00895819">
        <w:rPr>
          <w:szCs w:val="22"/>
          <w:lang w:val="sr-Cyrl-CS"/>
        </w:rPr>
        <w:t>климатских</w:t>
      </w:r>
      <w:r w:rsidRPr="00895819">
        <w:rPr>
          <w:szCs w:val="22"/>
          <w:lang w:val="sr-Cyrl-CS"/>
        </w:rPr>
        <w:t xml:space="preserve"> аспеката;</w:t>
      </w:r>
      <w:r w:rsidR="004F26BF" w:rsidRPr="00895819">
        <w:rPr>
          <w:szCs w:val="22"/>
          <w:lang w:val="sr-Cyrl-CS"/>
        </w:rPr>
        <w:t xml:space="preserve"> (iii) </w:t>
      </w:r>
      <w:r w:rsidRPr="00895819">
        <w:rPr>
          <w:szCs w:val="22"/>
          <w:lang w:val="sr-Cyrl-CS"/>
        </w:rPr>
        <w:t>формулиса</w:t>
      </w:r>
      <w:r w:rsidR="001018E9" w:rsidRPr="00895819">
        <w:rPr>
          <w:szCs w:val="22"/>
          <w:lang w:val="sr-Cyrl-CS"/>
        </w:rPr>
        <w:t>ње</w:t>
      </w:r>
      <w:r w:rsidRPr="00895819">
        <w:rPr>
          <w:szCs w:val="22"/>
          <w:lang w:val="sr-Cyrl-CS"/>
        </w:rPr>
        <w:t xml:space="preserve"> родно одговорних </w:t>
      </w:r>
      <w:r w:rsidR="001018E9" w:rsidRPr="00895819">
        <w:rPr>
          <w:szCs w:val="22"/>
          <w:lang w:val="sr-Cyrl-CS"/>
        </w:rPr>
        <w:t>показатеља</w:t>
      </w:r>
      <w:r w:rsidRPr="00895819">
        <w:rPr>
          <w:szCs w:val="22"/>
          <w:lang w:val="sr-Cyrl-CS"/>
        </w:rPr>
        <w:t xml:space="preserve"> у складу са циљевима докумен</w:t>
      </w:r>
      <w:r w:rsidR="00EE4115" w:rsidRPr="00895819">
        <w:rPr>
          <w:szCs w:val="22"/>
          <w:lang w:val="sr-Cyrl-CS"/>
        </w:rPr>
        <w:t>а</w:t>
      </w:r>
      <w:r w:rsidRPr="00895819">
        <w:rPr>
          <w:szCs w:val="22"/>
          <w:lang w:val="sr-Cyrl-CS"/>
        </w:rPr>
        <w:t xml:space="preserve">та </w:t>
      </w:r>
      <w:r w:rsidR="00EE4115" w:rsidRPr="00895819">
        <w:rPr>
          <w:szCs w:val="22"/>
          <w:lang w:val="sr-Cyrl-CS"/>
        </w:rPr>
        <w:t xml:space="preserve">јавних </w:t>
      </w:r>
      <w:r w:rsidRPr="00895819">
        <w:rPr>
          <w:szCs w:val="22"/>
          <w:lang w:val="sr-Cyrl-CS"/>
        </w:rPr>
        <w:t>политик</w:t>
      </w:r>
      <w:r w:rsidR="00EE4115" w:rsidRPr="00895819">
        <w:rPr>
          <w:szCs w:val="22"/>
          <w:lang w:val="sr-Cyrl-CS"/>
        </w:rPr>
        <w:t>а</w:t>
      </w:r>
      <w:r w:rsidRPr="00895819">
        <w:rPr>
          <w:szCs w:val="22"/>
          <w:lang w:val="sr-Cyrl-CS"/>
        </w:rPr>
        <w:t>;</w:t>
      </w:r>
      <w:r w:rsidR="004F26BF" w:rsidRPr="00895819">
        <w:rPr>
          <w:szCs w:val="22"/>
          <w:lang w:val="sr-Cyrl-CS"/>
        </w:rPr>
        <w:t xml:space="preserve"> (iv) </w:t>
      </w:r>
      <w:r w:rsidRPr="00895819">
        <w:rPr>
          <w:szCs w:val="22"/>
          <w:lang w:val="sr-Cyrl-CS"/>
        </w:rPr>
        <w:t>изградња капацитета за јачање родно сензитивног планирања у министарствима која израђују нацрте докумената</w:t>
      </w:r>
      <w:r w:rsidR="00EE4115" w:rsidRPr="00895819">
        <w:rPr>
          <w:szCs w:val="22"/>
          <w:lang w:val="sr-Cyrl-CS"/>
        </w:rPr>
        <w:t xml:space="preserve"> јавних</w:t>
      </w:r>
      <w:r w:rsidRPr="00895819">
        <w:rPr>
          <w:szCs w:val="22"/>
          <w:lang w:val="sr-Cyrl-CS"/>
        </w:rPr>
        <w:t xml:space="preserve"> политике; и </w:t>
      </w:r>
      <w:r w:rsidR="004F26BF" w:rsidRPr="00895819">
        <w:rPr>
          <w:szCs w:val="22"/>
          <w:lang w:val="sr-Cyrl-CS"/>
        </w:rPr>
        <w:t xml:space="preserve">(v) </w:t>
      </w:r>
      <w:r w:rsidRPr="00895819">
        <w:rPr>
          <w:szCs w:val="22"/>
          <w:lang w:val="sr-Cyrl-CS"/>
        </w:rPr>
        <w:t>св</w:t>
      </w:r>
      <w:r w:rsidR="00470D96" w:rsidRPr="00895819">
        <w:rPr>
          <w:szCs w:val="22"/>
          <w:lang w:val="sr-Cyrl-CS"/>
        </w:rPr>
        <w:t>и</w:t>
      </w:r>
      <w:r w:rsidRPr="00895819">
        <w:rPr>
          <w:szCs w:val="22"/>
          <w:lang w:val="sr-Cyrl-CS"/>
        </w:rPr>
        <w:t xml:space="preserve"> друг</w:t>
      </w:r>
      <w:r w:rsidR="00470D96" w:rsidRPr="00895819">
        <w:rPr>
          <w:szCs w:val="22"/>
          <w:lang w:val="sr-Cyrl-CS"/>
        </w:rPr>
        <w:t>и</w:t>
      </w:r>
      <w:r w:rsidRPr="00895819">
        <w:rPr>
          <w:szCs w:val="22"/>
          <w:lang w:val="sr-Cyrl-CS"/>
        </w:rPr>
        <w:t xml:space="preserve"> </w:t>
      </w:r>
      <w:r w:rsidR="001018E9" w:rsidRPr="00895819">
        <w:rPr>
          <w:szCs w:val="22"/>
          <w:lang w:val="sr-Cyrl-CS"/>
        </w:rPr>
        <w:t>специфичн</w:t>
      </w:r>
      <w:r w:rsidR="00470D96" w:rsidRPr="00895819">
        <w:rPr>
          <w:szCs w:val="22"/>
          <w:lang w:val="sr-Cyrl-CS"/>
        </w:rPr>
        <w:t>и</w:t>
      </w:r>
      <w:r w:rsidRPr="00895819">
        <w:rPr>
          <w:szCs w:val="22"/>
          <w:lang w:val="sr-Cyrl-CS"/>
        </w:rPr>
        <w:t xml:space="preserve"> алат</w:t>
      </w:r>
      <w:r w:rsidR="00470D96" w:rsidRPr="00895819">
        <w:rPr>
          <w:szCs w:val="22"/>
          <w:lang w:val="sr-Cyrl-CS"/>
        </w:rPr>
        <w:t>и</w:t>
      </w:r>
      <w:r w:rsidRPr="00895819">
        <w:rPr>
          <w:szCs w:val="22"/>
          <w:lang w:val="sr-Cyrl-CS"/>
        </w:rPr>
        <w:t xml:space="preserve"> кој</w:t>
      </w:r>
      <w:r w:rsidR="00470D96" w:rsidRPr="00895819">
        <w:rPr>
          <w:szCs w:val="22"/>
          <w:lang w:val="sr-Cyrl-CS"/>
        </w:rPr>
        <w:t>е</w:t>
      </w:r>
      <w:r w:rsidRPr="00895819">
        <w:rPr>
          <w:szCs w:val="22"/>
          <w:lang w:val="sr-Cyrl-CS"/>
        </w:rPr>
        <w:t xml:space="preserve"> би РСЈП </w:t>
      </w:r>
      <w:r w:rsidR="00B325BD" w:rsidRPr="00895819">
        <w:rPr>
          <w:szCs w:val="22"/>
          <w:lang w:val="sr-Cyrl-CS"/>
        </w:rPr>
        <w:t xml:space="preserve">и министарство надлежно за родну равноправност </w:t>
      </w:r>
      <w:r w:rsidR="001018E9" w:rsidRPr="00895819">
        <w:rPr>
          <w:szCs w:val="22"/>
          <w:lang w:val="sr-Cyrl-CS"/>
        </w:rPr>
        <w:t xml:space="preserve">или доносиоци </w:t>
      </w:r>
      <w:r w:rsidR="00EE4115" w:rsidRPr="00895819">
        <w:rPr>
          <w:szCs w:val="22"/>
          <w:lang w:val="sr-Cyrl-CS"/>
        </w:rPr>
        <w:t xml:space="preserve">јавних </w:t>
      </w:r>
      <w:r w:rsidR="001018E9" w:rsidRPr="00895819">
        <w:rPr>
          <w:szCs w:val="22"/>
          <w:lang w:val="sr-Cyrl-CS"/>
        </w:rPr>
        <w:t xml:space="preserve">политика </w:t>
      </w:r>
      <w:r w:rsidRPr="00895819">
        <w:rPr>
          <w:szCs w:val="22"/>
          <w:lang w:val="sr-Cyrl-CS"/>
        </w:rPr>
        <w:t>мог</w:t>
      </w:r>
      <w:r w:rsidR="001018E9" w:rsidRPr="00895819">
        <w:rPr>
          <w:szCs w:val="22"/>
          <w:lang w:val="sr-Cyrl-CS"/>
        </w:rPr>
        <w:t>ли</w:t>
      </w:r>
      <w:r w:rsidRPr="00895819">
        <w:rPr>
          <w:szCs w:val="22"/>
          <w:lang w:val="sr-Cyrl-CS"/>
        </w:rPr>
        <w:t xml:space="preserve"> користити </w:t>
      </w:r>
      <w:r w:rsidR="001018E9" w:rsidRPr="00895819">
        <w:rPr>
          <w:szCs w:val="22"/>
          <w:lang w:val="sr-Cyrl-CS"/>
        </w:rPr>
        <w:t xml:space="preserve">како би се родно питање интегрисало у документа </w:t>
      </w:r>
      <w:r w:rsidR="00EE4115" w:rsidRPr="00895819">
        <w:rPr>
          <w:szCs w:val="22"/>
          <w:lang w:val="sr-Cyrl-CS"/>
        </w:rPr>
        <w:t xml:space="preserve">јавних </w:t>
      </w:r>
      <w:r w:rsidR="001018E9" w:rsidRPr="00895819">
        <w:rPr>
          <w:szCs w:val="22"/>
          <w:lang w:val="sr-Cyrl-CS"/>
        </w:rPr>
        <w:t>политика</w:t>
      </w:r>
      <w:r w:rsidR="004F26BF" w:rsidRPr="00895819">
        <w:rPr>
          <w:szCs w:val="22"/>
          <w:lang w:val="sr-Cyrl-CS"/>
        </w:rPr>
        <w:t xml:space="preserve">. </w:t>
      </w:r>
    </w:p>
    <w:p w14:paraId="62C6089C" w14:textId="77777777" w:rsidR="00B16F8D" w:rsidRPr="00895819" w:rsidRDefault="004B3FF4" w:rsidP="00B16F8D">
      <w:pPr>
        <w:pStyle w:val="Schhead"/>
        <w:outlineLvl w:val="0"/>
        <w:rPr>
          <w:rFonts w:ascii="Times New Roman" w:hAnsi="Times New Roman"/>
          <w:lang w:val="sr-Cyrl-CS"/>
        </w:rPr>
      </w:pPr>
      <w:bookmarkStart w:id="163" w:name="_Toc129873702"/>
      <w:r w:rsidRPr="00895819">
        <w:rPr>
          <w:rFonts w:ascii="Times New Roman" w:hAnsi="Times New Roman"/>
          <w:lang w:val="sr-Cyrl-CS"/>
        </w:rPr>
        <w:lastRenderedPageBreak/>
        <w:t>ПРИЛОГ</w:t>
      </w:r>
      <w:r w:rsidR="00B16F8D" w:rsidRPr="00895819">
        <w:rPr>
          <w:rFonts w:ascii="Times New Roman" w:hAnsi="Times New Roman"/>
          <w:lang w:val="sr-Cyrl-CS"/>
        </w:rPr>
        <w:t xml:space="preserve"> 3A </w:t>
      </w:r>
      <w:r w:rsidRPr="00895819">
        <w:rPr>
          <w:rFonts w:ascii="Times New Roman" w:hAnsi="Times New Roman"/>
          <w:lang w:val="sr-Cyrl-CS"/>
        </w:rPr>
        <w:t>–</w:t>
      </w:r>
      <w:r w:rsidR="00B16F8D" w:rsidRPr="00895819">
        <w:rPr>
          <w:rFonts w:ascii="Times New Roman" w:hAnsi="Times New Roman"/>
          <w:lang w:val="sr-Cyrl-CS"/>
        </w:rPr>
        <w:t xml:space="preserve"> </w:t>
      </w:r>
      <w:r w:rsidRPr="00895819">
        <w:rPr>
          <w:rFonts w:ascii="Times New Roman" w:hAnsi="Times New Roman"/>
          <w:lang w:val="sr-Cyrl-CS"/>
        </w:rPr>
        <w:t>ПЛАН ФИНАНСИРАЊА</w:t>
      </w:r>
      <w:bookmarkEnd w:id="163"/>
    </w:p>
    <w:p w14:paraId="62453910" w14:textId="77777777" w:rsidR="00B16F8D" w:rsidRPr="00895819" w:rsidRDefault="00B16F8D" w:rsidP="00B16F8D">
      <w:pPr>
        <w:pStyle w:val="BodyText"/>
        <w:jc w:val="left"/>
        <w:rPr>
          <w:rFonts w:cs="Times New Roman"/>
          <w:iCs/>
          <w:color w:val="000000"/>
          <w:lang w:val="sr-Cyrl-CS"/>
        </w:rPr>
      </w:pPr>
    </w:p>
    <w:tbl>
      <w:tblPr>
        <w:tblW w:w="9180" w:type="dxa"/>
        <w:tblInd w:w="-10" w:type="dxa"/>
        <w:tblLook w:val="04A0" w:firstRow="1" w:lastRow="0" w:firstColumn="1" w:lastColumn="0" w:noHBand="0" w:noVBand="1"/>
      </w:tblPr>
      <w:tblGrid>
        <w:gridCol w:w="6100"/>
        <w:gridCol w:w="1540"/>
        <w:gridCol w:w="1540"/>
      </w:tblGrid>
      <w:tr w:rsidR="009750DD" w:rsidRPr="00895819" w14:paraId="50A56AB7" w14:textId="77777777" w:rsidTr="00D66957">
        <w:trPr>
          <w:trHeight w:val="330"/>
        </w:trPr>
        <w:tc>
          <w:tcPr>
            <w:tcW w:w="6100" w:type="dxa"/>
            <w:tcBorders>
              <w:top w:val="single" w:sz="8" w:space="0" w:color="auto"/>
              <w:left w:val="single" w:sz="8" w:space="0" w:color="auto"/>
              <w:bottom w:val="single" w:sz="8" w:space="0" w:color="auto"/>
              <w:right w:val="single" w:sz="8" w:space="0" w:color="auto"/>
            </w:tcBorders>
            <w:shd w:val="clear" w:color="000000" w:fill="002060"/>
            <w:vAlign w:val="center"/>
            <w:hideMark/>
          </w:tcPr>
          <w:p w14:paraId="14AB0656" w14:textId="77777777" w:rsidR="009750DD" w:rsidRPr="00895819" w:rsidRDefault="004B3FF4" w:rsidP="009750DD">
            <w:pPr>
              <w:jc w:val="center"/>
              <w:rPr>
                <w:b/>
                <w:bCs/>
                <w:color w:val="FFFFFF"/>
                <w:sz w:val="24"/>
                <w:szCs w:val="24"/>
                <w:lang w:val="sr-Cyrl-CS" w:eastAsia="en-US"/>
              </w:rPr>
            </w:pPr>
            <w:r w:rsidRPr="00895819">
              <w:rPr>
                <w:b/>
                <w:bCs/>
                <w:color w:val="FFFFFF"/>
                <w:sz w:val="24"/>
                <w:szCs w:val="24"/>
                <w:lang w:val="sr-Cyrl-CS" w:eastAsia="en-US"/>
              </w:rPr>
              <w:t>Трошкови операције</w:t>
            </w:r>
          </w:p>
        </w:tc>
        <w:tc>
          <w:tcPr>
            <w:tcW w:w="1540" w:type="dxa"/>
            <w:tcBorders>
              <w:top w:val="single" w:sz="8" w:space="0" w:color="auto"/>
              <w:left w:val="nil"/>
              <w:bottom w:val="single" w:sz="8" w:space="0" w:color="auto"/>
              <w:right w:val="single" w:sz="8" w:space="0" w:color="auto"/>
            </w:tcBorders>
            <w:shd w:val="clear" w:color="000000" w:fill="002060"/>
            <w:vAlign w:val="center"/>
            <w:hideMark/>
          </w:tcPr>
          <w:p w14:paraId="001EDDD3" w14:textId="77777777" w:rsidR="009750DD" w:rsidRPr="00895819" w:rsidRDefault="004B3FF4" w:rsidP="009750DD">
            <w:pPr>
              <w:jc w:val="center"/>
              <w:rPr>
                <w:b/>
                <w:bCs/>
                <w:color w:val="FFFFFF"/>
                <w:sz w:val="24"/>
                <w:szCs w:val="24"/>
                <w:lang w:val="sr-Cyrl-CS" w:eastAsia="en-US"/>
              </w:rPr>
            </w:pPr>
            <w:r w:rsidRPr="00895819">
              <w:rPr>
                <w:b/>
                <w:bCs/>
                <w:color w:val="FFFFFF"/>
                <w:sz w:val="24"/>
                <w:szCs w:val="24"/>
                <w:lang w:val="sr-Cyrl-CS" w:eastAsia="en-US"/>
              </w:rPr>
              <w:t>мил. ЕУР</w:t>
            </w:r>
          </w:p>
        </w:tc>
        <w:tc>
          <w:tcPr>
            <w:tcW w:w="1540" w:type="dxa"/>
            <w:tcBorders>
              <w:top w:val="single" w:sz="8" w:space="0" w:color="auto"/>
              <w:left w:val="nil"/>
              <w:bottom w:val="single" w:sz="8" w:space="0" w:color="auto"/>
              <w:right w:val="single" w:sz="8" w:space="0" w:color="auto"/>
            </w:tcBorders>
            <w:shd w:val="clear" w:color="000000" w:fill="002060"/>
            <w:vAlign w:val="center"/>
            <w:hideMark/>
          </w:tcPr>
          <w:p w14:paraId="3B308D31" w14:textId="77777777" w:rsidR="009750DD" w:rsidRPr="00895819" w:rsidRDefault="009750DD" w:rsidP="009750DD">
            <w:pPr>
              <w:jc w:val="center"/>
              <w:rPr>
                <w:b/>
                <w:bCs/>
                <w:color w:val="FFFFFF"/>
                <w:sz w:val="24"/>
                <w:szCs w:val="24"/>
                <w:lang w:val="sr-Cyrl-CS" w:eastAsia="en-US"/>
              </w:rPr>
            </w:pPr>
            <w:r w:rsidRPr="00895819">
              <w:rPr>
                <w:b/>
                <w:bCs/>
                <w:color w:val="FFFFFF"/>
                <w:sz w:val="24"/>
                <w:szCs w:val="24"/>
                <w:lang w:val="sr-Cyrl-CS" w:eastAsia="en-US"/>
              </w:rPr>
              <w:t>%</w:t>
            </w:r>
          </w:p>
        </w:tc>
      </w:tr>
      <w:tr w:rsidR="009750DD" w:rsidRPr="00895819" w14:paraId="0BAB18B5" w14:textId="77777777" w:rsidTr="00D66957">
        <w:trPr>
          <w:trHeight w:val="799"/>
        </w:trPr>
        <w:tc>
          <w:tcPr>
            <w:tcW w:w="6100" w:type="dxa"/>
            <w:tcBorders>
              <w:top w:val="nil"/>
              <w:left w:val="single" w:sz="8" w:space="0" w:color="auto"/>
              <w:bottom w:val="nil"/>
              <w:right w:val="single" w:sz="8" w:space="0" w:color="auto"/>
            </w:tcBorders>
            <w:shd w:val="clear" w:color="000000" w:fill="FFFFFF"/>
            <w:vAlign w:val="center"/>
            <w:hideMark/>
          </w:tcPr>
          <w:p w14:paraId="74FBD581" w14:textId="77777777" w:rsidR="009750DD" w:rsidRPr="00895819" w:rsidRDefault="004B3FF4">
            <w:pPr>
              <w:rPr>
                <w:b/>
                <w:bCs/>
                <w:color w:val="000000"/>
                <w:sz w:val="20"/>
                <w:lang w:val="sr-Cyrl-CS" w:eastAsia="en-US"/>
              </w:rPr>
            </w:pPr>
            <w:r w:rsidRPr="00895819">
              <w:rPr>
                <w:b/>
                <w:bCs/>
                <w:color w:val="000000"/>
                <w:sz w:val="20"/>
                <w:lang w:val="sr-Cyrl-CS" w:eastAsia="en-US"/>
              </w:rPr>
              <w:t>Капитални расходи везани за Програм</w:t>
            </w:r>
            <w:r w:rsidR="00BE110E" w:rsidRPr="00895819">
              <w:rPr>
                <w:rStyle w:val="FootnoteReference"/>
                <w:b/>
                <w:bCs/>
                <w:color w:val="000000"/>
                <w:sz w:val="20"/>
                <w:lang w:val="sr-Cyrl-CS" w:eastAsia="en-US"/>
              </w:rPr>
              <w:footnoteReference w:id="5"/>
            </w:r>
          </w:p>
        </w:tc>
        <w:tc>
          <w:tcPr>
            <w:tcW w:w="1540" w:type="dxa"/>
            <w:tcBorders>
              <w:top w:val="nil"/>
              <w:left w:val="nil"/>
              <w:bottom w:val="nil"/>
              <w:right w:val="single" w:sz="8" w:space="0" w:color="auto"/>
            </w:tcBorders>
            <w:shd w:val="clear" w:color="000000" w:fill="FFFFFF"/>
            <w:vAlign w:val="center"/>
            <w:hideMark/>
          </w:tcPr>
          <w:p w14:paraId="7C3AACB2" w14:textId="77777777" w:rsidR="009750DD" w:rsidRPr="00895819" w:rsidRDefault="009750DD" w:rsidP="00941AA3">
            <w:pPr>
              <w:jc w:val="right"/>
              <w:rPr>
                <w:b/>
                <w:bCs/>
                <w:color w:val="000000"/>
                <w:sz w:val="24"/>
                <w:szCs w:val="24"/>
                <w:lang w:val="sr-Cyrl-CS" w:eastAsia="en-US"/>
              </w:rPr>
            </w:pPr>
            <w:r w:rsidRPr="00895819">
              <w:rPr>
                <w:b/>
                <w:bCs/>
                <w:color w:val="000000"/>
                <w:sz w:val="24"/>
                <w:szCs w:val="24"/>
                <w:lang w:val="sr-Cyrl-CS" w:eastAsia="en-US"/>
              </w:rPr>
              <w:t>163</w:t>
            </w:r>
            <w:r w:rsidR="004B3FF4" w:rsidRPr="00895819">
              <w:rPr>
                <w:b/>
                <w:bCs/>
                <w:color w:val="000000"/>
                <w:sz w:val="24"/>
                <w:szCs w:val="24"/>
                <w:lang w:val="sr-Cyrl-CS" w:eastAsia="en-US"/>
              </w:rPr>
              <w:t>,</w:t>
            </w:r>
            <w:r w:rsidRPr="00895819">
              <w:rPr>
                <w:b/>
                <w:bCs/>
                <w:color w:val="000000"/>
                <w:sz w:val="24"/>
                <w:szCs w:val="24"/>
                <w:lang w:val="sr-Cyrl-CS" w:eastAsia="en-US"/>
              </w:rPr>
              <w:t xml:space="preserve">6 </w:t>
            </w:r>
          </w:p>
        </w:tc>
        <w:tc>
          <w:tcPr>
            <w:tcW w:w="1540" w:type="dxa"/>
            <w:tcBorders>
              <w:top w:val="nil"/>
              <w:left w:val="nil"/>
              <w:bottom w:val="nil"/>
              <w:right w:val="single" w:sz="8" w:space="0" w:color="auto"/>
            </w:tcBorders>
            <w:shd w:val="clear" w:color="000000" w:fill="FFFFFF"/>
            <w:vAlign w:val="center"/>
            <w:hideMark/>
          </w:tcPr>
          <w:p w14:paraId="72002C29" w14:textId="77777777" w:rsidR="009750DD" w:rsidRPr="00895819" w:rsidRDefault="009750DD" w:rsidP="00941AA3">
            <w:pPr>
              <w:jc w:val="right"/>
              <w:rPr>
                <w:b/>
                <w:bCs/>
                <w:color w:val="000000"/>
                <w:sz w:val="24"/>
                <w:szCs w:val="24"/>
                <w:lang w:val="sr-Cyrl-CS" w:eastAsia="en-US"/>
              </w:rPr>
            </w:pPr>
            <w:r w:rsidRPr="00895819">
              <w:rPr>
                <w:b/>
                <w:bCs/>
                <w:color w:val="000000"/>
                <w:sz w:val="24"/>
                <w:szCs w:val="24"/>
                <w:lang w:val="sr-Cyrl-CS" w:eastAsia="en-US"/>
              </w:rPr>
              <w:t>32</w:t>
            </w:r>
            <w:r w:rsidR="004B3FF4" w:rsidRPr="00895819">
              <w:rPr>
                <w:b/>
                <w:bCs/>
                <w:color w:val="000000"/>
                <w:sz w:val="24"/>
                <w:szCs w:val="24"/>
                <w:lang w:val="sr-Cyrl-CS" w:eastAsia="en-US"/>
              </w:rPr>
              <w:t>,</w:t>
            </w:r>
            <w:r w:rsidRPr="00895819">
              <w:rPr>
                <w:b/>
                <w:bCs/>
                <w:color w:val="000000"/>
                <w:sz w:val="24"/>
                <w:szCs w:val="24"/>
                <w:lang w:val="sr-Cyrl-CS" w:eastAsia="en-US"/>
              </w:rPr>
              <w:t>92%</w:t>
            </w:r>
          </w:p>
        </w:tc>
      </w:tr>
      <w:tr w:rsidR="009750DD" w:rsidRPr="00895819" w14:paraId="25E979FC" w14:textId="77777777" w:rsidTr="00D66957">
        <w:trPr>
          <w:trHeight w:val="300"/>
        </w:trPr>
        <w:tc>
          <w:tcPr>
            <w:tcW w:w="6100" w:type="dxa"/>
            <w:tcBorders>
              <w:top w:val="nil"/>
              <w:left w:val="single" w:sz="8" w:space="0" w:color="auto"/>
              <w:bottom w:val="nil"/>
              <w:right w:val="single" w:sz="8" w:space="0" w:color="auto"/>
            </w:tcBorders>
            <w:shd w:val="clear" w:color="000000" w:fill="FFFFFF"/>
            <w:vAlign w:val="center"/>
            <w:hideMark/>
          </w:tcPr>
          <w:p w14:paraId="3DDF9C50" w14:textId="77777777" w:rsidR="009750DD" w:rsidRPr="00895819" w:rsidRDefault="004B3FF4">
            <w:pPr>
              <w:rPr>
                <w:color w:val="000000"/>
                <w:sz w:val="20"/>
                <w:lang w:val="sr-Cyrl-CS" w:eastAsia="en-US"/>
              </w:rPr>
            </w:pPr>
            <w:r w:rsidRPr="00895819">
              <w:rPr>
                <w:color w:val="000000"/>
                <w:sz w:val="20"/>
                <w:lang w:val="sr-Cyrl-CS" w:eastAsia="en-US"/>
              </w:rPr>
              <w:t>ДЛИ</w:t>
            </w:r>
            <w:r w:rsidR="009750DD" w:rsidRPr="00895819">
              <w:rPr>
                <w:color w:val="000000"/>
                <w:sz w:val="20"/>
                <w:lang w:val="sr-Cyrl-CS" w:eastAsia="en-US"/>
              </w:rPr>
              <w:t xml:space="preserve"> 1 – </w:t>
            </w:r>
            <w:r w:rsidRPr="00895819">
              <w:rPr>
                <w:color w:val="000000"/>
                <w:sz w:val="20"/>
                <w:lang w:val="sr-Cyrl-CS" w:eastAsia="en-US"/>
              </w:rPr>
              <w:t>Интегрисање зелених и климатских аспеката у ДЈП</w:t>
            </w:r>
          </w:p>
        </w:tc>
        <w:tc>
          <w:tcPr>
            <w:tcW w:w="1540" w:type="dxa"/>
            <w:tcBorders>
              <w:top w:val="nil"/>
              <w:left w:val="nil"/>
              <w:bottom w:val="nil"/>
              <w:right w:val="single" w:sz="8" w:space="0" w:color="auto"/>
            </w:tcBorders>
            <w:shd w:val="clear" w:color="000000" w:fill="FFFFFF"/>
            <w:noWrap/>
            <w:vAlign w:val="bottom"/>
            <w:hideMark/>
          </w:tcPr>
          <w:p w14:paraId="467C8A9E" w14:textId="77777777" w:rsidR="009750DD" w:rsidRPr="00895819" w:rsidRDefault="009750DD" w:rsidP="004B3FF4">
            <w:pPr>
              <w:jc w:val="right"/>
              <w:rPr>
                <w:color w:val="000000"/>
                <w:szCs w:val="22"/>
                <w:lang w:val="sr-Cyrl-CS" w:eastAsia="en-US"/>
              </w:rPr>
            </w:pPr>
            <w:r w:rsidRPr="00895819">
              <w:rPr>
                <w:color w:val="000000"/>
                <w:szCs w:val="22"/>
                <w:lang w:val="sr-Cyrl-CS" w:eastAsia="en-US"/>
              </w:rPr>
              <w:t>0</w:t>
            </w:r>
            <w:r w:rsidR="004B3FF4" w:rsidRPr="00895819">
              <w:rPr>
                <w:color w:val="000000"/>
                <w:szCs w:val="22"/>
                <w:lang w:val="sr-Cyrl-CS" w:eastAsia="en-US"/>
              </w:rPr>
              <w:t>,</w:t>
            </w:r>
            <w:r w:rsidRPr="00895819">
              <w:rPr>
                <w:color w:val="000000"/>
                <w:szCs w:val="22"/>
                <w:lang w:val="sr-Cyrl-CS" w:eastAsia="en-US"/>
              </w:rPr>
              <w:t xml:space="preserve">2 </w:t>
            </w:r>
          </w:p>
        </w:tc>
        <w:tc>
          <w:tcPr>
            <w:tcW w:w="1540" w:type="dxa"/>
            <w:tcBorders>
              <w:top w:val="nil"/>
              <w:left w:val="nil"/>
              <w:bottom w:val="nil"/>
              <w:right w:val="single" w:sz="8" w:space="0" w:color="auto"/>
            </w:tcBorders>
            <w:shd w:val="clear" w:color="000000" w:fill="FFFFFF"/>
            <w:vAlign w:val="center"/>
            <w:hideMark/>
          </w:tcPr>
          <w:p w14:paraId="32DEBC45" w14:textId="77777777" w:rsidR="009750DD" w:rsidRPr="00895819" w:rsidRDefault="009750DD" w:rsidP="00941AA3">
            <w:pPr>
              <w:jc w:val="right"/>
              <w:rPr>
                <w:color w:val="000000"/>
                <w:szCs w:val="22"/>
                <w:lang w:val="sr-Cyrl-CS" w:eastAsia="en-US"/>
              </w:rPr>
            </w:pPr>
            <w:r w:rsidRPr="00895819">
              <w:rPr>
                <w:color w:val="000000"/>
                <w:szCs w:val="22"/>
                <w:lang w:val="sr-Cyrl-CS" w:eastAsia="en-US"/>
              </w:rPr>
              <w:t>0</w:t>
            </w:r>
            <w:r w:rsidR="004B3FF4" w:rsidRPr="00895819">
              <w:rPr>
                <w:color w:val="000000"/>
                <w:szCs w:val="22"/>
                <w:lang w:val="sr-Cyrl-CS" w:eastAsia="en-US"/>
              </w:rPr>
              <w:t>,</w:t>
            </w:r>
            <w:r w:rsidRPr="00895819">
              <w:rPr>
                <w:color w:val="000000"/>
                <w:szCs w:val="22"/>
                <w:lang w:val="sr-Cyrl-CS" w:eastAsia="en-US"/>
              </w:rPr>
              <w:t>04%</w:t>
            </w:r>
          </w:p>
        </w:tc>
      </w:tr>
      <w:tr w:rsidR="009750DD" w:rsidRPr="00895819" w14:paraId="53B3D0B6" w14:textId="77777777" w:rsidTr="00D66957">
        <w:trPr>
          <w:trHeight w:val="300"/>
        </w:trPr>
        <w:tc>
          <w:tcPr>
            <w:tcW w:w="6100" w:type="dxa"/>
            <w:tcBorders>
              <w:top w:val="nil"/>
              <w:left w:val="single" w:sz="8" w:space="0" w:color="auto"/>
              <w:bottom w:val="nil"/>
              <w:right w:val="single" w:sz="8" w:space="0" w:color="auto"/>
            </w:tcBorders>
            <w:shd w:val="clear" w:color="000000" w:fill="FFFFFF"/>
            <w:vAlign w:val="center"/>
            <w:hideMark/>
          </w:tcPr>
          <w:p w14:paraId="08F98700" w14:textId="77777777" w:rsidR="009750DD" w:rsidRPr="00895819" w:rsidRDefault="004B3FF4">
            <w:pPr>
              <w:rPr>
                <w:color w:val="000000"/>
                <w:sz w:val="20"/>
                <w:lang w:val="sr-Cyrl-CS" w:eastAsia="en-US"/>
              </w:rPr>
            </w:pPr>
            <w:r w:rsidRPr="00895819">
              <w:rPr>
                <w:color w:val="000000"/>
                <w:sz w:val="20"/>
                <w:lang w:val="sr-Cyrl-CS" w:eastAsia="en-US"/>
              </w:rPr>
              <w:t>ДЛИ</w:t>
            </w:r>
            <w:r w:rsidR="00BE110E" w:rsidRPr="00895819">
              <w:rPr>
                <w:color w:val="000000"/>
                <w:sz w:val="20"/>
                <w:lang w:val="sr-Cyrl-CS" w:eastAsia="en-US"/>
              </w:rPr>
              <w:t xml:space="preserve"> </w:t>
            </w:r>
            <w:r w:rsidR="009750DD" w:rsidRPr="00895819">
              <w:rPr>
                <w:color w:val="000000"/>
                <w:sz w:val="20"/>
                <w:lang w:val="sr-Cyrl-CS" w:eastAsia="en-US"/>
              </w:rPr>
              <w:t xml:space="preserve">2 – </w:t>
            </w:r>
            <w:r w:rsidRPr="00895819">
              <w:rPr>
                <w:color w:val="000000"/>
                <w:sz w:val="20"/>
                <w:lang w:val="sr-Cyrl-CS" w:eastAsia="en-US"/>
              </w:rPr>
              <w:t xml:space="preserve">Примена идентификације зелених расхода </w:t>
            </w:r>
          </w:p>
        </w:tc>
        <w:tc>
          <w:tcPr>
            <w:tcW w:w="1540" w:type="dxa"/>
            <w:tcBorders>
              <w:top w:val="nil"/>
              <w:left w:val="nil"/>
              <w:bottom w:val="nil"/>
              <w:right w:val="single" w:sz="8" w:space="0" w:color="auto"/>
            </w:tcBorders>
            <w:shd w:val="clear" w:color="000000" w:fill="FFFFFF"/>
            <w:noWrap/>
            <w:vAlign w:val="bottom"/>
            <w:hideMark/>
          </w:tcPr>
          <w:p w14:paraId="67BCC54B" w14:textId="77777777" w:rsidR="009750DD" w:rsidRPr="00895819" w:rsidRDefault="009750DD" w:rsidP="004B3FF4">
            <w:pPr>
              <w:jc w:val="right"/>
              <w:rPr>
                <w:color w:val="000000"/>
                <w:szCs w:val="22"/>
                <w:lang w:val="sr-Cyrl-CS" w:eastAsia="en-US"/>
              </w:rPr>
            </w:pPr>
            <w:r w:rsidRPr="00895819">
              <w:rPr>
                <w:color w:val="000000"/>
                <w:szCs w:val="22"/>
                <w:lang w:val="sr-Cyrl-CS" w:eastAsia="en-US"/>
              </w:rPr>
              <w:t>7</w:t>
            </w:r>
            <w:r w:rsidR="004B3FF4" w:rsidRPr="00895819">
              <w:rPr>
                <w:color w:val="000000"/>
                <w:szCs w:val="22"/>
                <w:lang w:val="sr-Cyrl-CS" w:eastAsia="en-US"/>
              </w:rPr>
              <w:t>,</w:t>
            </w:r>
            <w:r w:rsidRPr="00895819">
              <w:rPr>
                <w:color w:val="000000"/>
                <w:szCs w:val="22"/>
                <w:lang w:val="sr-Cyrl-CS" w:eastAsia="en-US"/>
              </w:rPr>
              <w:t xml:space="preserve">4 </w:t>
            </w:r>
          </w:p>
        </w:tc>
        <w:tc>
          <w:tcPr>
            <w:tcW w:w="1540" w:type="dxa"/>
            <w:tcBorders>
              <w:top w:val="nil"/>
              <w:left w:val="nil"/>
              <w:bottom w:val="nil"/>
              <w:right w:val="single" w:sz="8" w:space="0" w:color="auto"/>
            </w:tcBorders>
            <w:shd w:val="clear" w:color="000000" w:fill="FFFFFF"/>
            <w:vAlign w:val="center"/>
            <w:hideMark/>
          </w:tcPr>
          <w:p w14:paraId="4FE9B439" w14:textId="77777777" w:rsidR="009750DD" w:rsidRPr="00895819" w:rsidRDefault="009750DD" w:rsidP="009750DD">
            <w:pPr>
              <w:jc w:val="right"/>
              <w:rPr>
                <w:color w:val="000000"/>
                <w:szCs w:val="22"/>
                <w:lang w:val="sr-Cyrl-CS" w:eastAsia="en-US"/>
              </w:rPr>
            </w:pPr>
            <w:r w:rsidRPr="00895819">
              <w:rPr>
                <w:color w:val="000000"/>
                <w:szCs w:val="22"/>
                <w:lang w:val="sr-Cyrl-CS" w:eastAsia="en-US"/>
              </w:rPr>
              <w:t>1</w:t>
            </w:r>
            <w:r w:rsidR="004B3FF4" w:rsidRPr="00895819">
              <w:rPr>
                <w:color w:val="000000"/>
                <w:szCs w:val="22"/>
                <w:lang w:val="sr-Cyrl-CS" w:eastAsia="en-US"/>
              </w:rPr>
              <w:t>,</w:t>
            </w:r>
            <w:r w:rsidRPr="00895819">
              <w:rPr>
                <w:color w:val="000000"/>
                <w:szCs w:val="22"/>
                <w:lang w:val="sr-Cyrl-CS" w:eastAsia="en-US"/>
              </w:rPr>
              <w:t>49%</w:t>
            </w:r>
          </w:p>
        </w:tc>
      </w:tr>
      <w:tr w:rsidR="009750DD" w:rsidRPr="00895819" w14:paraId="15C71038" w14:textId="77777777" w:rsidTr="00D66957">
        <w:trPr>
          <w:trHeight w:val="300"/>
        </w:trPr>
        <w:tc>
          <w:tcPr>
            <w:tcW w:w="6100" w:type="dxa"/>
            <w:tcBorders>
              <w:top w:val="nil"/>
              <w:left w:val="single" w:sz="8" w:space="0" w:color="auto"/>
              <w:bottom w:val="nil"/>
              <w:right w:val="single" w:sz="8" w:space="0" w:color="auto"/>
            </w:tcBorders>
            <w:shd w:val="clear" w:color="000000" w:fill="FFFFFF"/>
            <w:vAlign w:val="center"/>
            <w:hideMark/>
          </w:tcPr>
          <w:p w14:paraId="345AC670" w14:textId="77777777" w:rsidR="009750DD" w:rsidRPr="00895819" w:rsidRDefault="004B3FF4">
            <w:pPr>
              <w:rPr>
                <w:color w:val="000000"/>
                <w:sz w:val="20"/>
                <w:lang w:val="sr-Cyrl-CS" w:eastAsia="en-US"/>
              </w:rPr>
            </w:pPr>
            <w:r w:rsidRPr="00895819">
              <w:rPr>
                <w:color w:val="000000"/>
                <w:sz w:val="20"/>
                <w:lang w:val="sr-Cyrl-CS" w:eastAsia="en-US"/>
              </w:rPr>
              <w:t>ДЛИ</w:t>
            </w:r>
            <w:r w:rsidR="00BE110E" w:rsidRPr="00895819">
              <w:rPr>
                <w:color w:val="000000"/>
                <w:sz w:val="20"/>
                <w:lang w:val="sr-Cyrl-CS" w:eastAsia="en-US"/>
              </w:rPr>
              <w:t xml:space="preserve"> </w:t>
            </w:r>
            <w:r w:rsidR="009750DD" w:rsidRPr="00895819">
              <w:rPr>
                <w:color w:val="000000"/>
                <w:sz w:val="20"/>
                <w:lang w:val="sr-Cyrl-CS" w:eastAsia="en-US"/>
              </w:rPr>
              <w:t xml:space="preserve">3 – </w:t>
            </w:r>
            <w:r w:rsidRPr="00895819">
              <w:rPr>
                <w:color w:val="000000"/>
                <w:sz w:val="20"/>
                <w:lang w:val="sr-Cyrl-CS" w:eastAsia="en-US"/>
              </w:rPr>
              <w:t>Унапређење управљања јавним улагањима и имовином</w:t>
            </w:r>
          </w:p>
        </w:tc>
        <w:tc>
          <w:tcPr>
            <w:tcW w:w="1540" w:type="dxa"/>
            <w:tcBorders>
              <w:top w:val="nil"/>
              <w:left w:val="nil"/>
              <w:bottom w:val="nil"/>
              <w:right w:val="single" w:sz="8" w:space="0" w:color="auto"/>
            </w:tcBorders>
            <w:shd w:val="clear" w:color="000000" w:fill="FFFFFF"/>
            <w:noWrap/>
            <w:vAlign w:val="bottom"/>
            <w:hideMark/>
          </w:tcPr>
          <w:p w14:paraId="197B74E1" w14:textId="77777777" w:rsidR="009750DD" w:rsidRPr="00895819" w:rsidRDefault="009750DD" w:rsidP="004B3FF4">
            <w:pPr>
              <w:jc w:val="right"/>
              <w:rPr>
                <w:color w:val="000000"/>
                <w:szCs w:val="22"/>
                <w:lang w:val="sr-Cyrl-CS" w:eastAsia="en-US"/>
              </w:rPr>
            </w:pPr>
            <w:r w:rsidRPr="00895819">
              <w:rPr>
                <w:color w:val="000000"/>
                <w:szCs w:val="22"/>
                <w:lang w:val="sr-Cyrl-CS" w:eastAsia="en-US"/>
              </w:rPr>
              <w:t>62</w:t>
            </w:r>
            <w:r w:rsidR="004B3FF4" w:rsidRPr="00895819">
              <w:rPr>
                <w:color w:val="000000"/>
                <w:szCs w:val="22"/>
                <w:lang w:val="sr-Cyrl-CS" w:eastAsia="en-US"/>
              </w:rPr>
              <w:t>,</w:t>
            </w:r>
            <w:r w:rsidRPr="00895819">
              <w:rPr>
                <w:color w:val="000000"/>
                <w:szCs w:val="22"/>
                <w:lang w:val="sr-Cyrl-CS" w:eastAsia="en-US"/>
              </w:rPr>
              <w:t xml:space="preserve">4 </w:t>
            </w:r>
          </w:p>
        </w:tc>
        <w:tc>
          <w:tcPr>
            <w:tcW w:w="1540" w:type="dxa"/>
            <w:tcBorders>
              <w:top w:val="nil"/>
              <w:left w:val="nil"/>
              <w:bottom w:val="nil"/>
              <w:right w:val="single" w:sz="8" w:space="0" w:color="auto"/>
            </w:tcBorders>
            <w:shd w:val="clear" w:color="000000" w:fill="FFFFFF"/>
            <w:vAlign w:val="center"/>
            <w:hideMark/>
          </w:tcPr>
          <w:p w14:paraId="303FAC70" w14:textId="77777777" w:rsidR="009750DD" w:rsidRPr="00895819" w:rsidRDefault="009750DD" w:rsidP="009750DD">
            <w:pPr>
              <w:jc w:val="right"/>
              <w:rPr>
                <w:color w:val="000000"/>
                <w:szCs w:val="22"/>
                <w:lang w:val="sr-Cyrl-CS" w:eastAsia="en-US"/>
              </w:rPr>
            </w:pPr>
            <w:r w:rsidRPr="00895819">
              <w:rPr>
                <w:color w:val="000000"/>
                <w:szCs w:val="22"/>
                <w:lang w:val="sr-Cyrl-CS" w:eastAsia="en-US"/>
              </w:rPr>
              <w:t>12</w:t>
            </w:r>
            <w:r w:rsidR="004B3FF4" w:rsidRPr="00895819">
              <w:rPr>
                <w:color w:val="000000"/>
                <w:szCs w:val="22"/>
                <w:lang w:val="sr-Cyrl-CS" w:eastAsia="en-US"/>
              </w:rPr>
              <w:t>,</w:t>
            </w:r>
            <w:r w:rsidRPr="00895819">
              <w:rPr>
                <w:color w:val="000000"/>
                <w:szCs w:val="22"/>
                <w:lang w:val="sr-Cyrl-CS" w:eastAsia="en-US"/>
              </w:rPr>
              <w:t>56%</w:t>
            </w:r>
          </w:p>
        </w:tc>
      </w:tr>
      <w:tr w:rsidR="009750DD" w:rsidRPr="00895819" w14:paraId="4F8BDC6F" w14:textId="77777777" w:rsidTr="00D66957">
        <w:trPr>
          <w:trHeight w:val="300"/>
        </w:trPr>
        <w:tc>
          <w:tcPr>
            <w:tcW w:w="6100" w:type="dxa"/>
            <w:tcBorders>
              <w:top w:val="nil"/>
              <w:left w:val="single" w:sz="8" w:space="0" w:color="auto"/>
              <w:bottom w:val="nil"/>
              <w:right w:val="single" w:sz="8" w:space="0" w:color="auto"/>
            </w:tcBorders>
            <w:shd w:val="clear" w:color="000000" w:fill="FFFFFF"/>
            <w:vAlign w:val="center"/>
            <w:hideMark/>
          </w:tcPr>
          <w:p w14:paraId="10C5EB6B" w14:textId="77777777" w:rsidR="009750DD" w:rsidRPr="00895819" w:rsidRDefault="004B3FF4">
            <w:pPr>
              <w:rPr>
                <w:color w:val="000000"/>
                <w:sz w:val="20"/>
                <w:lang w:val="sr-Cyrl-CS" w:eastAsia="en-US"/>
              </w:rPr>
            </w:pPr>
            <w:r w:rsidRPr="00895819">
              <w:rPr>
                <w:color w:val="000000"/>
                <w:sz w:val="20"/>
                <w:lang w:val="sr-Cyrl-CS" w:eastAsia="en-US"/>
              </w:rPr>
              <w:t>ДЛИ</w:t>
            </w:r>
            <w:r w:rsidR="00BE110E" w:rsidRPr="00895819">
              <w:rPr>
                <w:color w:val="000000"/>
                <w:sz w:val="20"/>
                <w:lang w:val="sr-Cyrl-CS" w:eastAsia="en-US"/>
              </w:rPr>
              <w:t xml:space="preserve"> </w:t>
            </w:r>
            <w:r w:rsidR="009750DD" w:rsidRPr="00895819">
              <w:rPr>
                <w:color w:val="000000"/>
                <w:sz w:val="20"/>
                <w:lang w:val="sr-Cyrl-CS" w:eastAsia="en-US"/>
              </w:rPr>
              <w:t xml:space="preserve">4 – </w:t>
            </w:r>
            <w:r w:rsidRPr="00895819">
              <w:rPr>
                <w:color w:val="000000"/>
                <w:sz w:val="20"/>
                <w:lang w:val="sr-Cyrl-CS" w:eastAsia="en-US"/>
              </w:rPr>
              <w:t>Веће учешће зелених и климатски оријентисаних инвестиција</w:t>
            </w:r>
          </w:p>
        </w:tc>
        <w:tc>
          <w:tcPr>
            <w:tcW w:w="1540" w:type="dxa"/>
            <w:tcBorders>
              <w:top w:val="nil"/>
              <w:left w:val="nil"/>
              <w:bottom w:val="nil"/>
              <w:right w:val="single" w:sz="8" w:space="0" w:color="auto"/>
            </w:tcBorders>
            <w:shd w:val="clear" w:color="000000" w:fill="FFFFFF"/>
            <w:noWrap/>
            <w:vAlign w:val="bottom"/>
            <w:hideMark/>
          </w:tcPr>
          <w:p w14:paraId="13E52EC2" w14:textId="77777777" w:rsidR="009750DD" w:rsidRPr="00895819" w:rsidRDefault="009750DD" w:rsidP="004B3FF4">
            <w:pPr>
              <w:jc w:val="right"/>
              <w:rPr>
                <w:color w:val="000000"/>
                <w:szCs w:val="22"/>
                <w:lang w:val="sr-Cyrl-CS" w:eastAsia="en-US"/>
              </w:rPr>
            </w:pPr>
            <w:r w:rsidRPr="00895819">
              <w:rPr>
                <w:color w:val="000000"/>
                <w:szCs w:val="22"/>
                <w:lang w:val="sr-Cyrl-CS" w:eastAsia="en-US"/>
              </w:rPr>
              <w:t>62</w:t>
            </w:r>
            <w:r w:rsidR="004B3FF4" w:rsidRPr="00895819">
              <w:rPr>
                <w:color w:val="000000"/>
                <w:szCs w:val="22"/>
                <w:lang w:val="sr-Cyrl-CS" w:eastAsia="en-US"/>
              </w:rPr>
              <w:t>,</w:t>
            </w:r>
            <w:r w:rsidRPr="00895819">
              <w:rPr>
                <w:color w:val="000000"/>
                <w:szCs w:val="22"/>
                <w:lang w:val="sr-Cyrl-CS" w:eastAsia="en-US"/>
              </w:rPr>
              <w:t xml:space="preserve">4 </w:t>
            </w:r>
          </w:p>
        </w:tc>
        <w:tc>
          <w:tcPr>
            <w:tcW w:w="1540" w:type="dxa"/>
            <w:tcBorders>
              <w:top w:val="nil"/>
              <w:left w:val="nil"/>
              <w:bottom w:val="nil"/>
              <w:right w:val="single" w:sz="8" w:space="0" w:color="auto"/>
            </w:tcBorders>
            <w:shd w:val="clear" w:color="000000" w:fill="FFFFFF"/>
            <w:vAlign w:val="center"/>
            <w:hideMark/>
          </w:tcPr>
          <w:p w14:paraId="5A3F7582" w14:textId="77777777" w:rsidR="009750DD" w:rsidRPr="00895819" w:rsidRDefault="009750DD" w:rsidP="009750DD">
            <w:pPr>
              <w:jc w:val="right"/>
              <w:rPr>
                <w:color w:val="000000"/>
                <w:szCs w:val="22"/>
                <w:lang w:val="sr-Cyrl-CS" w:eastAsia="en-US"/>
              </w:rPr>
            </w:pPr>
            <w:r w:rsidRPr="00895819">
              <w:rPr>
                <w:color w:val="000000"/>
                <w:szCs w:val="22"/>
                <w:lang w:val="sr-Cyrl-CS" w:eastAsia="en-US"/>
              </w:rPr>
              <w:t>12</w:t>
            </w:r>
            <w:r w:rsidR="004B3FF4" w:rsidRPr="00895819">
              <w:rPr>
                <w:color w:val="000000"/>
                <w:szCs w:val="22"/>
                <w:lang w:val="sr-Cyrl-CS" w:eastAsia="en-US"/>
              </w:rPr>
              <w:t>,</w:t>
            </w:r>
            <w:r w:rsidRPr="00895819">
              <w:rPr>
                <w:color w:val="000000"/>
                <w:szCs w:val="22"/>
                <w:lang w:val="sr-Cyrl-CS" w:eastAsia="en-US"/>
              </w:rPr>
              <w:t>56%</w:t>
            </w:r>
          </w:p>
        </w:tc>
      </w:tr>
      <w:tr w:rsidR="009750DD" w:rsidRPr="00895819" w14:paraId="6AA66BF0" w14:textId="77777777" w:rsidTr="00D66957">
        <w:trPr>
          <w:trHeight w:val="300"/>
        </w:trPr>
        <w:tc>
          <w:tcPr>
            <w:tcW w:w="6100" w:type="dxa"/>
            <w:tcBorders>
              <w:top w:val="nil"/>
              <w:left w:val="single" w:sz="8" w:space="0" w:color="auto"/>
              <w:bottom w:val="nil"/>
              <w:right w:val="single" w:sz="8" w:space="0" w:color="auto"/>
            </w:tcBorders>
            <w:shd w:val="clear" w:color="000000" w:fill="FFFFFF"/>
            <w:vAlign w:val="center"/>
            <w:hideMark/>
          </w:tcPr>
          <w:p w14:paraId="439470DB" w14:textId="77777777" w:rsidR="009750DD" w:rsidRPr="00895819" w:rsidRDefault="004B3FF4">
            <w:pPr>
              <w:rPr>
                <w:color w:val="000000"/>
                <w:sz w:val="20"/>
                <w:lang w:val="sr-Cyrl-CS" w:eastAsia="en-US"/>
              </w:rPr>
            </w:pPr>
            <w:r w:rsidRPr="00895819">
              <w:rPr>
                <w:color w:val="000000"/>
                <w:sz w:val="20"/>
                <w:lang w:val="sr-Cyrl-CS" w:eastAsia="en-US"/>
              </w:rPr>
              <w:t>ДЛИ</w:t>
            </w:r>
            <w:r w:rsidR="00BE110E" w:rsidRPr="00895819">
              <w:rPr>
                <w:color w:val="000000"/>
                <w:sz w:val="20"/>
                <w:lang w:val="sr-Cyrl-CS" w:eastAsia="en-US"/>
              </w:rPr>
              <w:t xml:space="preserve"> </w:t>
            </w:r>
            <w:r w:rsidR="009750DD" w:rsidRPr="00895819">
              <w:rPr>
                <w:color w:val="000000"/>
                <w:sz w:val="20"/>
                <w:lang w:val="sr-Cyrl-CS" w:eastAsia="en-US"/>
              </w:rPr>
              <w:t xml:space="preserve">5 – </w:t>
            </w:r>
            <w:r w:rsidRPr="00895819">
              <w:rPr>
                <w:color w:val="000000"/>
                <w:sz w:val="20"/>
                <w:lang w:val="sr-Cyrl-CS" w:eastAsia="en-US"/>
              </w:rPr>
              <w:t>Шира примена зелених јавних набавки</w:t>
            </w:r>
          </w:p>
        </w:tc>
        <w:tc>
          <w:tcPr>
            <w:tcW w:w="1540" w:type="dxa"/>
            <w:tcBorders>
              <w:top w:val="nil"/>
              <w:left w:val="nil"/>
              <w:bottom w:val="nil"/>
              <w:right w:val="single" w:sz="8" w:space="0" w:color="auto"/>
            </w:tcBorders>
            <w:shd w:val="clear" w:color="000000" w:fill="FFFFFF"/>
            <w:noWrap/>
            <w:vAlign w:val="bottom"/>
            <w:hideMark/>
          </w:tcPr>
          <w:p w14:paraId="30BA55EE" w14:textId="77777777" w:rsidR="009750DD" w:rsidRPr="00895819" w:rsidRDefault="009750DD" w:rsidP="004B3FF4">
            <w:pPr>
              <w:jc w:val="right"/>
              <w:rPr>
                <w:color w:val="000000"/>
                <w:szCs w:val="22"/>
                <w:lang w:val="sr-Cyrl-CS" w:eastAsia="en-US"/>
              </w:rPr>
            </w:pPr>
            <w:r w:rsidRPr="00895819">
              <w:rPr>
                <w:color w:val="000000"/>
                <w:szCs w:val="22"/>
                <w:lang w:val="sr-Cyrl-CS" w:eastAsia="en-US"/>
              </w:rPr>
              <w:t>2</w:t>
            </w:r>
            <w:r w:rsidR="004B3FF4" w:rsidRPr="00895819">
              <w:rPr>
                <w:color w:val="000000"/>
                <w:szCs w:val="22"/>
                <w:lang w:val="sr-Cyrl-CS" w:eastAsia="en-US"/>
              </w:rPr>
              <w:t>,</w:t>
            </w:r>
            <w:r w:rsidRPr="00895819">
              <w:rPr>
                <w:color w:val="000000"/>
                <w:szCs w:val="22"/>
                <w:lang w:val="sr-Cyrl-CS" w:eastAsia="en-US"/>
              </w:rPr>
              <w:t xml:space="preserve">6 </w:t>
            </w:r>
          </w:p>
        </w:tc>
        <w:tc>
          <w:tcPr>
            <w:tcW w:w="1540" w:type="dxa"/>
            <w:tcBorders>
              <w:top w:val="nil"/>
              <w:left w:val="nil"/>
              <w:bottom w:val="nil"/>
              <w:right w:val="single" w:sz="8" w:space="0" w:color="auto"/>
            </w:tcBorders>
            <w:shd w:val="clear" w:color="000000" w:fill="FFFFFF"/>
            <w:vAlign w:val="center"/>
            <w:hideMark/>
          </w:tcPr>
          <w:p w14:paraId="777F532A" w14:textId="77777777" w:rsidR="009750DD" w:rsidRPr="00895819" w:rsidRDefault="009750DD" w:rsidP="009750DD">
            <w:pPr>
              <w:jc w:val="right"/>
              <w:rPr>
                <w:color w:val="000000"/>
                <w:szCs w:val="22"/>
                <w:lang w:val="sr-Cyrl-CS" w:eastAsia="en-US"/>
              </w:rPr>
            </w:pPr>
            <w:r w:rsidRPr="00895819">
              <w:rPr>
                <w:color w:val="000000"/>
                <w:szCs w:val="22"/>
                <w:lang w:val="sr-Cyrl-CS" w:eastAsia="en-US"/>
              </w:rPr>
              <w:t>0</w:t>
            </w:r>
            <w:r w:rsidR="004B3FF4" w:rsidRPr="00895819">
              <w:rPr>
                <w:color w:val="000000"/>
                <w:szCs w:val="22"/>
                <w:lang w:val="sr-Cyrl-CS" w:eastAsia="en-US"/>
              </w:rPr>
              <w:t>,</w:t>
            </w:r>
            <w:r w:rsidRPr="00895819">
              <w:rPr>
                <w:color w:val="000000"/>
                <w:szCs w:val="22"/>
                <w:lang w:val="sr-Cyrl-CS" w:eastAsia="en-US"/>
              </w:rPr>
              <w:t>53%</w:t>
            </w:r>
          </w:p>
        </w:tc>
      </w:tr>
      <w:tr w:rsidR="009750DD" w:rsidRPr="00895819" w14:paraId="035C09EF" w14:textId="77777777" w:rsidTr="00D66957">
        <w:trPr>
          <w:trHeight w:val="300"/>
        </w:trPr>
        <w:tc>
          <w:tcPr>
            <w:tcW w:w="6100" w:type="dxa"/>
            <w:tcBorders>
              <w:top w:val="nil"/>
              <w:left w:val="single" w:sz="8" w:space="0" w:color="auto"/>
              <w:bottom w:val="nil"/>
              <w:right w:val="single" w:sz="8" w:space="0" w:color="auto"/>
            </w:tcBorders>
            <w:shd w:val="clear" w:color="000000" w:fill="FFFFFF"/>
            <w:vAlign w:val="center"/>
            <w:hideMark/>
          </w:tcPr>
          <w:p w14:paraId="0D87D5CB" w14:textId="77777777" w:rsidR="009750DD" w:rsidRPr="00895819" w:rsidRDefault="004B3FF4">
            <w:pPr>
              <w:rPr>
                <w:color w:val="000000"/>
                <w:sz w:val="20"/>
                <w:lang w:val="sr-Cyrl-CS" w:eastAsia="en-US"/>
              </w:rPr>
            </w:pPr>
            <w:r w:rsidRPr="00895819">
              <w:rPr>
                <w:color w:val="000000"/>
                <w:sz w:val="20"/>
                <w:lang w:val="sr-Cyrl-CS" w:eastAsia="en-US"/>
              </w:rPr>
              <w:t>ДЛИ</w:t>
            </w:r>
            <w:r w:rsidR="00BE110E" w:rsidRPr="00895819">
              <w:rPr>
                <w:color w:val="000000"/>
                <w:sz w:val="20"/>
                <w:lang w:val="sr-Cyrl-CS" w:eastAsia="en-US"/>
              </w:rPr>
              <w:t xml:space="preserve"> </w:t>
            </w:r>
            <w:r w:rsidR="009750DD" w:rsidRPr="00895819">
              <w:rPr>
                <w:color w:val="000000"/>
                <w:sz w:val="20"/>
                <w:lang w:val="sr-Cyrl-CS" w:eastAsia="en-US"/>
              </w:rPr>
              <w:t xml:space="preserve">6 – </w:t>
            </w:r>
            <w:r w:rsidRPr="00895819">
              <w:rPr>
                <w:color w:val="000000"/>
                <w:sz w:val="20"/>
                <w:lang w:val="sr-Cyrl-CS" w:eastAsia="en-US"/>
              </w:rPr>
              <w:t>Унапређење фискалне транспарентности и програмског буџетирања</w:t>
            </w:r>
          </w:p>
        </w:tc>
        <w:tc>
          <w:tcPr>
            <w:tcW w:w="1540" w:type="dxa"/>
            <w:tcBorders>
              <w:top w:val="nil"/>
              <w:left w:val="nil"/>
              <w:bottom w:val="nil"/>
              <w:right w:val="single" w:sz="8" w:space="0" w:color="auto"/>
            </w:tcBorders>
            <w:shd w:val="clear" w:color="000000" w:fill="FFFFFF"/>
            <w:noWrap/>
            <w:vAlign w:val="bottom"/>
            <w:hideMark/>
          </w:tcPr>
          <w:p w14:paraId="2F218D09" w14:textId="77777777" w:rsidR="009750DD" w:rsidRPr="00895819" w:rsidRDefault="009750DD" w:rsidP="004B3FF4">
            <w:pPr>
              <w:jc w:val="right"/>
              <w:rPr>
                <w:color w:val="000000"/>
                <w:szCs w:val="22"/>
                <w:lang w:val="sr-Cyrl-CS" w:eastAsia="en-US"/>
              </w:rPr>
            </w:pPr>
            <w:r w:rsidRPr="00895819">
              <w:rPr>
                <w:color w:val="000000"/>
                <w:szCs w:val="22"/>
                <w:lang w:val="sr-Cyrl-CS" w:eastAsia="en-US"/>
              </w:rPr>
              <w:t>23</w:t>
            </w:r>
            <w:r w:rsidR="004B3FF4" w:rsidRPr="00895819">
              <w:rPr>
                <w:color w:val="000000"/>
                <w:szCs w:val="22"/>
                <w:lang w:val="sr-Cyrl-CS" w:eastAsia="en-US"/>
              </w:rPr>
              <w:t>,</w:t>
            </w:r>
            <w:r w:rsidRPr="00895819">
              <w:rPr>
                <w:color w:val="000000"/>
                <w:szCs w:val="22"/>
                <w:lang w:val="sr-Cyrl-CS" w:eastAsia="en-US"/>
              </w:rPr>
              <w:t xml:space="preserve">5 </w:t>
            </w:r>
          </w:p>
        </w:tc>
        <w:tc>
          <w:tcPr>
            <w:tcW w:w="1540" w:type="dxa"/>
            <w:tcBorders>
              <w:top w:val="nil"/>
              <w:left w:val="nil"/>
              <w:bottom w:val="nil"/>
              <w:right w:val="single" w:sz="8" w:space="0" w:color="auto"/>
            </w:tcBorders>
            <w:shd w:val="clear" w:color="000000" w:fill="FFFFFF"/>
            <w:vAlign w:val="center"/>
            <w:hideMark/>
          </w:tcPr>
          <w:p w14:paraId="352C6644" w14:textId="77777777" w:rsidR="009750DD" w:rsidRPr="00895819" w:rsidRDefault="009750DD" w:rsidP="009750DD">
            <w:pPr>
              <w:jc w:val="right"/>
              <w:rPr>
                <w:color w:val="000000"/>
                <w:szCs w:val="22"/>
                <w:lang w:val="sr-Cyrl-CS" w:eastAsia="en-US"/>
              </w:rPr>
            </w:pPr>
            <w:r w:rsidRPr="00895819">
              <w:rPr>
                <w:color w:val="000000"/>
                <w:szCs w:val="22"/>
                <w:lang w:val="sr-Cyrl-CS" w:eastAsia="en-US"/>
              </w:rPr>
              <w:t>4</w:t>
            </w:r>
            <w:r w:rsidR="004B3FF4" w:rsidRPr="00895819">
              <w:rPr>
                <w:color w:val="000000"/>
                <w:szCs w:val="22"/>
                <w:lang w:val="sr-Cyrl-CS" w:eastAsia="en-US"/>
              </w:rPr>
              <w:t>,</w:t>
            </w:r>
            <w:r w:rsidRPr="00895819">
              <w:rPr>
                <w:color w:val="000000"/>
                <w:szCs w:val="22"/>
                <w:lang w:val="sr-Cyrl-CS" w:eastAsia="en-US"/>
              </w:rPr>
              <w:t>73%</w:t>
            </w:r>
          </w:p>
        </w:tc>
      </w:tr>
      <w:tr w:rsidR="009750DD" w:rsidRPr="00895819" w14:paraId="3EC5F80A" w14:textId="77777777" w:rsidTr="00D66957">
        <w:trPr>
          <w:trHeight w:val="300"/>
        </w:trPr>
        <w:tc>
          <w:tcPr>
            <w:tcW w:w="6100" w:type="dxa"/>
            <w:tcBorders>
              <w:top w:val="nil"/>
              <w:left w:val="single" w:sz="8" w:space="0" w:color="auto"/>
              <w:bottom w:val="nil"/>
              <w:right w:val="single" w:sz="8" w:space="0" w:color="auto"/>
            </w:tcBorders>
            <w:shd w:val="clear" w:color="000000" w:fill="FFFFFF"/>
            <w:vAlign w:val="center"/>
            <w:hideMark/>
          </w:tcPr>
          <w:p w14:paraId="7CF5D762" w14:textId="77777777" w:rsidR="009750DD" w:rsidRPr="00895819" w:rsidRDefault="004B3FF4">
            <w:pPr>
              <w:rPr>
                <w:color w:val="000000"/>
                <w:sz w:val="20"/>
                <w:lang w:val="sr-Cyrl-CS" w:eastAsia="en-US"/>
              </w:rPr>
            </w:pPr>
            <w:r w:rsidRPr="00895819">
              <w:rPr>
                <w:color w:val="000000"/>
                <w:sz w:val="20"/>
                <w:lang w:val="sr-Cyrl-CS" w:eastAsia="en-US"/>
              </w:rPr>
              <w:t>ДЛИ</w:t>
            </w:r>
            <w:r w:rsidR="00BE110E" w:rsidRPr="00895819">
              <w:rPr>
                <w:color w:val="000000"/>
                <w:sz w:val="20"/>
                <w:lang w:val="sr-Cyrl-CS" w:eastAsia="en-US"/>
              </w:rPr>
              <w:t xml:space="preserve"> </w:t>
            </w:r>
            <w:r w:rsidR="009750DD" w:rsidRPr="00895819">
              <w:rPr>
                <w:color w:val="000000"/>
                <w:sz w:val="20"/>
                <w:lang w:val="sr-Cyrl-CS" w:eastAsia="en-US"/>
              </w:rPr>
              <w:t xml:space="preserve">7 – </w:t>
            </w:r>
            <w:r w:rsidRPr="00895819">
              <w:rPr>
                <w:color w:val="000000"/>
                <w:sz w:val="20"/>
                <w:lang w:val="sr-Cyrl-CS" w:eastAsia="en-US"/>
              </w:rPr>
              <w:t>Ефикасније праћење фискалних ризика</w:t>
            </w:r>
          </w:p>
        </w:tc>
        <w:tc>
          <w:tcPr>
            <w:tcW w:w="1540" w:type="dxa"/>
            <w:tcBorders>
              <w:top w:val="nil"/>
              <w:left w:val="nil"/>
              <w:bottom w:val="nil"/>
              <w:right w:val="single" w:sz="8" w:space="0" w:color="auto"/>
            </w:tcBorders>
            <w:shd w:val="clear" w:color="000000" w:fill="FFFFFF"/>
            <w:noWrap/>
            <w:vAlign w:val="bottom"/>
            <w:hideMark/>
          </w:tcPr>
          <w:p w14:paraId="7E54C854" w14:textId="77777777" w:rsidR="009750DD" w:rsidRPr="00895819" w:rsidRDefault="009750DD" w:rsidP="004B3FF4">
            <w:pPr>
              <w:jc w:val="right"/>
              <w:rPr>
                <w:color w:val="000000"/>
                <w:szCs w:val="22"/>
                <w:lang w:val="sr-Cyrl-CS" w:eastAsia="en-US"/>
              </w:rPr>
            </w:pPr>
            <w:r w:rsidRPr="00895819">
              <w:rPr>
                <w:color w:val="000000"/>
                <w:szCs w:val="22"/>
                <w:lang w:val="sr-Cyrl-CS" w:eastAsia="en-US"/>
              </w:rPr>
              <w:t>-</w:t>
            </w:r>
          </w:p>
        </w:tc>
        <w:tc>
          <w:tcPr>
            <w:tcW w:w="1540" w:type="dxa"/>
            <w:tcBorders>
              <w:top w:val="nil"/>
              <w:left w:val="nil"/>
              <w:bottom w:val="nil"/>
              <w:right w:val="single" w:sz="8" w:space="0" w:color="auto"/>
            </w:tcBorders>
            <w:shd w:val="clear" w:color="000000" w:fill="FFFFFF"/>
            <w:vAlign w:val="center"/>
            <w:hideMark/>
          </w:tcPr>
          <w:p w14:paraId="159636EE" w14:textId="77777777" w:rsidR="009750DD" w:rsidRPr="00895819" w:rsidRDefault="009750DD" w:rsidP="009750DD">
            <w:pPr>
              <w:jc w:val="right"/>
              <w:rPr>
                <w:color w:val="000000"/>
                <w:szCs w:val="22"/>
                <w:lang w:val="sr-Cyrl-CS" w:eastAsia="en-US"/>
              </w:rPr>
            </w:pPr>
            <w:r w:rsidRPr="00895819">
              <w:rPr>
                <w:color w:val="000000"/>
                <w:szCs w:val="22"/>
                <w:lang w:val="sr-Cyrl-CS" w:eastAsia="en-US"/>
              </w:rPr>
              <w:t>0</w:t>
            </w:r>
            <w:r w:rsidR="004B3FF4" w:rsidRPr="00895819">
              <w:rPr>
                <w:color w:val="000000"/>
                <w:szCs w:val="22"/>
                <w:lang w:val="sr-Cyrl-CS" w:eastAsia="en-US"/>
              </w:rPr>
              <w:t>,</w:t>
            </w:r>
            <w:r w:rsidRPr="00895819">
              <w:rPr>
                <w:color w:val="000000"/>
                <w:szCs w:val="22"/>
                <w:lang w:val="sr-Cyrl-CS" w:eastAsia="en-US"/>
              </w:rPr>
              <w:t>00%</w:t>
            </w:r>
          </w:p>
        </w:tc>
      </w:tr>
      <w:tr w:rsidR="009750DD" w:rsidRPr="00895819" w14:paraId="25A8CE73" w14:textId="77777777" w:rsidTr="00D66957">
        <w:trPr>
          <w:trHeight w:val="300"/>
        </w:trPr>
        <w:tc>
          <w:tcPr>
            <w:tcW w:w="6100" w:type="dxa"/>
            <w:tcBorders>
              <w:top w:val="nil"/>
              <w:left w:val="single" w:sz="8" w:space="0" w:color="auto"/>
              <w:bottom w:val="nil"/>
              <w:right w:val="single" w:sz="8" w:space="0" w:color="auto"/>
            </w:tcBorders>
            <w:shd w:val="clear" w:color="000000" w:fill="FFFFFF"/>
            <w:vAlign w:val="center"/>
            <w:hideMark/>
          </w:tcPr>
          <w:p w14:paraId="4BC97E95" w14:textId="77777777" w:rsidR="009750DD" w:rsidRPr="00895819" w:rsidRDefault="004B3FF4">
            <w:pPr>
              <w:rPr>
                <w:color w:val="000000"/>
                <w:sz w:val="20"/>
                <w:lang w:val="sr-Cyrl-CS" w:eastAsia="en-US"/>
              </w:rPr>
            </w:pPr>
            <w:r w:rsidRPr="00895819">
              <w:rPr>
                <w:color w:val="000000"/>
                <w:sz w:val="20"/>
                <w:lang w:val="sr-Cyrl-CS" w:eastAsia="en-US"/>
              </w:rPr>
              <w:t>ДЛИ</w:t>
            </w:r>
            <w:r w:rsidR="00BE110E" w:rsidRPr="00895819">
              <w:rPr>
                <w:color w:val="000000"/>
                <w:sz w:val="20"/>
                <w:lang w:val="sr-Cyrl-CS" w:eastAsia="en-US"/>
              </w:rPr>
              <w:t xml:space="preserve"> </w:t>
            </w:r>
            <w:r w:rsidR="009750DD" w:rsidRPr="00895819">
              <w:rPr>
                <w:color w:val="000000"/>
                <w:sz w:val="20"/>
                <w:lang w:val="sr-Cyrl-CS" w:eastAsia="en-US"/>
              </w:rPr>
              <w:t xml:space="preserve">8 – </w:t>
            </w:r>
            <w:r w:rsidRPr="00895819">
              <w:rPr>
                <w:color w:val="000000"/>
                <w:sz w:val="20"/>
                <w:lang w:val="sr-Cyrl-CS" w:eastAsia="en-US"/>
              </w:rPr>
              <w:t>Операционализација МРВ система за емисије гасова са ефектом стаклене баште</w:t>
            </w:r>
          </w:p>
        </w:tc>
        <w:tc>
          <w:tcPr>
            <w:tcW w:w="1540" w:type="dxa"/>
            <w:tcBorders>
              <w:top w:val="nil"/>
              <w:left w:val="nil"/>
              <w:bottom w:val="nil"/>
              <w:right w:val="single" w:sz="8" w:space="0" w:color="auto"/>
            </w:tcBorders>
            <w:shd w:val="clear" w:color="000000" w:fill="FFFFFF"/>
            <w:noWrap/>
            <w:vAlign w:val="bottom"/>
            <w:hideMark/>
          </w:tcPr>
          <w:p w14:paraId="0C0A0A00" w14:textId="77777777" w:rsidR="009750DD" w:rsidRPr="00895819" w:rsidRDefault="009750DD" w:rsidP="004B3FF4">
            <w:pPr>
              <w:jc w:val="right"/>
              <w:rPr>
                <w:color w:val="000000"/>
                <w:szCs w:val="22"/>
                <w:lang w:val="sr-Cyrl-CS" w:eastAsia="en-US"/>
              </w:rPr>
            </w:pPr>
            <w:r w:rsidRPr="00895819">
              <w:rPr>
                <w:color w:val="000000"/>
                <w:szCs w:val="22"/>
                <w:lang w:val="sr-Cyrl-CS" w:eastAsia="en-US"/>
              </w:rPr>
              <w:t>5</w:t>
            </w:r>
            <w:r w:rsidR="004B3FF4" w:rsidRPr="00895819">
              <w:rPr>
                <w:color w:val="000000"/>
                <w:szCs w:val="22"/>
                <w:lang w:val="sr-Cyrl-CS" w:eastAsia="en-US"/>
              </w:rPr>
              <w:t>,</w:t>
            </w:r>
            <w:r w:rsidRPr="00895819">
              <w:rPr>
                <w:color w:val="000000"/>
                <w:szCs w:val="22"/>
                <w:lang w:val="sr-Cyrl-CS" w:eastAsia="en-US"/>
              </w:rPr>
              <w:t xml:space="preserve">1 </w:t>
            </w:r>
          </w:p>
        </w:tc>
        <w:tc>
          <w:tcPr>
            <w:tcW w:w="1540" w:type="dxa"/>
            <w:tcBorders>
              <w:top w:val="nil"/>
              <w:left w:val="nil"/>
              <w:bottom w:val="nil"/>
              <w:right w:val="single" w:sz="8" w:space="0" w:color="auto"/>
            </w:tcBorders>
            <w:shd w:val="clear" w:color="000000" w:fill="FFFFFF"/>
            <w:vAlign w:val="center"/>
            <w:hideMark/>
          </w:tcPr>
          <w:p w14:paraId="782E5CBE" w14:textId="77777777" w:rsidR="009750DD" w:rsidRPr="00895819" w:rsidRDefault="009750DD" w:rsidP="009750DD">
            <w:pPr>
              <w:jc w:val="right"/>
              <w:rPr>
                <w:color w:val="000000"/>
                <w:szCs w:val="22"/>
                <w:lang w:val="sr-Cyrl-CS" w:eastAsia="en-US"/>
              </w:rPr>
            </w:pPr>
            <w:r w:rsidRPr="00895819">
              <w:rPr>
                <w:color w:val="000000"/>
                <w:szCs w:val="22"/>
                <w:lang w:val="sr-Cyrl-CS" w:eastAsia="en-US"/>
              </w:rPr>
              <w:t>1</w:t>
            </w:r>
            <w:r w:rsidR="004B3FF4" w:rsidRPr="00895819">
              <w:rPr>
                <w:color w:val="000000"/>
                <w:szCs w:val="22"/>
                <w:lang w:val="sr-Cyrl-CS" w:eastAsia="en-US"/>
              </w:rPr>
              <w:t>,</w:t>
            </w:r>
            <w:r w:rsidRPr="00895819">
              <w:rPr>
                <w:color w:val="000000"/>
                <w:szCs w:val="22"/>
                <w:lang w:val="sr-Cyrl-CS" w:eastAsia="en-US"/>
              </w:rPr>
              <w:t>02%</w:t>
            </w:r>
          </w:p>
        </w:tc>
      </w:tr>
      <w:tr w:rsidR="009750DD" w:rsidRPr="00895819" w14:paraId="2BFE5914" w14:textId="77777777" w:rsidTr="00D66957">
        <w:trPr>
          <w:trHeight w:val="799"/>
        </w:trPr>
        <w:tc>
          <w:tcPr>
            <w:tcW w:w="6100" w:type="dxa"/>
            <w:tcBorders>
              <w:top w:val="nil"/>
              <w:left w:val="single" w:sz="8" w:space="0" w:color="auto"/>
              <w:bottom w:val="nil"/>
              <w:right w:val="single" w:sz="8" w:space="0" w:color="auto"/>
            </w:tcBorders>
            <w:shd w:val="clear" w:color="000000" w:fill="FFFFFF"/>
            <w:vAlign w:val="center"/>
            <w:hideMark/>
          </w:tcPr>
          <w:p w14:paraId="5804DB22" w14:textId="77777777" w:rsidR="009750DD" w:rsidRPr="00895819" w:rsidRDefault="004B3FF4">
            <w:pPr>
              <w:rPr>
                <w:b/>
                <w:bCs/>
                <w:color w:val="000000"/>
                <w:sz w:val="20"/>
                <w:lang w:val="sr-Cyrl-CS" w:eastAsia="en-US"/>
              </w:rPr>
            </w:pPr>
            <w:r w:rsidRPr="00895819">
              <w:rPr>
                <w:b/>
                <w:bCs/>
                <w:color w:val="000000"/>
                <w:sz w:val="20"/>
                <w:lang w:val="sr-Cyrl-CS" w:eastAsia="en-US"/>
              </w:rPr>
              <w:t>Оперативни расходи и трансфери везани за Програм</w:t>
            </w:r>
            <w:r w:rsidR="00BE110E" w:rsidRPr="00895819">
              <w:rPr>
                <w:rStyle w:val="FootnoteReference"/>
                <w:b/>
                <w:bCs/>
                <w:color w:val="000000"/>
                <w:sz w:val="20"/>
                <w:lang w:val="sr-Cyrl-CS" w:eastAsia="en-US"/>
              </w:rPr>
              <w:footnoteReference w:id="6"/>
            </w:r>
          </w:p>
        </w:tc>
        <w:tc>
          <w:tcPr>
            <w:tcW w:w="1540" w:type="dxa"/>
            <w:tcBorders>
              <w:top w:val="nil"/>
              <w:left w:val="nil"/>
              <w:bottom w:val="nil"/>
              <w:right w:val="single" w:sz="8" w:space="0" w:color="auto"/>
            </w:tcBorders>
            <w:shd w:val="clear" w:color="000000" w:fill="FFFFFF"/>
            <w:vAlign w:val="center"/>
            <w:hideMark/>
          </w:tcPr>
          <w:p w14:paraId="4D577A85" w14:textId="77777777" w:rsidR="009750DD" w:rsidRPr="00895819" w:rsidRDefault="009750DD" w:rsidP="009750DD">
            <w:pPr>
              <w:jc w:val="right"/>
              <w:rPr>
                <w:b/>
                <w:bCs/>
                <w:color w:val="000000"/>
                <w:sz w:val="24"/>
                <w:szCs w:val="24"/>
                <w:lang w:val="sr-Cyrl-CS" w:eastAsia="en-US"/>
              </w:rPr>
            </w:pPr>
            <w:r w:rsidRPr="00895819">
              <w:rPr>
                <w:b/>
                <w:bCs/>
                <w:color w:val="000000"/>
                <w:sz w:val="24"/>
                <w:szCs w:val="24"/>
                <w:lang w:val="sr-Cyrl-CS" w:eastAsia="en-US"/>
              </w:rPr>
              <w:t>327</w:t>
            </w:r>
            <w:r w:rsidR="004B3FF4" w:rsidRPr="00895819">
              <w:rPr>
                <w:b/>
                <w:bCs/>
                <w:color w:val="000000"/>
                <w:sz w:val="24"/>
                <w:szCs w:val="24"/>
                <w:lang w:val="sr-Cyrl-CS" w:eastAsia="en-US"/>
              </w:rPr>
              <w:t>,</w:t>
            </w:r>
            <w:r w:rsidRPr="00895819">
              <w:rPr>
                <w:b/>
                <w:bCs/>
                <w:color w:val="000000"/>
                <w:sz w:val="24"/>
                <w:szCs w:val="24"/>
                <w:lang w:val="sr-Cyrl-CS" w:eastAsia="en-US"/>
              </w:rPr>
              <w:t>4</w:t>
            </w:r>
          </w:p>
        </w:tc>
        <w:tc>
          <w:tcPr>
            <w:tcW w:w="1540" w:type="dxa"/>
            <w:tcBorders>
              <w:top w:val="nil"/>
              <w:left w:val="nil"/>
              <w:bottom w:val="nil"/>
              <w:right w:val="single" w:sz="8" w:space="0" w:color="auto"/>
            </w:tcBorders>
            <w:shd w:val="clear" w:color="000000" w:fill="FFFFFF"/>
            <w:vAlign w:val="center"/>
            <w:hideMark/>
          </w:tcPr>
          <w:p w14:paraId="300431FC" w14:textId="77777777" w:rsidR="009750DD" w:rsidRPr="00895819" w:rsidRDefault="009750DD" w:rsidP="009750DD">
            <w:pPr>
              <w:jc w:val="right"/>
              <w:rPr>
                <w:b/>
                <w:bCs/>
                <w:color w:val="000000"/>
                <w:sz w:val="24"/>
                <w:szCs w:val="24"/>
                <w:lang w:val="sr-Cyrl-CS" w:eastAsia="en-US"/>
              </w:rPr>
            </w:pPr>
            <w:r w:rsidRPr="00895819">
              <w:rPr>
                <w:b/>
                <w:bCs/>
                <w:color w:val="000000"/>
                <w:sz w:val="24"/>
                <w:szCs w:val="24"/>
                <w:lang w:val="sr-Cyrl-CS" w:eastAsia="en-US"/>
              </w:rPr>
              <w:t>65</w:t>
            </w:r>
            <w:r w:rsidR="004B3FF4" w:rsidRPr="00895819">
              <w:rPr>
                <w:b/>
                <w:bCs/>
                <w:color w:val="000000"/>
                <w:sz w:val="24"/>
                <w:szCs w:val="24"/>
                <w:lang w:val="sr-Cyrl-CS" w:eastAsia="en-US"/>
              </w:rPr>
              <w:t>,</w:t>
            </w:r>
            <w:r w:rsidRPr="00895819">
              <w:rPr>
                <w:b/>
                <w:bCs/>
                <w:color w:val="000000"/>
                <w:sz w:val="24"/>
                <w:szCs w:val="24"/>
                <w:lang w:val="sr-Cyrl-CS" w:eastAsia="en-US"/>
              </w:rPr>
              <w:t>87%</w:t>
            </w:r>
          </w:p>
        </w:tc>
      </w:tr>
      <w:tr w:rsidR="009750DD" w:rsidRPr="00895819" w14:paraId="3294A84A" w14:textId="77777777" w:rsidTr="00D66957">
        <w:trPr>
          <w:trHeight w:val="799"/>
        </w:trPr>
        <w:tc>
          <w:tcPr>
            <w:tcW w:w="6100" w:type="dxa"/>
            <w:tcBorders>
              <w:top w:val="nil"/>
              <w:left w:val="single" w:sz="8" w:space="0" w:color="auto"/>
              <w:bottom w:val="nil"/>
              <w:right w:val="single" w:sz="8" w:space="0" w:color="auto"/>
            </w:tcBorders>
            <w:shd w:val="clear" w:color="000000" w:fill="FFFFFF"/>
            <w:vAlign w:val="center"/>
            <w:hideMark/>
          </w:tcPr>
          <w:p w14:paraId="57AC2783" w14:textId="77777777" w:rsidR="009750DD" w:rsidRPr="00895819" w:rsidRDefault="004B3FF4">
            <w:pPr>
              <w:rPr>
                <w:b/>
                <w:bCs/>
                <w:color w:val="000000"/>
                <w:sz w:val="20"/>
                <w:lang w:val="sr-Cyrl-CS" w:eastAsia="en-US"/>
              </w:rPr>
            </w:pPr>
            <w:r w:rsidRPr="00895819">
              <w:rPr>
                <w:b/>
                <w:bCs/>
                <w:color w:val="000000"/>
                <w:sz w:val="20"/>
                <w:lang w:val="sr-Cyrl-CS" w:eastAsia="en-US"/>
              </w:rPr>
              <w:t>Техничка помоћ</w:t>
            </w:r>
            <w:r w:rsidR="00640582" w:rsidRPr="00895819">
              <w:rPr>
                <w:b/>
                <w:bCs/>
                <w:color w:val="000000"/>
                <w:sz w:val="20"/>
                <w:lang w:val="sr-Cyrl-CS" w:eastAsia="en-US"/>
              </w:rPr>
              <w:t xml:space="preserve"> (</w:t>
            </w:r>
            <w:r w:rsidRPr="00895819">
              <w:rPr>
                <w:b/>
                <w:bCs/>
                <w:color w:val="000000"/>
                <w:sz w:val="20"/>
                <w:lang w:val="sr-Cyrl-CS" w:eastAsia="en-US"/>
              </w:rPr>
              <w:t>у оквиру суфинансирања</w:t>
            </w:r>
            <w:r w:rsidR="00640582" w:rsidRPr="00895819">
              <w:rPr>
                <w:b/>
                <w:bCs/>
                <w:color w:val="000000"/>
                <w:sz w:val="20"/>
                <w:lang w:val="sr-Cyrl-CS" w:eastAsia="en-US"/>
              </w:rPr>
              <w:t>)</w:t>
            </w:r>
            <w:r w:rsidR="00BE110E" w:rsidRPr="00895819">
              <w:rPr>
                <w:rStyle w:val="FootnoteReference"/>
                <w:b/>
                <w:bCs/>
                <w:color w:val="000000"/>
                <w:sz w:val="20"/>
                <w:lang w:val="sr-Cyrl-CS" w:eastAsia="en-US"/>
              </w:rPr>
              <w:footnoteReference w:id="7"/>
            </w:r>
          </w:p>
        </w:tc>
        <w:tc>
          <w:tcPr>
            <w:tcW w:w="1540" w:type="dxa"/>
            <w:tcBorders>
              <w:top w:val="nil"/>
              <w:left w:val="nil"/>
              <w:bottom w:val="nil"/>
              <w:right w:val="single" w:sz="8" w:space="0" w:color="auto"/>
            </w:tcBorders>
            <w:shd w:val="clear" w:color="000000" w:fill="FFFFFF"/>
            <w:vAlign w:val="center"/>
            <w:hideMark/>
          </w:tcPr>
          <w:p w14:paraId="02749EDD" w14:textId="77777777" w:rsidR="009750DD" w:rsidRPr="00895819" w:rsidRDefault="009750DD" w:rsidP="009750DD">
            <w:pPr>
              <w:jc w:val="right"/>
              <w:rPr>
                <w:b/>
                <w:bCs/>
                <w:color w:val="000000"/>
                <w:sz w:val="24"/>
                <w:szCs w:val="24"/>
                <w:lang w:val="sr-Cyrl-CS" w:eastAsia="en-US"/>
              </w:rPr>
            </w:pPr>
            <w:r w:rsidRPr="00895819">
              <w:rPr>
                <w:b/>
                <w:bCs/>
                <w:color w:val="000000"/>
                <w:sz w:val="24"/>
                <w:szCs w:val="24"/>
                <w:lang w:val="sr-Cyrl-CS" w:eastAsia="en-US"/>
              </w:rPr>
              <w:t>6</w:t>
            </w:r>
            <w:r w:rsidR="004B3FF4" w:rsidRPr="00895819">
              <w:rPr>
                <w:b/>
                <w:bCs/>
                <w:color w:val="000000"/>
                <w:sz w:val="24"/>
                <w:szCs w:val="24"/>
                <w:lang w:val="sr-Cyrl-CS" w:eastAsia="en-US"/>
              </w:rPr>
              <w:t>,</w:t>
            </w:r>
            <w:r w:rsidRPr="00895819">
              <w:rPr>
                <w:b/>
                <w:bCs/>
                <w:color w:val="000000"/>
                <w:sz w:val="24"/>
                <w:szCs w:val="24"/>
                <w:lang w:val="sr-Cyrl-CS" w:eastAsia="en-US"/>
              </w:rPr>
              <w:t>0</w:t>
            </w:r>
          </w:p>
        </w:tc>
        <w:tc>
          <w:tcPr>
            <w:tcW w:w="1540" w:type="dxa"/>
            <w:tcBorders>
              <w:top w:val="nil"/>
              <w:left w:val="nil"/>
              <w:bottom w:val="nil"/>
              <w:right w:val="single" w:sz="8" w:space="0" w:color="auto"/>
            </w:tcBorders>
            <w:shd w:val="clear" w:color="000000" w:fill="FFFFFF"/>
            <w:vAlign w:val="center"/>
            <w:hideMark/>
          </w:tcPr>
          <w:p w14:paraId="4EFF48B2" w14:textId="77777777" w:rsidR="009750DD" w:rsidRPr="00895819" w:rsidRDefault="009750DD" w:rsidP="009750DD">
            <w:pPr>
              <w:jc w:val="right"/>
              <w:rPr>
                <w:b/>
                <w:bCs/>
                <w:color w:val="000000"/>
                <w:sz w:val="24"/>
                <w:szCs w:val="24"/>
                <w:lang w:val="sr-Cyrl-CS" w:eastAsia="en-US"/>
              </w:rPr>
            </w:pPr>
            <w:r w:rsidRPr="00895819">
              <w:rPr>
                <w:b/>
                <w:bCs/>
                <w:color w:val="000000"/>
                <w:sz w:val="24"/>
                <w:szCs w:val="24"/>
                <w:lang w:val="sr-Cyrl-CS" w:eastAsia="en-US"/>
              </w:rPr>
              <w:t>1</w:t>
            </w:r>
            <w:r w:rsidR="004B3FF4" w:rsidRPr="00895819">
              <w:rPr>
                <w:b/>
                <w:bCs/>
                <w:color w:val="000000"/>
                <w:sz w:val="24"/>
                <w:szCs w:val="24"/>
                <w:lang w:val="sr-Cyrl-CS" w:eastAsia="en-US"/>
              </w:rPr>
              <w:t>,</w:t>
            </w:r>
            <w:r w:rsidRPr="00895819">
              <w:rPr>
                <w:b/>
                <w:bCs/>
                <w:color w:val="000000"/>
                <w:sz w:val="24"/>
                <w:szCs w:val="24"/>
                <w:lang w:val="sr-Cyrl-CS" w:eastAsia="en-US"/>
              </w:rPr>
              <w:t>21%</w:t>
            </w:r>
          </w:p>
        </w:tc>
      </w:tr>
      <w:tr w:rsidR="009750DD" w:rsidRPr="00895819" w14:paraId="34EB07A3" w14:textId="77777777" w:rsidTr="00D66957">
        <w:trPr>
          <w:trHeight w:val="330"/>
        </w:trPr>
        <w:tc>
          <w:tcPr>
            <w:tcW w:w="6100" w:type="dxa"/>
            <w:tcBorders>
              <w:top w:val="nil"/>
              <w:left w:val="single" w:sz="8" w:space="0" w:color="auto"/>
              <w:bottom w:val="single" w:sz="8" w:space="0" w:color="auto"/>
              <w:right w:val="single" w:sz="8" w:space="0" w:color="auto"/>
            </w:tcBorders>
            <w:shd w:val="clear" w:color="000000" w:fill="FFFFFF"/>
            <w:vAlign w:val="center"/>
            <w:hideMark/>
          </w:tcPr>
          <w:p w14:paraId="0C08DE47" w14:textId="77777777" w:rsidR="009750DD" w:rsidRPr="00895819" w:rsidRDefault="004B3FF4">
            <w:pPr>
              <w:rPr>
                <w:b/>
                <w:bCs/>
                <w:color w:val="000000"/>
                <w:sz w:val="24"/>
                <w:szCs w:val="24"/>
                <w:lang w:val="sr-Cyrl-CS" w:eastAsia="en-US"/>
              </w:rPr>
            </w:pPr>
            <w:r w:rsidRPr="00895819">
              <w:rPr>
                <w:b/>
                <w:bCs/>
                <w:color w:val="000000"/>
                <w:sz w:val="24"/>
                <w:szCs w:val="24"/>
                <w:lang w:val="sr-Cyrl-CS" w:eastAsia="en-US"/>
              </w:rPr>
              <w:t>Укупно</w:t>
            </w:r>
          </w:p>
        </w:tc>
        <w:tc>
          <w:tcPr>
            <w:tcW w:w="1540" w:type="dxa"/>
            <w:tcBorders>
              <w:top w:val="nil"/>
              <w:left w:val="nil"/>
              <w:bottom w:val="single" w:sz="8" w:space="0" w:color="auto"/>
              <w:right w:val="single" w:sz="8" w:space="0" w:color="auto"/>
            </w:tcBorders>
            <w:shd w:val="clear" w:color="000000" w:fill="FFFFFF"/>
            <w:vAlign w:val="center"/>
            <w:hideMark/>
          </w:tcPr>
          <w:p w14:paraId="4B43F088" w14:textId="77777777" w:rsidR="009750DD" w:rsidRPr="00895819" w:rsidRDefault="009750DD" w:rsidP="009750DD">
            <w:pPr>
              <w:jc w:val="right"/>
              <w:rPr>
                <w:b/>
                <w:bCs/>
                <w:color w:val="000000"/>
                <w:sz w:val="24"/>
                <w:szCs w:val="24"/>
                <w:lang w:val="sr-Cyrl-CS" w:eastAsia="en-US"/>
              </w:rPr>
            </w:pPr>
            <w:r w:rsidRPr="00895819">
              <w:rPr>
                <w:b/>
                <w:bCs/>
                <w:color w:val="000000"/>
                <w:sz w:val="24"/>
                <w:szCs w:val="24"/>
                <w:lang w:val="sr-Cyrl-CS" w:eastAsia="en-US"/>
              </w:rPr>
              <w:t>497</w:t>
            </w:r>
            <w:r w:rsidR="004B3FF4" w:rsidRPr="00895819">
              <w:rPr>
                <w:b/>
                <w:bCs/>
                <w:color w:val="000000"/>
                <w:sz w:val="24"/>
                <w:szCs w:val="24"/>
                <w:lang w:val="sr-Cyrl-CS" w:eastAsia="en-US"/>
              </w:rPr>
              <w:t>,</w:t>
            </w:r>
            <w:r w:rsidRPr="00895819">
              <w:rPr>
                <w:b/>
                <w:bCs/>
                <w:color w:val="000000"/>
                <w:sz w:val="24"/>
                <w:szCs w:val="24"/>
                <w:lang w:val="sr-Cyrl-CS" w:eastAsia="en-US"/>
              </w:rPr>
              <w:t>0</w:t>
            </w:r>
          </w:p>
        </w:tc>
        <w:tc>
          <w:tcPr>
            <w:tcW w:w="1540" w:type="dxa"/>
            <w:tcBorders>
              <w:top w:val="nil"/>
              <w:left w:val="nil"/>
              <w:bottom w:val="single" w:sz="8" w:space="0" w:color="auto"/>
              <w:right w:val="single" w:sz="8" w:space="0" w:color="auto"/>
            </w:tcBorders>
            <w:shd w:val="clear" w:color="000000" w:fill="FFFFFF"/>
            <w:vAlign w:val="center"/>
            <w:hideMark/>
          </w:tcPr>
          <w:p w14:paraId="086F67BA" w14:textId="77777777" w:rsidR="009750DD" w:rsidRPr="00895819" w:rsidRDefault="009750DD" w:rsidP="009750DD">
            <w:pPr>
              <w:jc w:val="right"/>
              <w:rPr>
                <w:b/>
                <w:bCs/>
                <w:color w:val="000000"/>
                <w:sz w:val="24"/>
                <w:szCs w:val="24"/>
                <w:lang w:val="sr-Cyrl-CS" w:eastAsia="en-US"/>
              </w:rPr>
            </w:pPr>
            <w:r w:rsidRPr="00895819">
              <w:rPr>
                <w:b/>
                <w:bCs/>
                <w:color w:val="000000"/>
                <w:sz w:val="24"/>
                <w:szCs w:val="24"/>
                <w:lang w:val="sr-Cyrl-CS" w:eastAsia="en-US"/>
              </w:rPr>
              <w:t>100%</w:t>
            </w:r>
          </w:p>
        </w:tc>
      </w:tr>
    </w:tbl>
    <w:p w14:paraId="3790D37A" w14:textId="77777777" w:rsidR="009750DD" w:rsidRPr="00895819" w:rsidRDefault="009750DD" w:rsidP="00B16F8D">
      <w:pPr>
        <w:pStyle w:val="BodyText"/>
        <w:jc w:val="left"/>
        <w:rPr>
          <w:rFonts w:cs="Times New Roman"/>
          <w:iCs/>
          <w:color w:val="000000"/>
          <w:lang w:val="sr-Cyrl-CS"/>
        </w:rPr>
      </w:pPr>
    </w:p>
    <w:p w14:paraId="4A0DD24D" w14:textId="77777777" w:rsidR="00B16F8D" w:rsidRPr="00895819" w:rsidRDefault="00B16F8D" w:rsidP="00B16F8D">
      <w:pPr>
        <w:pStyle w:val="BodyText"/>
        <w:jc w:val="left"/>
        <w:rPr>
          <w:rFonts w:cs="Times New Roman"/>
          <w:iCs/>
          <w:color w:val="000000"/>
          <w:lang w:val="sr-Cyrl-CS"/>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1"/>
        <w:gridCol w:w="3185"/>
        <w:gridCol w:w="925"/>
      </w:tblGrid>
      <w:tr w:rsidR="00B16F8D" w:rsidRPr="00895819" w14:paraId="5BCBAB30" w14:textId="77777777" w:rsidTr="00485361">
        <w:tc>
          <w:tcPr>
            <w:tcW w:w="5671" w:type="dxa"/>
            <w:tcBorders>
              <w:bottom w:val="nil"/>
            </w:tcBorders>
            <w:shd w:val="clear" w:color="auto" w:fill="002060"/>
            <w:vAlign w:val="center"/>
          </w:tcPr>
          <w:p w14:paraId="0F49ABCB" w14:textId="77777777" w:rsidR="00B16F8D" w:rsidRPr="00895819" w:rsidRDefault="003233A3" w:rsidP="00485361">
            <w:pPr>
              <w:jc w:val="center"/>
              <w:rPr>
                <w:sz w:val="24"/>
                <w:lang w:val="sr-Cyrl-CS"/>
              </w:rPr>
            </w:pPr>
            <w:r w:rsidRPr="00895819">
              <w:rPr>
                <w:b/>
                <w:sz w:val="24"/>
                <w:lang w:val="sr-Cyrl-CS"/>
              </w:rPr>
              <w:t>План финансирања</w:t>
            </w:r>
          </w:p>
        </w:tc>
        <w:tc>
          <w:tcPr>
            <w:tcW w:w="3185" w:type="dxa"/>
            <w:tcBorders>
              <w:bottom w:val="nil"/>
            </w:tcBorders>
            <w:shd w:val="clear" w:color="auto" w:fill="002060"/>
            <w:vAlign w:val="center"/>
          </w:tcPr>
          <w:p w14:paraId="185039BB" w14:textId="77777777" w:rsidR="00B16F8D" w:rsidRPr="00895819" w:rsidRDefault="003233A3" w:rsidP="00485361">
            <w:pPr>
              <w:jc w:val="center"/>
              <w:rPr>
                <w:b/>
                <w:sz w:val="24"/>
                <w:lang w:val="sr-Cyrl-CS"/>
              </w:rPr>
            </w:pPr>
            <w:r w:rsidRPr="00895819">
              <w:rPr>
                <w:b/>
                <w:sz w:val="24"/>
                <w:lang w:val="sr-Cyrl-CS"/>
              </w:rPr>
              <w:t>мил. ЕУР</w:t>
            </w:r>
          </w:p>
        </w:tc>
        <w:tc>
          <w:tcPr>
            <w:tcW w:w="925" w:type="dxa"/>
            <w:tcBorders>
              <w:bottom w:val="nil"/>
            </w:tcBorders>
            <w:shd w:val="clear" w:color="auto" w:fill="002060"/>
            <w:vAlign w:val="center"/>
          </w:tcPr>
          <w:p w14:paraId="58C36A23" w14:textId="77777777" w:rsidR="00B16F8D" w:rsidRPr="00895819" w:rsidRDefault="00B16F8D" w:rsidP="00485361">
            <w:pPr>
              <w:jc w:val="center"/>
              <w:rPr>
                <w:b/>
                <w:sz w:val="24"/>
                <w:lang w:val="sr-Cyrl-CS"/>
              </w:rPr>
            </w:pPr>
            <w:r w:rsidRPr="00895819">
              <w:rPr>
                <w:b/>
                <w:sz w:val="24"/>
                <w:lang w:val="sr-Cyrl-CS"/>
              </w:rPr>
              <w:t>%</w:t>
            </w:r>
          </w:p>
        </w:tc>
      </w:tr>
      <w:tr w:rsidR="00B16F8D" w:rsidRPr="00895819" w14:paraId="24F762B2" w14:textId="77777777" w:rsidTr="00485361">
        <w:tc>
          <w:tcPr>
            <w:tcW w:w="5671" w:type="dxa"/>
            <w:tcBorders>
              <w:left w:val="single" w:sz="4" w:space="0" w:color="auto"/>
              <w:bottom w:val="nil"/>
              <w:right w:val="nil"/>
            </w:tcBorders>
          </w:tcPr>
          <w:p w14:paraId="2F732E8C" w14:textId="77777777" w:rsidR="00B16F8D" w:rsidRPr="00895819" w:rsidRDefault="003233A3" w:rsidP="00485361">
            <w:pPr>
              <w:spacing w:before="60" w:after="60"/>
              <w:rPr>
                <w:b/>
                <w:sz w:val="24"/>
                <w:lang w:val="sr-Cyrl-CS"/>
              </w:rPr>
            </w:pPr>
            <w:r w:rsidRPr="00895819">
              <w:rPr>
                <w:b/>
                <w:sz w:val="24"/>
                <w:lang w:val="sr-Cyrl-CS"/>
              </w:rPr>
              <w:t>АФД</w:t>
            </w:r>
          </w:p>
        </w:tc>
        <w:tc>
          <w:tcPr>
            <w:tcW w:w="3185" w:type="dxa"/>
            <w:tcBorders>
              <w:left w:val="single" w:sz="4" w:space="0" w:color="auto"/>
              <w:bottom w:val="nil"/>
              <w:right w:val="single" w:sz="4" w:space="0" w:color="auto"/>
            </w:tcBorders>
            <w:tcMar>
              <w:right w:w="1134" w:type="dxa"/>
            </w:tcMar>
          </w:tcPr>
          <w:p w14:paraId="70CD9017" w14:textId="77777777" w:rsidR="00B16F8D" w:rsidRPr="00895819" w:rsidRDefault="00BE110E" w:rsidP="00941AA3">
            <w:pPr>
              <w:spacing w:before="60" w:after="60"/>
              <w:jc w:val="right"/>
              <w:rPr>
                <w:b/>
                <w:sz w:val="24"/>
                <w:lang w:val="sr-Cyrl-CS"/>
              </w:rPr>
            </w:pPr>
            <w:r w:rsidRPr="00895819">
              <w:rPr>
                <w:b/>
                <w:sz w:val="24"/>
                <w:lang w:val="sr-Cyrl-CS"/>
              </w:rPr>
              <w:t>69</w:t>
            </w:r>
            <w:r w:rsidR="003233A3" w:rsidRPr="00895819">
              <w:rPr>
                <w:b/>
                <w:sz w:val="24"/>
                <w:lang w:val="sr-Cyrl-CS"/>
              </w:rPr>
              <w:t>,</w:t>
            </w:r>
            <w:r w:rsidRPr="00895819">
              <w:rPr>
                <w:b/>
                <w:sz w:val="24"/>
                <w:lang w:val="sr-Cyrl-CS"/>
              </w:rPr>
              <w:t>3</w:t>
            </w:r>
          </w:p>
        </w:tc>
        <w:tc>
          <w:tcPr>
            <w:tcW w:w="925" w:type="dxa"/>
            <w:tcBorders>
              <w:left w:val="nil"/>
              <w:bottom w:val="nil"/>
            </w:tcBorders>
          </w:tcPr>
          <w:p w14:paraId="191DBD64" w14:textId="77777777" w:rsidR="00B16F8D" w:rsidRPr="00895819" w:rsidRDefault="00BE110E">
            <w:pPr>
              <w:spacing w:before="60" w:after="60"/>
              <w:jc w:val="center"/>
              <w:rPr>
                <w:b/>
                <w:sz w:val="24"/>
                <w:lang w:val="sr-Cyrl-CS"/>
              </w:rPr>
            </w:pPr>
            <w:r w:rsidRPr="00895819">
              <w:rPr>
                <w:b/>
                <w:sz w:val="24"/>
                <w:lang w:val="sr-Cyrl-CS"/>
              </w:rPr>
              <w:t>13</w:t>
            </w:r>
            <w:r w:rsidR="003233A3" w:rsidRPr="00895819">
              <w:rPr>
                <w:b/>
                <w:sz w:val="24"/>
                <w:lang w:val="sr-Cyrl-CS"/>
              </w:rPr>
              <w:t>,</w:t>
            </w:r>
            <w:r w:rsidRPr="00895819">
              <w:rPr>
                <w:b/>
                <w:sz w:val="24"/>
                <w:lang w:val="sr-Cyrl-CS"/>
              </w:rPr>
              <w:t>9</w:t>
            </w:r>
            <w:r w:rsidR="00B16F8D" w:rsidRPr="00895819">
              <w:rPr>
                <w:b/>
                <w:sz w:val="24"/>
                <w:lang w:val="sr-Cyrl-CS"/>
              </w:rPr>
              <w:t>%</w:t>
            </w:r>
          </w:p>
        </w:tc>
      </w:tr>
      <w:tr w:rsidR="00B16F8D" w:rsidRPr="00895819" w14:paraId="0EADBD97" w14:textId="77777777" w:rsidTr="00485361">
        <w:tc>
          <w:tcPr>
            <w:tcW w:w="5671" w:type="dxa"/>
            <w:tcBorders>
              <w:top w:val="nil"/>
              <w:left w:val="single" w:sz="4" w:space="0" w:color="auto"/>
              <w:bottom w:val="nil"/>
              <w:right w:val="nil"/>
            </w:tcBorders>
          </w:tcPr>
          <w:p w14:paraId="41921770" w14:textId="77777777" w:rsidR="00B16F8D" w:rsidRPr="00895819" w:rsidRDefault="003233A3" w:rsidP="00485361">
            <w:pPr>
              <w:spacing w:before="60" w:after="60"/>
              <w:rPr>
                <w:b/>
                <w:sz w:val="24"/>
                <w:lang w:val="sr-Cyrl-CS"/>
              </w:rPr>
            </w:pPr>
            <w:r w:rsidRPr="00895819">
              <w:rPr>
                <w:b/>
                <w:sz w:val="24"/>
                <w:lang w:val="sr-Cyrl-CS"/>
              </w:rPr>
              <w:t>ИБРД</w:t>
            </w:r>
          </w:p>
        </w:tc>
        <w:tc>
          <w:tcPr>
            <w:tcW w:w="3185" w:type="dxa"/>
            <w:tcBorders>
              <w:top w:val="nil"/>
              <w:left w:val="single" w:sz="4" w:space="0" w:color="auto"/>
              <w:bottom w:val="nil"/>
              <w:right w:val="single" w:sz="4" w:space="0" w:color="auto"/>
            </w:tcBorders>
            <w:tcMar>
              <w:right w:w="1134" w:type="dxa"/>
            </w:tcMar>
          </w:tcPr>
          <w:p w14:paraId="1C99F630" w14:textId="77777777" w:rsidR="00B16F8D" w:rsidRPr="00895819" w:rsidRDefault="00BE110E" w:rsidP="00485361">
            <w:pPr>
              <w:spacing w:before="60" w:after="60"/>
              <w:jc w:val="right"/>
              <w:rPr>
                <w:b/>
                <w:sz w:val="24"/>
                <w:lang w:val="sr-Cyrl-CS"/>
              </w:rPr>
            </w:pPr>
            <w:r w:rsidRPr="00895819">
              <w:rPr>
                <w:b/>
                <w:sz w:val="24"/>
                <w:lang w:val="sr-Cyrl-CS"/>
              </w:rPr>
              <w:t>69</w:t>
            </w:r>
            <w:r w:rsidR="003233A3" w:rsidRPr="00895819">
              <w:rPr>
                <w:b/>
                <w:sz w:val="24"/>
                <w:lang w:val="sr-Cyrl-CS"/>
              </w:rPr>
              <w:t>,</w:t>
            </w:r>
            <w:r w:rsidRPr="00895819">
              <w:rPr>
                <w:b/>
                <w:sz w:val="24"/>
                <w:lang w:val="sr-Cyrl-CS"/>
              </w:rPr>
              <w:t>3</w:t>
            </w:r>
          </w:p>
        </w:tc>
        <w:tc>
          <w:tcPr>
            <w:tcW w:w="925" w:type="dxa"/>
            <w:tcBorders>
              <w:top w:val="nil"/>
              <w:left w:val="nil"/>
              <w:bottom w:val="nil"/>
            </w:tcBorders>
          </w:tcPr>
          <w:p w14:paraId="59864263" w14:textId="77777777" w:rsidR="00B16F8D" w:rsidRPr="00895819" w:rsidRDefault="00BE110E" w:rsidP="00485361">
            <w:pPr>
              <w:spacing w:before="60" w:after="60"/>
              <w:jc w:val="center"/>
              <w:rPr>
                <w:b/>
                <w:sz w:val="24"/>
                <w:lang w:val="sr-Cyrl-CS"/>
              </w:rPr>
            </w:pPr>
            <w:r w:rsidRPr="00895819">
              <w:rPr>
                <w:b/>
                <w:sz w:val="24"/>
                <w:lang w:val="sr-Cyrl-CS"/>
              </w:rPr>
              <w:t>13</w:t>
            </w:r>
            <w:r w:rsidR="003233A3" w:rsidRPr="00895819">
              <w:rPr>
                <w:b/>
                <w:sz w:val="24"/>
                <w:lang w:val="sr-Cyrl-CS"/>
              </w:rPr>
              <w:t>,</w:t>
            </w:r>
            <w:r w:rsidRPr="00895819">
              <w:rPr>
                <w:b/>
                <w:sz w:val="24"/>
                <w:lang w:val="sr-Cyrl-CS"/>
              </w:rPr>
              <w:t>9</w:t>
            </w:r>
            <w:r w:rsidR="00B16F8D" w:rsidRPr="00895819">
              <w:rPr>
                <w:b/>
                <w:sz w:val="24"/>
                <w:lang w:val="sr-Cyrl-CS"/>
              </w:rPr>
              <w:t>%</w:t>
            </w:r>
          </w:p>
        </w:tc>
      </w:tr>
      <w:tr w:rsidR="00B16F8D" w:rsidRPr="00895819" w14:paraId="420BEB4B" w14:textId="77777777" w:rsidTr="00485361">
        <w:tc>
          <w:tcPr>
            <w:tcW w:w="5671" w:type="dxa"/>
            <w:tcBorders>
              <w:top w:val="nil"/>
              <w:left w:val="single" w:sz="4" w:space="0" w:color="auto"/>
              <w:bottom w:val="nil"/>
              <w:right w:val="nil"/>
            </w:tcBorders>
          </w:tcPr>
          <w:p w14:paraId="3A4EF35E" w14:textId="77777777" w:rsidR="00B16F8D" w:rsidRPr="00895819" w:rsidRDefault="003233A3" w:rsidP="00485361">
            <w:pPr>
              <w:spacing w:before="60" w:after="60"/>
              <w:rPr>
                <w:b/>
                <w:sz w:val="24"/>
                <w:lang w:val="sr-Cyrl-CS"/>
              </w:rPr>
            </w:pPr>
            <w:r w:rsidRPr="00895819">
              <w:rPr>
                <w:b/>
                <w:sz w:val="24"/>
                <w:lang w:val="sr-Cyrl-CS"/>
              </w:rPr>
              <w:t>Влада Србије</w:t>
            </w:r>
          </w:p>
        </w:tc>
        <w:tc>
          <w:tcPr>
            <w:tcW w:w="3185" w:type="dxa"/>
            <w:tcBorders>
              <w:top w:val="nil"/>
              <w:left w:val="single" w:sz="4" w:space="0" w:color="auto"/>
              <w:bottom w:val="nil"/>
              <w:right w:val="single" w:sz="4" w:space="0" w:color="auto"/>
            </w:tcBorders>
            <w:tcMar>
              <w:right w:w="1134" w:type="dxa"/>
            </w:tcMar>
          </w:tcPr>
          <w:p w14:paraId="01DB28C1" w14:textId="77777777" w:rsidR="00B16F8D" w:rsidRPr="00895819" w:rsidRDefault="00BE110E">
            <w:pPr>
              <w:spacing w:before="60" w:after="60"/>
              <w:jc w:val="right"/>
              <w:rPr>
                <w:b/>
                <w:sz w:val="24"/>
                <w:lang w:val="sr-Cyrl-CS"/>
              </w:rPr>
            </w:pPr>
            <w:r w:rsidRPr="00895819">
              <w:rPr>
                <w:b/>
                <w:sz w:val="24"/>
                <w:lang w:val="sr-Cyrl-CS"/>
              </w:rPr>
              <w:t>358</w:t>
            </w:r>
            <w:r w:rsidR="003233A3" w:rsidRPr="00895819">
              <w:rPr>
                <w:b/>
                <w:sz w:val="24"/>
                <w:lang w:val="sr-Cyrl-CS"/>
              </w:rPr>
              <w:t>,</w:t>
            </w:r>
            <w:r w:rsidRPr="00895819">
              <w:rPr>
                <w:b/>
                <w:sz w:val="24"/>
                <w:lang w:val="sr-Cyrl-CS"/>
              </w:rPr>
              <w:t>4</w:t>
            </w:r>
          </w:p>
        </w:tc>
        <w:tc>
          <w:tcPr>
            <w:tcW w:w="925" w:type="dxa"/>
            <w:tcBorders>
              <w:top w:val="nil"/>
              <w:left w:val="nil"/>
              <w:bottom w:val="nil"/>
            </w:tcBorders>
          </w:tcPr>
          <w:p w14:paraId="4FB73227" w14:textId="77777777" w:rsidR="00B16F8D" w:rsidRPr="00895819" w:rsidRDefault="00BE110E">
            <w:pPr>
              <w:spacing w:before="60" w:after="60"/>
              <w:jc w:val="center"/>
              <w:rPr>
                <w:b/>
                <w:sz w:val="24"/>
                <w:lang w:val="sr-Cyrl-CS"/>
              </w:rPr>
            </w:pPr>
            <w:r w:rsidRPr="00895819">
              <w:rPr>
                <w:b/>
                <w:sz w:val="24"/>
                <w:lang w:val="sr-Cyrl-CS"/>
              </w:rPr>
              <w:t>72</w:t>
            </w:r>
            <w:r w:rsidR="003233A3" w:rsidRPr="00895819">
              <w:rPr>
                <w:b/>
                <w:sz w:val="24"/>
                <w:lang w:val="sr-Cyrl-CS"/>
              </w:rPr>
              <w:t>,</w:t>
            </w:r>
            <w:r w:rsidRPr="00895819">
              <w:rPr>
                <w:b/>
                <w:sz w:val="24"/>
                <w:lang w:val="sr-Cyrl-CS"/>
              </w:rPr>
              <w:t>1</w:t>
            </w:r>
            <w:r w:rsidR="00B16F8D" w:rsidRPr="00895819">
              <w:rPr>
                <w:b/>
                <w:sz w:val="24"/>
                <w:lang w:val="sr-Cyrl-CS"/>
              </w:rPr>
              <w:t>%</w:t>
            </w:r>
          </w:p>
        </w:tc>
      </w:tr>
      <w:tr w:rsidR="00B16F8D" w:rsidRPr="00895819" w14:paraId="3F7787DB" w14:textId="77777777" w:rsidTr="00485361">
        <w:tc>
          <w:tcPr>
            <w:tcW w:w="5671" w:type="dxa"/>
          </w:tcPr>
          <w:p w14:paraId="5E4E8704" w14:textId="77777777" w:rsidR="00B16F8D" w:rsidRPr="00895819" w:rsidRDefault="003233A3" w:rsidP="00485361">
            <w:pPr>
              <w:spacing w:before="60" w:after="60"/>
              <w:rPr>
                <w:b/>
                <w:sz w:val="24"/>
                <w:lang w:val="sr-Cyrl-CS"/>
              </w:rPr>
            </w:pPr>
            <w:r w:rsidRPr="00895819">
              <w:rPr>
                <w:b/>
                <w:sz w:val="24"/>
                <w:lang w:val="sr-Cyrl-CS"/>
              </w:rPr>
              <w:t>Укупно</w:t>
            </w:r>
          </w:p>
        </w:tc>
        <w:tc>
          <w:tcPr>
            <w:tcW w:w="3185" w:type="dxa"/>
            <w:tcMar>
              <w:right w:w="1134" w:type="dxa"/>
            </w:tcMar>
            <w:vAlign w:val="center"/>
          </w:tcPr>
          <w:p w14:paraId="059E9E71" w14:textId="77777777" w:rsidR="00B16F8D" w:rsidRPr="00895819" w:rsidRDefault="00BE110E">
            <w:pPr>
              <w:spacing w:before="60" w:after="60"/>
              <w:jc w:val="right"/>
              <w:rPr>
                <w:b/>
                <w:sz w:val="24"/>
                <w:lang w:val="sr-Cyrl-CS"/>
              </w:rPr>
            </w:pPr>
            <w:r w:rsidRPr="00895819">
              <w:rPr>
                <w:b/>
                <w:sz w:val="24"/>
                <w:lang w:val="sr-Cyrl-CS"/>
              </w:rPr>
              <w:t>497</w:t>
            </w:r>
            <w:r w:rsidR="003233A3" w:rsidRPr="00895819">
              <w:rPr>
                <w:b/>
                <w:sz w:val="24"/>
                <w:lang w:val="sr-Cyrl-CS"/>
              </w:rPr>
              <w:t>,</w:t>
            </w:r>
            <w:r w:rsidRPr="00895819">
              <w:rPr>
                <w:b/>
                <w:sz w:val="24"/>
                <w:lang w:val="sr-Cyrl-CS"/>
              </w:rPr>
              <w:t>0</w:t>
            </w:r>
          </w:p>
        </w:tc>
        <w:tc>
          <w:tcPr>
            <w:tcW w:w="925" w:type="dxa"/>
          </w:tcPr>
          <w:p w14:paraId="3130FD70" w14:textId="77777777" w:rsidR="00B16F8D" w:rsidRPr="00895819" w:rsidRDefault="00BE110E" w:rsidP="00485361">
            <w:pPr>
              <w:jc w:val="center"/>
              <w:rPr>
                <w:b/>
                <w:sz w:val="24"/>
                <w:lang w:val="sr-Cyrl-CS"/>
              </w:rPr>
            </w:pPr>
            <w:r w:rsidRPr="00895819">
              <w:rPr>
                <w:b/>
                <w:sz w:val="24"/>
                <w:lang w:val="sr-Cyrl-CS"/>
              </w:rPr>
              <w:t>100%</w:t>
            </w:r>
          </w:p>
        </w:tc>
      </w:tr>
    </w:tbl>
    <w:p w14:paraId="67A3B20D" w14:textId="77777777" w:rsidR="00B16F8D" w:rsidRPr="00895819" w:rsidRDefault="00B16F8D" w:rsidP="00B16F8D">
      <w:pPr>
        <w:pStyle w:val="BodyText"/>
        <w:jc w:val="left"/>
        <w:rPr>
          <w:rFonts w:cs="Times New Roman"/>
          <w:b/>
          <w:iCs/>
          <w:color w:val="000000"/>
          <w:lang w:val="sr-Cyrl-CS"/>
        </w:rPr>
      </w:pPr>
    </w:p>
    <w:p w14:paraId="0DF2803B" w14:textId="77777777" w:rsidR="00B16F8D" w:rsidRPr="00895819" w:rsidRDefault="00B16F8D" w:rsidP="00B16F8D">
      <w:pPr>
        <w:pStyle w:val="BodyText"/>
        <w:jc w:val="left"/>
        <w:rPr>
          <w:rFonts w:cs="Times New Roman"/>
          <w:iCs/>
          <w:color w:val="000000"/>
          <w:lang w:val="sr-Cyrl-CS"/>
        </w:rPr>
        <w:sectPr w:rsidR="00B16F8D" w:rsidRPr="00895819" w:rsidSect="00B32654">
          <w:headerReference w:type="default" r:id="rId8"/>
          <w:footerReference w:type="even" r:id="rId9"/>
          <w:footerReference w:type="default" r:id="rId10"/>
          <w:footerReference w:type="first" r:id="rId11"/>
          <w:pgSz w:w="11906" w:h="16838"/>
          <w:pgMar w:top="1418" w:right="1418" w:bottom="1418" w:left="1418" w:header="720" w:footer="400" w:gutter="0"/>
          <w:pgNumType w:start="98"/>
          <w:cols w:space="720"/>
          <w:formProt w:val="0"/>
          <w:titlePg/>
          <w:docGrid w:linePitch="299"/>
        </w:sectPr>
      </w:pPr>
      <w:r w:rsidRPr="00895819">
        <w:rPr>
          <w:rFonts w:cs="Times New Roman"/>
          <w:iCs/>
          <w:color w:val="000000"/>
          <w:lang w:val="sr-Cyrl-CS"/>
        </w:rPr>
        <w:t xml:space="preserve">.  </w:t>
      </w:r>
    </w:p>
    <w:p w14:paraId="2B2E134E" w14:textId="77777777" w:rsidR="00B16F8D" w:rsidRPr="00895819" w:rsidRDefault="0087654E" w:rsidP="00B16F8D">
      <w:pPr>
        <w:pStyle w:val="Schhead"/>
        <w:outlineLvl w:val="0"/>
        <w:rPr>
          <w:rFonts w:ascii="Times New Roman" w:hAnsi="Times New Roman"/>
          <w:lang w:val="sr-Cyrl-CS"/>
        </w:rPr>
      </w:pPr>
      <w:bookmarkStart w:id="164" w:name="_Toc129873703"/>
      <w:r w:rsidRPr="00895819">
        <w:rPr>
          <w:rFonts w:ascii="Times New Roman" w:hAnsi="Times New Roman"/>
          <w:lang w:val="sr-Cyrl-CS"/>
        </w:rPr>
        <w:lastRenderedPageBreak/>
        <w:t>ПРИЛОГ</w:t>
      </w:r>
      <w:r w:rsidR="00B16F8D" w:rsidRPr="00895819">
        <w:rPr>
          <w:rFonts w:ascii="Times New Roman" w:hAnsi="Times New Roman"/>
          <w:lang w:val="sr-Cyrl-CS"/>
        </w:rPr>
        <w:t xml:space="preserve"> 3</w:t>
      </w:r>
      <w:r w:rsidRPr="00895819">
        <w:rPr>
          <w:rFonts w:ascii="Times New Roman" w:hAnsi="Times New Roman"/>
          <w:lang w:val="sr-Cyrl-CS"/>
        </w:rPr>
        <w:t>Б</w:t>
      </w:r>
      <w:r w:rsidR="00B16F8D" w:rsidRPr="00895819">
        <w:rPr>
          <w:rFonts w:ascii="Times New Roman" w:hAnsi="Times New Roman"/>
          <w:lang w:val="sr-Cyrl-CS"/>
        </w:rPr>
        <w:t xml:space="preserve"> – </w:t>
      </w:r>
      <w:r w:rsidRPr="00895819">
        <w:rPr>
          <w:rFonts w:ascii="Times New Roman" w:hAnsi="Times New Roman"/>
          <w:lang w:val="sr-Cyrl-CS"/>
        </w:rPr>
        <w:t>ОКВИР РАСХОДА</w:t>
      </w:r>
      <w:bookmarkEnd w:id="164"/>
    </w:p>
    <w:p w14:paraId="21A74FD6" w14:textId="77777777" w:rsidR="00B16F8D" w:rsidRPr="00895819" w:rsidRDefault="00B16F8D" w:rsidP="00B16F8D">
      <w:pPr>
        <w:rPr>
          <w:lang w:val="sr-Cyrl-CS"/>
        </w:rPr>
      </w:pPr>
    </w:p>
    <w:p w14:paraId="2AAE7692" w14:textId="77777777" w:rsidR="00B16F8D" w:rsidRPr="00895819" w:rsidRDefault="00B16F8D" w:rsidP="00B16F8D">
      <w:pPr>
        <w:rPr>
          <w:lang w:val="sr-Cyrl-CS"/>
        </w:rPr>
      </w:pPr>
    </w:p>
    <w:p w14:paraId="020790DD" w14:textId="77777777" w:rsidR="00B16F8D" w:rsidRPr="00895819" w:rsidRDefault="00AB0F3B" w:rsidP="00B16F8D">
      <w:pPr>
        <w:pStyle w:val="ListAlpha1"/>
        <w:numPr>
          <w:ilvl w:val="0"/>
          <w:numId w:val="44"/>
        </w:numPr>
        <w:tabs>
          <w:tab w:val="clear" w:pos="22"/>
          <w:tab w:val="clear" w:pos="720"/>
          <w:tab w:val="num" w:pos="0"/>
        </w:tabs>
        <w:ind w:left="0" w:firstLine="0"/>
        <w:rPr>
          <w:lang w:val="sr-Cyrl-CS"/>
        </w:rPr>
      </w:pPr>
      <w:r w:rsidRPr="00895819">
        <w:rPr>
          <w:b/>
          <w:lang w:val="sr-Cyrl-CS"/>
        </w:rPr>
        <w:t>Оквир расхода консолидује буџетске ставке које се сматрају</w:t>
      </w:r>
      <w:r w:rsidR="00B16F8D" w:rsidRPr="00895819">
        <w:rPr>
          <w:b/>
          <w:lang w:val="sr-Cyrl-CS"/>
        </w:rPr>
        <w:t xml:space="preserve"> </w:t>
      </w:r>
      <w:r w:rsidRPr="00895819">
        <w:rPr>
          <w:b/>
          <w:lang w:val="sr-Cyrl-CS"/>
        </w:rPr>
        <w:t>кључним за успех Програма</w:t>
      </w:r>
      <w:r w:rsidR="00B16F8D" w:rsidRPr="00895819">
        <w:rPr>
          <w:lang w:val="sr-Cyrl-CS"/>
        </w:rPr>
        <w:t xml:space="preserve">. </w:t>
      </w:r>
      <w:r w:rsidRPr="00895819">
        <w:rPr>
          <w:lang w:val="sr-Cyrl-CS"/>
        </w:rPr>
        <w:t xml:space="preserve">Укупан износ Оквира расхода </w:t>
      </w:r>
      <w:r w:rsidR="00B16F8D" w:rsidRPr="00895819">
        <w:rPr>
          <w:lang w:val="sr-Cyrl-CS"/>
        </w:rPr>
        <w:t>(</w:t>
      </w:r>
      <w:r w:rsidR="00BE110E" w:rsidRPr="00895819">
        <w:rPr>
          <w:lang w:val="sr-Cyrl-CS"/>
        </w:rPr>
        <w:t>163,6</w:t>
      </w:r>
      <w:r w:rsidRPr="00895819">
        <w:rPr>
          <w:lang w:val="sr-Cyrl-CS"/>
        </w:rPr>
        <w:t xml:space="preserve"> мил. </w:t>
      </w:r>
      <w:r w:rsidR="00677250" w:rsidRPr="00895819">
        <w:rPr>
          <w:lang w:val="sr-Cyrl-CS"/>
        </w:rPr>
        <w:t>евра</w:t>
      </w:r>
      <w:r w:rsidR="00B16F8D" w:rsidRPr="00895819">
        <w:rPr>
          <w:lang w:val="sr-Cyrl-CS"/>
        </w:rPr>
        <w:t xml:space="preserve">) </w:t>
      </w:r>
      <w:r w:rsidR="00677250" w:rsidRPr="00895819">
        <w:rPr>
          <w:lang w:val="sr-Cyrl-CS"/>
        </w:rPr>
        <w:t>премашује износ Кредита који обезбеђује АФД</w:t>
      </w:r>
      <w:r w:rsidR="00B16F8D" w:rsidRPr="00895819">
        <w:rPr>
          <w:lang w:val="sr-Cyrl-CS"/>
        </w:rPr>
        <w:t xml:space="preserve"> (</w:t>
      </w:r>
      <w:r w:rsidR="00BE110E" w:rsidRPr="00895819">
        <w:rPr>
          <w:lang w:val="sr-Cyrl-CS"/>
        </w:rPr>
        <w:t>69</w:t>
      </w:r>
      <w:r w:rsidR="00DB26EE" w:rsidRPr="00895819">
        <w:rPr>
          <w:lang w:val="sr-Cyrl-CS"/>
        </w:rPr>
        <w:t>,</w:t>
      </w:r>
      <w:r w:rsidR="00BE110E" w:rsidRPr="00895819">
        <w:rPr>
          <w:lang w:val="sr-Cyrl-CS"/>
        </w:rPr>
        <w:t>3</w:t>
      </w:r>
      <w:r w:rsidR="00677250" w:rsidRPr="00895819">
        <w:rPr>
          <w:lang w:val="sr-Cyrl-CS"/>
        </w:rPr>
        <w:t xml:space="preserve"> мил. евра</w:t>
      </w:r>
      <w:r w:rsidR="00B16F8D" w:rsidRPr="00895819">
        <w:rPr>
          <w:lang w:val="sr-Cyrl-CS"/>
        </w:rPr>
        <w:t xml:space="preserve">). </w:t>
      </w:r>
      <w:r w:rsidR="00677250" w:rsidRPr="00895819">
        <w:rPr>
          <w:lang w:val="sr-Cyrl-CS"/>
        </w:rPr>
        <w:t xml:space="preserve">Током имплементације Операције, </w:t>
      </w:r>
      <w:r w:rsidR="00F76D97" w:rsidRPr="00895819">
        <w:rPr>
          <w:lang w:val="sr-Cyrl-CS"/>
        </w:rPr>
        <w:t>Министарство финансија</w:t>
      </w:r>
      <w:r w:rsidR="00B16F8D" w:rsidRPr="00895819">
        <w:rPr>
          <w:lang w:val="sr-Cyrl-CS"/>
        </w:rPr>
        <w:t xml:space="preserve"> </w:t>
      </w:r>
      <w:r w:rsidR="00677250" w:rsidRPr="00895819">
        <w:rPr>
          <w:lang w:val="sr-Cyrl-CS"/>
        </w:rPr>
        <w:t>ће подносити кварталне извештаје о реализацији буџетских ставки које су део Оквира расхода. На тај начин, државни органи и Суфинансијери ће моћи заједнички</w:t>
      </w:r>
      <w:r w:rsidR="00DB26EE" w:rsidRPr="00895819">
        <w:rPr>
          <w:lang w:val="sr-Cyrl-CS"/>
        </w:rPr>
        <w:t xml:space="preserve"> да</w:t>
      </w:r>
      <w:r w:rsidR="00677250" w:rsidRPr="00895819">
        <w:rPr>
          <w:lang w:val="sr-Cyrl-CS"/>
        </w:rPr>
        <w:t xml:space="preserve"> прате да све институције укључене у имплементацију ДЛИ имају неопходна средства потребна за успех</w:t>
      </w:r>
      <w:r w:rsidR="00B16F8D" w:rsidRPr="00895819">
        <w:rPr>
          <w:lang w:val="sr-Cyrl-CS"/>
        </w:rPr>
        <w:t xml:space="preserve">. </w:t>
      </w:r>
      <w:r w:rsidR="00F51270" w:rsidRPr="00895819">
        <w:rPr>
          <w:lang w:val="sr-Cyrl-CS"/>
        </w:rPr>
        <w:t xml:space="preserve">Једина уговорна обавеза везана за Оквир расхода је да Република Србија сваке године треба да </w:t>
      </w:r>
      <w:r w:rsidR="00DB26EE" w:rsidRPr="00895819">
        <w:rPr>
          <w:lang w:val="sr-Cyrl-CS"/>
        </w:rPr>
        <w:t xml:space="preserve">потроши </w:t>
      </w:r>
      <w:r w:rsidR="00F51270" w:rsidRPr="00895819">
        <w:rPr>
          <w:lang w:val="sr-Cyrl-CS"/>
        </w:rPr>
        <w:t>најмање износ једнак износу повучених кредитних средстава АФД-а</w:t>
      </w:r>
      <w:r w:rsidR="00B16F8D" w:rsidRPr="00895819">
        <w:rPr>
          <w:lang w:val="sr-Cyrl-CS"/>
        </w:rPr>
        <w:t>.</w:t>
      </w:r>
    </w:p>
    <w:p w14:paraId="774D2F3F" w14:textId="77777777" w:rsidR="00B16F8D" w:rsidRPr="00895819" w:rsidRDefault="006B16A8" w:rsidP="00B16F8D">
      <w:pPr>
        <w:pStyle w:val="ListAlpha1"/>
        <w:numPr>
          <w:ilvl w:val="0"/>
          <w:numId w:val="44"/>
        </w:numPr>
        <w:tabs>
          <w:tab w:val="clear" w:pos="22"/>
          <w:tab w:val="clear" w:pos="720"/>
          <w:tab w:val="num" w:pos="0"/>
        </w:tabs>
        <w:ind w:left="0" w:firstLine="0"/>
        <w:rPr>
          <w:lang w:val="sr-Cyrl-CS"/>
        </w:rPr>
      </w:pPr>
      <w:r w:rsidRPr="00895819">
        <w:rPr>
          <w:b/>
          <w:lang w:val="sr-Cyrl-CS"/>
        </w:rPr>
        <w:t xml:space="preserve">Оквир расхода се може модификовати како би се узеле у обзир измене извршене у годишњем буџету. </w:t>
      </w:r>
      <w:r w:rsidRPr="00895819">
        <w:rPr>
          <w:lang w:val="sr-Cyrl-CS"/>
        </w:rPr>
        <w:t xml:space="preserve">Поступак ревизије захтева да АФД и </w:t>
      </w:r>
      <w:r w:rsidR="00F76D97" w:rsidRPr="00895819">
        <w:rPr>
          <w:lang w:val="sr-Cyrl-CS"/>
        </w:rPr>
        <w:t>Министарство финансија</w:t>
      </w:r>
      <w:r w:rsidR="00B16F8D" w:rsidRPr="00895819">
        <w:rPr>
          <w:lang w:val="sr-Cyrl-CS"/>
        </w:rPr>
        <w:t xml:space="preserve"> </w:t>
      </w:r>
      <w:r w:rsidRPr="00895819">
        <w:rPr>
          <w:lang w:val="sr-Cyrl-CS"/>
        </w:rPr>
        <w:t>постигну договор о новом Оквиру расхода</w:t>
      </w:r>
      <w:r w:rsidR="00B16F8D" w:rsidRPr="00895819">
        <w:rPr>
          <w:lang w:val="sr-Cyrl-CS"/>
        </w:rPr>
        <w:t xml:space="preserve">, </w:t>
      </w:r>
      <w:r w:rsidRPr="00895819">
        <w:rPr>
          <w:lang w:val="sr-Cyrl-CS"/>
        </w:rPr>
        <w:t xml:space="preserve">на основу нацрта или усвојеног закона о буџету. Када се постигне договор, </w:t>
      </w:r>
      <w:r w:rsidR="00FB3A92" w:rsidRPr="00895819">
        <w:rPr>
          <w:lang w:val="sr-Cyrl-CS"/>
        </w:rPr>
        <w:t xml:space="preserve">потребна је једноставна размена писама како би се ова промена озваничила. Изменом Оквира расхода, Зајмопримац </w:t>
      </w:r>
      <w:r w:rsidR="007D7EB2" w:rsidRPr="00895819">
        <w:rPr>
          <w:lang w:val="sr-Cyrl-CS"/>
        </w:rPr>
        <w:t>је у обавези да укључи/искључи расхода на основу следећих критеријума</w:t>
      </w:r>
      <w:r w:rsidR="00B16F8D" w:rsidRPr="00895819">
        <w:rPr>
          <w:lang w:val="sr-Cyrl-CS"/>
        </w:rPr>
        <w:t>:</w:t>
      </w:r>
    </w:p>
    <w:p w14:paraId="671A703C" w14:textId="77777777" w:rsidR="00B16F8D" w:rsidRPr="00895819" w:rsidRDefault="00824AAC" w:rsidP="00B16F8D">
      <w:pPr>
        <w:pStyle w:val="ListAlpha1"/>
        <w:numPr>
          <w:ilvl w:val="1"/>
          <w:numId w:val="44"/>
        </w:numPr>
        <w:rPr>
          <w:lang w:val="sr-Cyrl-CS"/>
        </w:rPr>
      </w:pPr>
      <w:r w:rsidRPr="00895819">
        <w:rPr>
          <w:lang w:val="sr-Cyrl-CS"/>
        </w:rPr>
        <w:t>Релевантност расхода за ДЛИ Програма</w:t>
      </w:r>
    </w:p>
    <w:p w14:paraId="7C509160" w14:textId="77777777" w:rsidR="00B16F8D" w:rsidRPr="00895819" w:rsidRDefault="00824AAC" w:rsidP="00B16F8D">
      <w:pPr>
        <w:pStyle w:val="ListAlpha1"/>
        <w:numPr>
          <w:ilvl w:val="1"/>
          <w:numId w:val="44"/>
        </w:numPr>
        <w:rPr>
          <w:lang w:val="sr-Cyrl-CS"/>
        </w:rPr>
      </w:pPr>
      <w:r w:rsidRPr="00895819">
        <w:rPr>
          <w:lang w:val="sr-Cyrl-CS"/>
        </w:rPr>
        <w:t xml:space="preserve">Релевантност расхода за </w:t>
      </w:r>
      <w:r w:rsidR="00D86FD2" w:rsidRPr="00895819">
        <w:rPr>
          <w:lang w:val="sr-Cyrl-CS"/>
        </w:rPr>
        <w:t>Зелен</w:t>
      </w:r>
      <w:r w:rsidRPr="00895819">
        <w:rPr>
          <w:lang w:val="sr-Cyrl-CS"/>
        </w:rPr>
        <w:t>у</w:t>
      </w:r>
      <w:r w:rsidR="00D86FD2" w:rsidRPr="00895819">
        <w:rPr>
          <w:lang w:val="sr-Cyrl-CS"/>
        </w:rPr>
        <w:t xml:space="preserve"> агенд</w:t>
      </w:r>
      <w:r w:rsidRPr="00895819">
        <w:rPr>
          <w:lang w:val="sr-Cyrl-CS"/>
        </w:rPr>
        <w:t>у</w:t>
      </w:r>
    </w:p>
    <w:p w14:paraId="39E5F913" w14:textId="77777777" w:rsidR="00B16F8D" w:rsidRPr="00895819" w:rsidRDefault="00824AAC" w:rsidP="00B16F8D">
      <w:pPr>
        <w:pStyle w:val="ListAlpha1"/>
        <w:numPr>
          <w:ilvl w:val="1"/>
          <w:numId w:val="44"/>
        </w:numPr>
        <w:rPr>
          <w:lang w:val="sr-Cyrl-CS"/>
        </w:rPr>
      </w:pPr>
      <w:r w:rsidRPr="00895819">
        <w:rPr>
          <w:lang w:val="sr-Cyrl-CS"/>
        </w:rPr>
        <w:t>Искључивање пројеката које већ финансирају други донатори</w:t>
      </w:r>
    </w:p>
    <w:p w14:paraId="469128A4" w14:textId="77777777" w:rsidR="00B16F8D" w:rsidRPr="00895819" w:rsidRDefault="00824AAC" w:rsidP="00B16F8D">
      <w:pPr>
        <w:pStyle w:val="ListAlpha1"/>
        <w:numPr>
          <w:ilvl w:val="1"/>
          <w:numId w:val="44"/>
        </w:numPr>
        <w:rPr>
          <w:lang w:val="sr-Cyrl-CS"/>
        </w:rPr>
      </w:pPr>
      <w:r w:rsidRPr="00895819">
        <w:rPr>
          <w:lang w:val="sr-Cyrl-CS"/>
        </w:rPr>
        <w:t>Искључивање пројеката много обимнијих него што је финансирање АФД-а</w:t>
      </w:r>
    </w:p>
    <w:p w14:paraId="49D0F425" w14:textId="77777777" w:rsidR="00B16F8D" w:rsidRPr="00895819" w:rsidRDefault="0005494A" w:rsidP="00B16F8D">
      <w:pPr>
        <w:pStyle w:val="ListAlpha1"/>
        <w:numPr>
          <w:ilvl w:val="1"/>
          <w:numId w:val="44"/>
        </w:numPr>
        <w:rPr>
          <w:lang w:val="sr-Cyrl-CS"/>
        </w:rPr>
      </w:pPr>
      <w:r w:rsidRPr="00895819">
        <w:rPr>
          <w:lang w:val="sr-Cyrl-CS"/>
        </w:rPr>
        <w:t xml:space="preserve">Искључивање пројеката за које се сматра да представљају еколошке и социјалне ризике које Операција не може да ублажи. </w:t>
      </w:r>
    </w:p>
    <w:p w14:paraId="7032FDBD" w14:textId="77777777" w:rsidR="00B16F8D" w:rsidRPr="00895819" w:rsidRDefault="00B16F8D" w:rsidP="00B16F8D">
      <w:pPr>
        <w:spacing w:before="120" w:after="120"/>
        <w:ind w:left="360"/>
        <w:rPr>
          <w:lang w:val="sr-Cyrl-CS"/>
        </w:rPr>
      </w:pPr>
    </w:p>
    <w:p w14:paraId="6F3D34BE" w14:textId="77777777" w:rsidR="00B16F8D" w:rsidRPr="00895819" w:rsidRDefault="00B16F8D" w:rsidP="00B16F8D">
      <w:pPr>
        <w:tabs>
          <w:tab w:val="left" w:pos="2260"/>
        </w:tabs>
        <w:rPr>
          <w:lang w:val="sr-Cyrl-CS"/>
        </w:rPr>
        <w:sectPr w:rsidR="00B16F8D" w:rsidRPr="00895819" w:rsidSect="00485361">
          <w:headerReference w:type="even" r:id="rId12"/>
          <w:headerReference w:type="default" r:id="rId13"/>
          <w:footerReference w:type="even" r:id="rId14"/>
          <w:footerReference w:type="default" r:id="rId15"/>
          <w:headerReference w:type="first" r:id="rId16"/>
          <w:footerReference w:type="first" r:id="rId17"/>
          <w:pgSz w:w="16838" w:h="11906" w:orient="landscape"/>
          <w:pgMar w:top="1417" w:right="1417" w:bottom="1417" w:left="1417" w:header="708" w:footer="400" w:gutter="0"/>
          <w:cols w:space="708"/>
          <w:formProt w:val="0"/>
          <w:titlePg/>
          <w:docGrid w:linePitch="360"/>
        </w:sectPr>
      </w:pPr>
    </w:p>
    <w:p w14:paraId="1A1D4B3F" w14:textId="77777777" w:rsidR="00B16F8D" w:rsidRPr="00895819" w:rsidRDefault="00B16F8D" w:rsidP="00B16F8D">
      <w:pPr>
        <w:tabs>
          <w:tab w:val="left" w:pos="2260"/>
        </w:tabs>
        <w:rPr>
          <w:lang w:val="sr-Cyrl-CS"/>
        </w:rPr>
      </w:pPr>
    </w:p>
    <w:p w14:paraId="70DC6ADA" w14:textId="77777777" w:rsidR="000B3A57" w:rsidRPr="00895819" w:rsidRDefault="000B3A57" w:rsidP="00B16F8D">
      <w:pPr>
        <w:tabs>
          <w:tab w:val="left" w:pos="2260"/>
        </w:tabs>
        <w:rPr>
          <w:lang w:val="sr-Cyrl-CS"/>
        </w:rPr>
      </w:pPr>
    </w:p>
    <w:p w14:paraId="52FC2B86" w14:textId="77777777" w:rsidR="000B3A57" w:rsidRPr="00895819" w:rsidRDefault="000B3A57" w:rsidP="00B16F8D">
      <w:pPr>
        <w:tabs>
          <w:tab w:val="left" w:pos="2260"/>
        </w:tabs>
        <w:rPr>
          <w:lang w:val="sr-Cyrl-CS"/>
        </w:rPr>
      </w:pPr>
      <w:r w:rsidRPr="00895819">
        <w:rPr>
          <w:noProof/>
          <w:lang w:val="en-US" w:eastAsia="en-US"/>
        </w:rPr>
        <w:drawing>
          <wp:inline distT="0" distB="0" distL="0" distR="0" wp14:anchorId="6BE6C3C8" wp14:editId="0EF1C8D2">
            <wp:extent cx="5938658" cy="3935698"/>
            <wp:effectExtent l="0" t="0" r="5080" b="8255"/>
            <wp:docPr id="78628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53869" cy="3945779"/>
                    </a:xfrm>
                    <a:prstGeom prst="rect">
                      <a:avLst/>
                    </a:prstGeom>
                    <a:noFill/>
                    <a:ln>
                      <a:noFill/>
                    </a:ln>
                  </pic:spPr>
                </pic:pic>
              </a:graphicData>
            </a:graphic>
          </wp:inline>
        </w:drawing>
      </w:r>
    </w:p>
    <w:p w14:paraId="2F1E971C" w14:textId="77777777" w:rsidR="008B343D" w:rsidRPr="00895819" w:rsidRDefault="008B343D" w:rsidP="00B16F8D">
      <w:pPr>
        <w:tabs>
          <w:tab w:val="left" w:pos="2260"/>
        </w:tabs>
        <w:rPr>
          <w:lang w:val="sr-Cyrl-CS"/>
        </w:rPr>
      </w:pPr>
      <w:r w:rsidRPr="00895819">
        <w:rPr>
          <w:lang w:val="sr-Cyrl-CS"/>
        </w:rPr>
        <w:br w:type="page"/>
      </w:r>
    </w:p>
    <w:p w14:paraId="4397E86F" w14:textId="77777777" w:rsidR="000B3A57" w:rsidRPr="00895819" w:rsidRDefault="000B3A57" w:rsidP="00B16F8D">
      <w:pPr>
        <w:tabs>
          <w:tab w:val="left" w:pos="2260"/>
        </w:tabs>
        <w:rPr>
          <w:lang w:val="sr-Cyrl-CS"/>
        </w:rPr>
      </w:pPr>
    </w:p>
    <w:p w14:paraId="35BCCD4E" w14:textId="77777777" w:rsidR="00B16F8D" w:rsidRPr="00895819" w:rsidRDefault="000B3A57" w:rsidP="00B16F8D">
      <w:pPr>
        <w:tabs>
          <w:tab w:val="left" w:pos="2260"/>
        </w:tabs>
        <w:rPr>
          <w:lang w:val="sr-Cyrl-CS"/>
        </w:rPr>
        <w:sectPr w:rsidR="00B16F8D" w:rsidRPr="00895819" w:rsidSect="00485361">
          <w:pgSz w:w="16838" w:h="11906" w:orient="landscape"/>
          <w:pgMar w:top="1417" w:right="1417" w:bottom="1417" w:left="1417" w:header="708" w:footer="400" w:gutter="0"/>
          <w:cols w:space="708"/>
          <w:formProt w:val="0"/>
          <w:titlePg/>
          <w:docGrid w:linePitch="360"/>
        </w:sectPr>
      </w:pPr>
      <w:r w:rsidRPr="00895819">
        <w:rPr>
          <w:noProof/>
          <w:lang w:val="en-US" w:eastAsia="en-US"/>
        </w:rPr>
        <w:drawing>
          <wp:anchor distT="0" distB="0" distL="114300" distR="114300" simplePos="0" relativeHeight="251665408" behindDoc="0" locked="0" layoutInCell="1" allowOverlap="1" wp14:anchorId="6CB1C8D3" wp14:editId="7B722AC1">
            <wp:simplePos x="0" y="0"/>
            <wp:positionH relativeFrom="margin">
              <wp:posOffset>1311142</wp:posOffset>
            </wp:positionH>
            <wp:positionV relativeFrom="paragraph">
              <wp:posOffset>1224962</wp:posOffset>
            </wp:positionV>
            <wp:extent cx="5472753" cy="2988310"/>
            <wp:effectExtent l="0" t="0" r="13970" b="2540"/>
            <wp:wrapNone/>
            <wp:docPr id="8" name="Graphique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margin">
              <wp14:pctWidth>0</wp14:pctWidth>
            </wp14:sizeRelH>
            <wp14:sizeRelV relativeFrom="margin">
              <wp14:pctHeight>0</wp14:pctHeight>
            </wp14:sizeRelV>
          </wp:anchor>
        </w:drawing>
      </w:r>
      <w:r w:rsidRPr="00895819">
        <w:rPr>
          <w:noProof/>
          <w:lang w:val="en-US" w:eastAsia="en-US"/>
        </w:rPr>
        <mc:AlternateContent>
          <mc:Choice Requires="wps">
            <w:drawing>
              <wp:anchor distT="0" distB="0" distL="114300" distR="114300" simplePos="0" relativeHeight="251661312" behindDoc="0" locked="0" layoutInCell="1" allowOverlap="1" wp14:anchorId="65DF21BA" wp14:editId="3C1DC0E6">
                <wp:simplePos x="0" y="0"/>
                <wp:positionH relativeFrom="column">
                  <wp:posOffset>1529506</wp:posOffset>
                </wp:positionH>
                <wp:positionV relativeFrom="paragraph">
                  <wp:posOffset>174085</wp:posOffset>
                </wp:positionV>
                <wp:extent cx="4599296" cy="559558"/>
                <wp:effectExtent l="0" t="0" r="0" b="0"/>
                <wp:wrapNone/>
                <wp:docPr id="2" name="Zone de texte 2"/>
                <wp:cNvGraphicFramePr/>
                <a:graphic xmlns:a="http://schemas.openxmlformats.org/drawingml/2006/main">
                  <a:graphicData uri="http://schemas.microsoft.com/office/word/2010/wordprocessingShape">
                    <wps:wsp>
                      <wps:cNvSpPr txBox="1"/>
                      <wps:spPr>
                        <a:xfrm>
                          <a:off x="0" y="0"/>
                          <a:ext cx="4599296" cy="559558"/>
                        </a:xfrm>
                        <a:prstGeom prst="rect">
                          <a:avLst/>
                        </a:prstGeom>
                        <a:solidFill>
                          <a:prstClr val="white"/>
                        </a:solidFill>
                        <a:ln>
                          <a:noFill/>
                        </a:ln>
                      </wps:spPr>
                      <wps:txbx>
                        <w:txbxContent>
                          <w:p w14:paraId="5CF7C16C" w14:textId="6216A96C" w:rsidR="00B34C6C" w:rsidRPr="000B3A57" w:rsidRDefault="00B34C6C" w:rsidP="00B16F8D">
                            <w:pPr>
                              <w:pStyle w:val="Caption"/>
                              <w:rPr>
                                <w:rFonts w:ascii="Times New Roman" w:hAnsi="Times New Roman"/>
                                <w:noProof/>
                                <w:sz w:val="28"/>
                                <w:szCs w:val="28"/>
                              </w:rPr>
                            </w:pPr>
                            <w:r w:rsidRPr="000B3A57">
                              <w:rPr>
                                <w:sz w:val="28"/>
                                <w:szCs w:val="28"/>
                              </w:rPr>
                              <w:t xml:space="preserve">Графикон </w:t>
                            </w:r>
                            <w:r w:rsidR="002A1999">
                              <w:rPr>
                                <w:sz w:val="28"/>
                                <w:szCs w:val="28"/>
                              </w:rPr>
                              <w:t>2</w:t>
                            </w:r>
                            <w:r w:rsidRPr="000B3A57">
                              <w:rPr>
                                <w:sz w:val="28"/>
                                <w:szCs w:val="28"/>
                              </w:rPr>
                              <w:t xml:space="preserve"> – Преглед оквира расхода према стубовима Зелене агенде</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DF21BA" id="_x0000_t202" coordsize="21600,21600" o:spt="202" path="m,l,21600r21600,l21600,xe">
                <v:stroke joinstyle="miter"/>
                <v:path gradientshapeok="t" o:connecttype="rect"/>
              </v:shapetype>
              <v:shape id="Zone de texte 2" o:spid="_x0000_s1026" type="#_x0000_t202" style="position:absolute;left:0;text-align:left;margin-left:120.45pt;margin-top:13.7pt;width:362.15pt;height:44.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" stroked="f">
                <v:textbox inset="0,0,0,0">
                  <w:txbxContent>
                    <w:p w14:paraId="5CF7C16C" w14:textId="6216A96C" w:rsidR="00B34C6C" w:rsidRPr="000B3A57" w:rsidRDefault="00B34C6C" w:rsidP="00B16F8D">
                      <w:pPr>
                        <w:pStyle w:val="Caption"/>
                        <w:rPr>
                          <w:rFonts w:ascii="Times New Roman" w:hAnsi="Times New Roman"/>
                          <w:noProof/>
                          <w:sz w:val="28"/>
                          <w:szCs w:val="28"/>
                        </w:rPr>
                      </w:pPr>
                      <w:r w:rsidRPr="000B3A57">
                        <w:rPr>
                          <w:sz w:val="28"/>
                          <w:szCs w:val="28"/>
                        </w:rPr>
                        <w:t xml:space="preserve">Графикон </w:t>
                      </w:r>
                      <w:r w:rsidR="002A1999">
                        <w:rPr>
                          <w:sz w:val="28"/>
                          <w:szCs w:val="28"/>
                        </w:rPr>
                        <w:t>2</w:t>
                      </w:r>
                      <w:r w:rsidRPr="000B3A57">
                        <w:rPr>
                          <w:sz w:val="28"/>
                          <w:szCs w:val="28"/>
                        </w:rPr>
                        <w:t xml:space="preserve"> – Преглед оквира расхода према стубовима Зелене агенде</w:t>
                      </w:r>
                    </w:p>
                  </w:txbxContent>
                </v:textbox>
              </v:shape>
            </w:pict>
          </mc:Fallback>
        </mc:AlternateContent>
      </w:r>
      <w:r w:rsidR="00B16F8D" w:rsidRPr="00895819">
        <w:rPr>
          <w:lang w:val="sr-Cyrl-CS"/>
        </w:rPr>
        <w:br w:type="page"/>
      </w:r>
      <w:r w:rsidRPr="00895819">
        <w:rPr>
          <w:noProof/>
          <w:lang w:val="en-US" w:eastAsia="en-US"/>
        </w:rPr>
        <w:lastRenderedPageBreak/>
        <mc:AlternateContent>
          <mc:Choice Requires="wps">
            <w:drawing>
              <wp:anchor distT="0" distB="0" distL="114300" distR="114300" simplePos="0" relativeHeight="251664384" behindDoc="0" locked="0" layoutInCell="1" allowOverlap="1" wp14:anchorId="5C7E19B6" wp14:editId="6CAD3301">
                <wp:simplePos x="0" y="0"/>
                <wp:positionH relativeFrom="margin">
                  <wp:align>left</wp:align>
                </wp:positionH>
                <wp:positionV relativeFrom="paragraph">
                  <wp:posOffset>2540</wp:posOffset>
                </wp:positionV>
                <wp:extent cx="8522970" cy="985520"/>
                <wp:effectExtent l="0" t="0" r="0" b="5080"/>
                <wp:wrapTopAndBottom/>
                <wp:docPr id="3" name="Zone de texte 3"/>
                <wp:cNvGraphicFramePr/>
                <a:graphic xmlns:a="http://schemas.openxmlformats.org/drawingml/2006/main">
                  <a:graphicData uri="http://schemas.microsoft.com/office/word/2010/wordprocessingShape">
                    <wps:wsp>
                      <wps:cNvSpPr txBox="1"/>
                      <wps:spPr>
                        <a:xfrm>
                          <a:off x="0" y="0"/>
                          <a:ext cx="8522970" cy="985652"/>
                        </a:xfrm>
                        <a:prstGeom prst="rect">
                          <a:avLst/>
                        </a:prstGeom>
                        <a:solidFill>
                          <a:prstClr val="white"/>
                        </a:solidFill>
                        <a:ln>
                          <a:noFill/>
                        </a:ln>
                      </wps:spPr>
                      <wps:txbx>
                        <w:txbxContent>
                          <w:p w14:paraId="2AD01A42" w14:textId="1CD3068D" w:rsidR="00B34C6C" w:rsidRDefault="00B34C6C" w:rsidP="00B16F8D">
                            <w:pPr>
                              <w:pStyle w:val="Caption"/>
                            </w:pPr>
                            <w:bookmarkStart w:id="165" w:name="_Hlk132904414"/>
                            <w:bookmarkStart w:id="166" w:name="_Hlk132904415"/>
                            <w:bookmarkStart w:id="167" w:name="_Hlk132904416"/>
                            <w:bookmarkStart w:id="168" w:name="_Hlk132904417"/>
                            <w:bookmarkStart w:id="169" w:name="_Hlk132904418"/>
                            <w:bookmarkStart w:id="170" w:name="_Hlk132904419"/>
                            <w:r>
                              <w:t xml:space="preserve">Графикон </w:t>
                            </w:r>
                            <w:r w:rsidR="002A1999">
                              <w:t>3</w:t>
                            </w:r>
                            <w:r>
                              <w:t xml:space="preserve"> – Преглед Оквира расхода по буџетским корисницима и програмима </w:t>
                            </w:r>
                          </w:p>
                          <w:p w14:paraId="0C8C1837" w14:textId="5BE947C4" w:rsidR="00B34C6C" w:rsidRDefault="00B34C6C" w:rsidP="000B3A57">
                            <w:pPr>
                              <w:rPr>
                                <w:sz w:val="20"/>
                              </w:rPr>
                            </w:pPr>
                            <w:r w:rsidRPr="000B3A57">
                              <w:rPr>
                                <w:sz w:val="20"/>
                              </w:rPr>
                              <w:t xml:space="preserve">МГСИ </w:t>
                            </w:r>
                            <w:r>
                              <w:rPr>
                                <w:sz w:val="20"/>
                              </w:rPr>
                              <w:t>–</w:t>
                            </w:r>
                            <w:r w:rsidRPr="000B3A57">
                              <w:rPr>
                                <w:sz w:val="20"/>
                              </w:rPr>
                              <w:t xml:space="preserve"> </w:t>
                            </w:r>
                            <w:r>
                              <w:rPr>
                                <w:sz w:val="20"/>
                              </w:rPr>
                              <w:t xml:space="preserve">Имплементација инфраструктурних пројеката; </w:t>
                            </w:r>
                            <w:r w:rsidRPr="00A15B38">
                              <w:rPr>
                                <w:sz w:val="20"/>
                              </w:rPr>
                              <w:t>Регулисање и надзор у области саобраћаја</w:t>
                            </w:r>
                            <w:r>
                              <w:rPr>
                                <w:sz w:val="20"/>
                              </w:rPr>
                              <w:t xml:space="preserve">; МЗЖС – Зелена агенда; </w:t>
                            </w:r>
                            <w:r w:rsidRPr="00A15B38">
                              <w:rPr>
                                <w:sz w:val="20"/>
                              </w:rPr>
                              <w:t>Интегрисано управљање отпадом, отпадним водама</w:t>
                            </w:r>
                            <w:r>
                              <w:rPr>
                                <w:sz w:val="20"/>
                              </w:rPr>
                              <w:t xml:space="preserve"> и</w:t>
                            </w:r>
                            <w:r w:rsidRPr="00A15B38">
                              <w:rPr>
                                <w:sz w:val="20"/>
                              </w:rPr>
                              <w:t xml:space="preserve"> хемикалијама</w:t>
                            </w:r>
                            <w:r>
                              <w:rPr>
                                <w:sz w:val="20"/>
                              </w:rPr>
                              <w:t xml:space="preserve">; </w:t>
                            </w:r>
                            <w:r w:rsidRPr="00A15B38">
                              <w:rPr>
                                <w:sz w:val="20"/>
                              </w:rPr>
                              <w:t>Управљање заштитом животне средине</w:t>
                            </w:r>
                            <w:r>
                              <w:rPr>
                                <w:sz w:val="20"/>
                              </w:rPr>
                              <w:t xml:space="preserve">; </w:t>
                            </w:r>
                            <w:r w:rsidRPr="00A15B38">
                              <w:rPr>
                                <w:sz w:val="20"/>
                              </w:rPr>
                              <w:t>Заштита природе и климатске промене</w:t>
                            </w:r>
                            <w:r>
                              <w:rPr>
                                <w:sz w:val="20"/>
                              </w:rPr>
                              <w:t>; МЕР – Енергетска ефикасност; СЕПА -</w:t>
                            </w:r>
                            <w:r w:rsidRPr="009E395F">
                              <w:rPr>
                                <w:rFonts w:ascii="Calibri" w:hAnsi="Calibri" w:cs="Calibri"/>
                                <w:color w:val="000000"/>
                                <w:sz w:val="16"/>
                                <w:szCs w:val="16"/>
                              </w:rPr>
                              <w:t xml:space="preserve"> </w:t>
                            </w:r>
                            <w:r w:rsidRPr="00A15B38">
                              <w:rPr>
                                <w:sz w:val="20"/>
                              </w:rPr>
                              <w:t>Управљање заштитом животне средине</w:t>
                            </w:r>
                            <w:r>
                              <w:rPr>
                                <w:sz w:val="20"/>
                              </w:rPr>
                              <w:t xml:space="preserve">; РДИ -  </w:t>
                            </w:r>
                            <w:r w:rsidRPr="00A15B38">
                              <w:rPr>
                                <w:sz w:val="20"/>
                              </w:rPr>
                              <w:t>Евиденција, управљање и располагање јавном имовином</w:t>
                            </w:r>
                            <w:r>
                              <w:rPr>
                                <w:sz w:val="20"/>
                              </w:rPr>
                              <w:t xml:space="preserve">; РСЈП - </w:t>
                            </w:r>
                            <w:r w:rsidRPr="00A15B38">
                              <w:rPr>
                                <w:sz w:val="20"/>
                              </w:rPr>
                              <w:t>Развој система јавне политике</w:t>
                            </w:r>
                            <w:r w:rsidR="00832C76">
                              <w:rPr>
                                <w:sz w:val="20"/>
                              </w:rPr>
                              <w:t>; К</w:t>
                            </w:r>
                            <w:r>
                              <w:rPr>
                                <w:sz w:val="20"/>
                              </w:rPr>
                              <w:t>ЈН – Развој система јавних набавки</w:t>
                            </w:r>
                          </w:p>
                          <w:p w14:paraId="7589BF55" w14:textId="77777777" w:rsidR="00B34C6C" w:rsidRPr="000B3A57" w:rsidRDefault="00B34C6C" w:rsidP="000B3A57">
                            <w:pPr>
                              <w:rPr>
                                <w:sz w:val="20"/>
                              </w:rPr>
                            </w:pPr>
                          </w:p>
                          <w:p w14:paraId="407E196A" w14:textId="77777777" w:rsidR="00B34C6C" w:rsidRPr="000B3A57" w:rsidRDefault="00B34C6C" w:rsidP="000B3A57"/>
                          <w:bookmarkEnd w:id="165"/>
                          <w:bookmarkEnd w:id="166"/>
                          <w:bookmarkEnd w:id="167"/>
                          <w:bookmarkEnd w:id="168"/>
                          <w:bookmarkEnd w:id="169"/>
                          <w:bookmarkEnd w:id="170"/>
                          <w:p w14:paraId="40A1C2F6" w14:textId="77777777" w:rsidR="00B34C6C" w:rsidRPr="000B3A57" w:rsidRDefault="00B34C6C" w:rsidP="000B3A5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C7E19B6" id="Zone de texte 3" o:spid="_x0000_s1027" type="#_x0000_t202" style="position:absolute;left:0;text-align:left;margin-left:0;margin-top:.2pt;width:671.1pt;height:77.6pt;z-index:25166438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" stroked="f">
                <v:textbox inset="0,0,0,0">
                  <w:txbxContent>
                    <w:p w14:paraId="2AD01A42" w14:textId="1CD3068D" w:rsidR="00B34C6C" w:rsidRDefault="00B34C6C" w:rsidP="00B16F8D">
                      <w:pPr>
                        <w:pStyle w:val="Caption"/>
                      </w:pPr>
                      <w:bookmarkStart w:id="171" w:name="_Hlk132904414"/>
                      <w:bookmarkStart w:id="172" w:name="_Hlk132904415"/>
                      <w:bookmarkStart w:id="173" w:name="_Hlk132904416"/>
                      <w:bookmarkStart w:id="174" w:name="_Hlk132904417"/>
                      <w:bookmarkStart w:id="175" w:name="_Hlk132904418"/>
                      <w:bookmarkStart w:id="176" w:name="_Hlk132904419"/>
                      <w:r>
                        <w:t xml:space="preserve">Графикон </w:t>
                      </w:r>
                      <w:r w:rsidR="002A1999">
                        <w:t>3</w:t>
                      </w:r>
                      <w:r>
                        <w:t xml:space="preserve"> – Преглед Оквира расхода по буџетским корисницима и програмима </w:t>
                      </w:r>
                    </w:p>
                    <w:p w14:paraId="0C8C1837" w14:textId="5BE947C4" w:rsidR="00B34C6C" w:rsidRDefault="00B34C6C" w:rsidP="000B3A57">
                      <w:pPr>
                        <w:rPr>
                          <w:sz w:val="20"/>
                        </w:rPr>
                      </w:pPr>
                      <w:proofErr w:type="spellStart"/>
                      <w:r w:rsidRPr="000B3A57">
                        <w:rPr>
                          <w:sz w:val="20"/>
                        </w:rPr>
                        <w:t>МГСИ</w:t>
                      </w:r>
                      <w:proofErr w:type="spellEnd"/>
                      <w:r w:rsidRPr="000B3A57">
                        <w:rPr>
                          <w:sz w:val="20"/>
                        </w:rPr>
                        <w:t xml:space="preserve"> </w:t>
                      </w:r>
                      <w:r>
                        <w:rPr>
                          <w:sz w:val="20"/>
                        </w:rPr>
                        <w:t>–</w:t>
                      </w:r>
                      <w:r w:rsidRPr="000B3A57">
                        <w:rPr>
                          <w:sz w:val="20"/>
                        </w:rPr>
                        <w:t xml:space="preserve"> </w:t>
                      </w:r>
                      <w:r>
                        <w:rPr>
                          <w:sz w:val="20"/>
                        </w:rPr>
                        <w:t xml:space="preserve">Имплементација инфраструктурних пројеката; </w:t>
                      </w:r>
                      <w:r w:rsidRPr="00A15B38">
                        <w:rPr>
                          <w:sz w:val="20"/>
                        </w:rPr>
                        <w:t>Регулисање и надзор у области саобраћаја</w:t>
                      </w:r>
                      <w:r>
                        <w:rPr>
                          <w:sz w:val="20"/>
                        </w:rPr>
                        <w:t xml:space="preserve">; </w:t>
                      </w:r>
                      <w:proofErr w:type="spellStart"/>
                      <w:r>
                        <w:rPr>
                          <w:sz w:val="20"/>
                        </w:rPr>
                        <w:t>МЗЖС</w:t>
                      </w:r>
                      <w:proofErr w:type="spellEnd"/>
                      <w:r>
                        <w:rPr>
                          <w:sz w:val="20"/>
                        </w:rPr>
                        <w:t xml:space="preserve"> – Зелена агенда; </w:t>
                      </w:r>
                      <w:r w:rsidRPr="00A15B38">
                        <w:rPr>
                          <w:sz w:val="20"/>
                        </w:rPr>
                        <w:t>Интегрисано управљање отпадом, отпадним водама</w:t>
                      </w:r>
                      <w:r>
                        <w:rPr>
                          <w:sz w:val="20"/>
                        </w:rPr>
                        <w:t xml:space="preserve"> и</w:t>
                      </w:r>
                      <w:r w:rsidRPr="00A15B38">
                        <w:rPr>
                          <w:sz w:val="20"/>
                        </w:rPr>
                        <w:t xml:space="preserve"> хемикалијама</w:t>
                      </w:r>
                      <w:r>
                        <w:rPr>
                          <w:sz w:val="20"/>
                        </w:rPr>
                        <w:t xml:space="preserve">; </w:t>
                      </w:r>
                      <w:r w:rsidRPr="00A15B38">
                        <w:rPr>
                          <w:sz w:val="20"/>
                        </w:rPr>
                        <w:t>Управљање заштитом животне средине</w:t>
                      </w:r>
                      <w:r>
                        <w:rPr>
                          <w:sz w:val="20"/>
                        </w:rPr>
                        <w:t xml:space="preserve">; </w:t>
                      </w:r>
                      <w:r w:rsidRPr="00A15B38">
                        <w:rPr>
                          <w:sz w:val="20"/>
                        </w:rPr>
                        <w:t>Заштита природе и климатске промене</w:t>
                      </w:r>
                      <w:r>
                        <w:rPr>
                          <w:sz w:val="20"/>
                        </w:rPr>
                        <w:t>; МЕР – Енергетска ефикасност; СЕПА -</w:t>
                      </w:r>
                      <w:r w:rsidRPr="009E395F">
                        <w:rPr>
                          <w:rFonts w:ascii="Calibri" w:hAnsi="Calibri" w:cs="Calibri"/>
                          <w:color w:val="000000"/>
                          <w:sz w:val="16"/>
                          <w:szCs w:val="16"/>
                        </w:rPr>
                        <w:t xml:space="preserve"> </w:t>
                      </w:r>
                      <w:r w:rsidRPr="00A15B38">
                        <w:rPr>
                          <w:sz w:val="20"/>
                        </w:rPr>
                        <w:t>Управљање заштитом животне средине</w:t>
                      </w:r>
                      <w:r>
                        <w:rPr>
                          <w:sz w:val="20"/>
                        </w:rPr>
                        <w:t xml:space="preserve">; </w:t>
                      </w:r>
                      <w:proofErr w:type="spellStart"/>
                      <w:r>
                        <w:rPr>
                          <w:sz w:val="20"/>
                        </w:rPr>
                        <w:t>РДИ</w:t>
                      </w:r>
                      <w:proofErr w:type="spellEnd"/>
                      <w:r>
                        <w:rPr>
                          <w:sz w:val="20"/>
                        </w:rPr>
                        <w:t xml:space="preserve"> -  </w:t>
                      </w:r>
                      <w:r w:rsidRPr="00A15B38">
                        <w:rPr>
                          <w:sz w:val="20"/>
                        </w:rPr>
                        <w:t>Евиденција, управљање и располагање јавном имовином</w:t>
                      </w:r>
                      <w:r>
                        <w:rPr>
                          <w:sz w:val="20"/>
                        </w:rPr>
                        <w:t xml:space="preserve">; </w:t>
                      </w:r>
                      <w:proofErr w:type="spellStart"/>
                      <w:r>
                        <w:rPr>
                          <w:sz w:val="20"/>
                        </w:rPr>
                        <w:t>РСЈП</w:t>
                      </w:r>
                      <w:proofErr w:type="spellEnd"/>
                      <w:r>
                        <w:rPr>
                          <w:sz w:val="20"/>
                        </w:rPr>
                        <w:t xml:space="preserve"> - </w:t>
                      </w:r>
                      <w:r w:rsidRPr="00A15B38">
                        <w:rPr>
                          <w:sz w:val="20"/>
                        </w:rPr>
                        <w:t>Развој система јавне политике</w:t>
                      </w:r>
                      <w:r w:rsidR="00832C76">
                        <w:rPr>
                          <w:sz w:val="20"/>
                        </w:rPr>
                        <w:t xml:space="preserve">; </w:t>
                      </w:r>
                      <w:proofErr w:type="spellStart"/>
                      <w:r w:rsidR="00832C76">
                        <w:rPr>
                          <w:sz w:val="20"/>
                        </w:rPr>
                        <w:t>К</w:t>
                      </w:r>
                      <w:r>
                        <w:rPr>
                          <w:sz w:val="20"/>
                        </w:rPr>
                        <w:t>ЈН</w:t>
                      </w:r>
                      <w:proofErr w:type="spellEnd"/>
                      <w:r>
                        <w:rPr>
                          <w:sz w:val="20"/>
                        </w:rPr>
                        <w:t xml:space="preserve"> – Развој система јавних набавки</w:t>
                      </w:r>
                    </w:p>
                    <w:p w14:paraId="7589BF55" w14:textId="77777777" w:rsidR="00B34C6C" w:rsidRPr="000B3A57" w:rsidRDefault="00B34C6C" w:rsidP="000B3A57">
                      <w:pPr>
                        <w:rPr>
                          <w:sz w:val="20"/>
                        </w:rPr>
                      </w:pPr>
                    </w:p>
                    <w:p w14:paraId="407E196A" w14:textId="77777777" w:rsidR="00B34C6C" w:rsidRPr="000B3A57" w:rsidRDefault="00B34C6C" w:rsidP="000B3A57"/>
                    <w:bookmarkEnd w:id="171"/>
                    <w:bookmarkEnd w:id="172"/>
                    <w:bookmarkEnd w:id="173"/>
                    <w:bookmarkEnd w:id="174"/>
                    <w:bookmarkEnd w:id="175"/>
                    <w:bookmarkEnd w:id="176"/>
                    <w:p w14:paraId="40A1C2F6" w14:textId="77777777" w:rsidR="00B34C6C" w:rsidRPr="000B3A57" w:rsidRDefault="00B34C6C" w:rsidP="000B3A57"/>
                  </w:txbxContent>
                </v:textbox>
                <w10:wrap type="topAndBottom" anchorx="margin"/>
              </v:shape>
            </w:pict>
          </mc:Fallback>
        </mc:AlternateContent>
      </w:r>
      <w:r w:rsidR="00082508" w:rsidRPr="00895819">
        <w:rPr>
          <w:noProof/>
          <w:lang w:val="en-US" w:eastAsia="en-US"/>
        </w:rPr>
        <w:drawing>
          <wp:inline distT="0" distB="0" distL="0" distR="0" wp14:anchorId="4B8AB00A" wp14:editId="6D5D3D31">
            <wp:extent cx="8553450" cy="5200650"/>
            <wp:effectExtent l="0" t="0" r="0" b="0"/>
            <wp:docPr id="17" name="Graphique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bl>
      <w:tblPr>
        <w:tblW w:w="132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2"/>
        <w:gridCol w:w="2354"/>
        <w:gridCol w:w="2376"/>
        <w:gridCol w:w="1345"/>
        <w:gridCol w:w="1325"/>
        <w:gridCol w:w="1127"/>
        <w:gridCol w:w="1127"/>
        <w:gridCol w:w="1127"/>
        <w:gridCol w:w="1124"/>
      </w:tblGrid>
      <w:tr w:rsidR="00896AFE" w:rsidRPr="00895819" w14:paraId="42AC08D0" w14:textId="77777777" w:rsidTr="006750A2">
        <w:trPr>
          <w:trHeight w:val="630"/>
        </w:trPr>
        <w:tc>
          <w:tcPr>
            <w:tcW w:w="1332" w:type="dxa"/>
            <w:shd w:val="clear" w:color="auto" w:fill="002060"/>
            <w:vAlign w:val="center"/>
            <w:hideMark/>
          </w:tcPr>
          <w:p w14:paraId="271D0127" w14:textId="77777777" w:rsidR="00B16F8D" w:rsidRPr="00895819" w:rsidRDefault="002D425F" w:rsidP="00485361">
            <w:pPr>
              <w:jc w:val="center"/>
              <w:rPr>
                <w:rFonts w:ascii="Calibri" w:hAnsi="Calibri" w:cs="Calibri"/>
                <w:b/>
                <w:bCs/>
                <w:color w:val="FFFFFF" w:themeColor="background1"/>
                <w:sz w:val="16"/>
                <w:szCs w:val="16"/>
                <w:lang w:val="sr-Cyrl-CS"/>
              </w:rPr>
            </w:pPr>
            <w:r w:rsidRPr="00895819">
              <w:rPr>
                <w:rFonts w:ascii="Calibri" w:hAnsi="Calibri" w:cs="Calibri"/>
                <w:b/>
                <w:bCs/>
                <w:color w:val="FFFFFF" w:themeColor="background1"/>
                <w:sz w:val="16"/>
                <w:szCs w:val="16"/>
                <w:lang w:val="sr-Cyrl-CS"/>
              </w:rPr>
              <w:lastRenderedPageBreak/>
              <w:t>Институција</w:t>
            </w:r>
          </w:p>
        </w:tc>
        <w:tc>
          <w:tcPr>
            <w:tcW w:w="2354" w:type="dxa"/>
            <w:shd w:val="clear" w:color="auto" w:fill="002060"/>
            <w:vAlign w:val="center"/>
            <w:hideMark/>
          </w:tcPr>
          <w:p w14:paraId="1EC20A83" w14:textId="77777777" w:rsidR="00B16F8D" w:rsidRPr="00895819" w:rsidRDefault="002D425F" w:rsidP="00485361">
            <w:pPr>
              <w:jc w:val="center"/>
              <w:rPr>
                <w:rFonts w:ascii="Calibri" w:hAnsi="Calibri" w:cs="Calibri"/>
                <w:b/>
                <w:bCs/>
                <w:color w:val="FFFFFF" w:themeColor="background1"/>
                <w:sz w:val="16"/>
                <w:szCs w:val="16"/>
                <w:lang w:val="sr-Cyrl-CS"/>
              </w:rPr>
            </w:pPr>
            <w:r w:rsidRPr="00895819">
              <w:rPr>
                <w:rFonts w:ascii="Calibri" w:hAnsi="Calibri" w:cs="Calibri"/>
                <w:b/>
                <w:bCs/>
                <w:color w:val="FFFFFF" w:themeColor="background1"/>
                <w:sz w:val="16"/>
                <w:szCs w:val="16"/>
                <w:lang w:val="sr-Cyrl-CS"/>
              </w:rPr>
              <w:t>Буџетски програм</w:t>
            </w:r>
          </w:p>
        </w:tc>
        <w:tc>
          <w:tcPr>
            <w:tcW w:w="2376" w:type="dxa"/>
            <w:shd w:val="clear" w:color="auto" w:fill="002060"/>
            <w:vAlign w:val="center"/>
            <w:hideMark/>
          </w:tcPr>
          <w:p w14:paraId="151A1929" w14:textId="77777777" w:rsidR="00B16F8D" w:rsidRPr="00895819" w:rsidRDefault="002D425F" w:rsidP="00485361">
            <w:pPr>
              <w:jc w:val="center"/>
              <w:rPr>
                <w:rFonts w:ascii="Calibri" w:hAnsi="Calibri" w:cs="Calibri"/>
                <w:b/>
                <w:bCs/>
                <w:color w:val="FFFFFF" w:themeColor="background1"/>
                <w:sz w:val="16"/>
                <w:szCs w:val="16"/>
                <w:lang w:val="sr-Cyrl-CS"/>
              </w:rPr>
            </w:pPr>
            <w:r w:rsidRPr="00895819">
              <w:rPr>
                <w:rFonts w:ascii="Calibri" w:hAnsi="Calibri" w:cs="Calibri"/>
                <w:b/>
                <w:bCs/>
                <w:color w:val="FFFFFF" w:themeColor="background1"/>
                <w:sz w:val="16"/>
                <w:szCs w:val="16"/>
                <w:lang w:val="sr-Cyrl-CS"/>
              </w:rPr>
              <w:t>Мера</w:t>
            </w:r>
            <w:r w:rsidR="00B16F8D" w:rsidRPr="00895819">
              <w:rPr>
                <w:rFonts w:ascii="Calibri" w:hAnsi="Calibri" w:cs="Calibri"/>
                <w:b/>
                <w:bCs/>
                <w:color w:val="FFFFFF" w:themeColor="background1"/>
                <w:sz w:val="16"/>
                <w:szCs w:val="16"/>
                <w:lang w:val="sr-Cyrl-CS"/>
              </w:rPr>
              <w:t xml:space="preserve"> / </w:t>
            </w:r>
            <w:r w:rsidRPr="00895819">
              <w:rPr>
                <w:rFonts w:ascii="Calibri" w:hAnsi="Calibri" w:cs="Calibri"/>
                <w:b/>
                <w:bCs/>
                <w:color w:val="FFFFFF" w:themeColor="background1"/>
                <w:sz w:val="16"/>
                <w:szCs w:val="16"/>
                <w:lang w:val="sr-Cyrl-CS"/>
              </w:rPr>
              <w:t>Пројекат</w:t>
            </w:r>
          </w:p>
        </w:tc>
        <w:tc>
          <w:tcPr>
            <w:tcW w:w="1345" w:type="dxa"/>
            <w:shd w:val="clear" w:color="auto" w:fill="002060"/>
            <w:vAlign w:val="center"/>
            <w:hideMark/>
          </w:tcPr>
          <w:p w14:paraId="2543FE02" w14:textId="77777777" w:rsidR="00B16F8D" w:rsidRPr="00895819" w:rsidRDefault="002D425F" w:rsidP="00485361">
            <w:pPr>
              <w:jc w:val="center"/>
              <w:rPr>
                <w:rFonts w:ascii="Calibri" w:hAnsi="Calibri" w:cs="Calibri"/>
                <w:b/>
                <w:bCs/>
                <w:color w:val="FFFFFF" w:themeColor="background1"/>
                <w:sz w:val="16"/>
                <w:szCs w:val="16"/>
                <w:lang w:val="sr-Cyrl-CS"/>
              </w:rPr>
            </w:pPr>
            <w:r w:rsidRPr="00895819">
              <w:rPr>
                <w:rFonts w:ascii="Calibri" w:hAnsi="Calibri" w:cs="Calibri"/>
                <w:b/>
                <w:bCs/>
                <w:color w:val="FFFFFF" w:themeColor="background1"/>
                <w:sz w:val="16"/>
                <w:szCs w:val="16"/>
                <w:lang w:val="sr-Cyrl-CS"/>
              </w:rPr>
              <w:t>Економска класификација</w:t>
            </w:r>
            <w:r w:rsidR="00B16F8D" w:rsidRPr="00895819">
              <w:rPr>
                <w:rFonts w:ascii="Calibri" w:hAnsi="Calibri" w:cs="Calibri"/>
                <w:b/>
                <w:bCs/>
                <w:color w:val="FFFFFF" w:themeColor="background1"/>
                <w:sz w:val="16"/>
                <w:szCs w:val="16"/>
                <w:lang w:val="sr-Cyrl-CS"/>
              </w:rPr>
              <w:t xml:space="preserve"> </w:t>
            </w:r>
          </w:p>
        </w:tc>
        <w:tc>
          <w:tcPr>
            <w:tcW w:w="1325" w:type="dxa"/>
            <w:shd w:val="clear" w:color="auto" w:fill="002060"/>
            <w:vAlign w:val="center"/>
            <w:hideMark/>
          </w:tcPr>
          <w:p w14:paraId="3C744A79" w14:textId="77777777" w:rsidR="00B16F8D" w:rsidRPr="00895819" w:rsidRDefault="002D425F" w:rsidP="00485361">
            <w:pPr>
              <w:jc w:val="center"/>
              <w:rPr>
                <w:rFonts w:ascii="Calibri" w:hAnsi="Calibri" w:cs="Calibri"/>
                <w:b/>
                <w:bCs/>
                <w:color w:val="FFFFFF" w:themeColor="background1"/>
                <w:sz w:val="16"/>
                <w:szCs w:val="16"/>
                <w:lang w:val="sr-Cyrl-CS"/>
              </w:rPr>
            </w:pPr>
            <w:r w:rsidRPr="00895819">
              <w:rPr>
                <w:rFonts w:ascii="Calibri" w:hAnsi="Calibri" w:cs="Calibri"/>
                <w:b/>
                <w:bCs/>
                <w:color w:val="FFFFFF" w:themeColor="background1"/>
                <w:sz w:val="16"/>
                <w:szCs w:val="16"/>
                <w:lang w:val="sr-Cyrl-CS"/>
              </w:rPr>
              <w:t xml:space="preserve">Кредити </w:t>
            </w:r>
            <w:r w:rsidR="00B16F8D" w:rsidRPr="00895819">
              <w:rPr>
                <w:rFonts w:ascii="Calibri" w:hAnsi="Calibri" w:cs="Calibri"/>
                <w:b/>
                <w:bCs/>
                <w:color w:val="FFFFFF" w:themeColor="background1"/>
                <w:sz w:val="16"/>
                <w:szCs w:val="16"/>
                <w:lang w:val="sr-Cyrl-CS"/>
              </w:rPr>
              <w:t>2023</w:t>
            </w:r>
            <w:r w:rsidRPr="00895819">
              <w:rPr>
                <w:rFonts w:ascii="Calibri" w:hAnsi="Calibri" w:cs="Calibri"/>
                <w:b/>
                <w:bCs/>
                <w:color w:val="FFFFFF" w:themeColor="background1"/>
                <w:sz w:val="16"/>
                <w:szCs w:val="16"/>
                <w:lang w:val="sr-Cyrl-CS"/>
              </w:rPr>
              <w:t>.</w:t>
            </w:r>
          </w:p>
        </w:tc>
        <w:tc>
          <w:tcPr>
            <w:tcW w:w="1127" w:type="dxa"/>
            <w:shd w:val="clear" w:color="auto" w:fill="002060"/>
            <w:vAlign w:val="center"/>
            <w:hideMark/>
          </w:tcPr>
          <w:p w14:paraId="5459E331" w14:textId="77777777" w:rsidR="00B16F8D" w:rsidRPr="00895819" w:rsidRDefault="002D425F" w:rsidP="00485361">
            <w:pPr>
              <w:jc w:val="center"/>
              <w:rPr>
                <w:rFonts w:ascii="Calibri" w:hAnsi="Calibri" w:cs="Calibri"/>
                <w:b/>
                <w:bCs/>
                <w:color w:val="FFFFFF" w:themeColor="background1"/>
                <w:sz w:val="16"/>
                <w:szCs w:val="16"/>
                <w:lang w:val="sr-Cyrl-CS"/>
              </w:rPr>
            </w:pPr>
            <w:r w:rsidRPr="00895819">
              <w:rPr>
                <w:rFonts w:ascii="Calibri" w:hAnsi="Calibri" w:cs="Calibri"/>
                <w:b/>
                <w:bCs/>
                <w:color w:val="FFFFFF" w:themeColor="background1"/>
                <w:sz w:val="16"/>
                <w:szCs w:val="16"/>
                <w:lang w:val="sr-Cyrl-CS"/>
              </w:rPr>
              <w:t xml:space="preserve">Кредити </w:t>
            </w:r>
            <w:r w:rsidR="00B16F8D" w:rsidRPr="00895819">
              <w:rPr>
                <w:rFonts w:ascii="Calibri" w:hAnsi="Calibri" w:cs="Calibri"/>
                <w:b/>
                <w:bCs/>
                <w:color w:val="FFFFFF" w:themeColor="background1"/>
                <w:sz w:val="16"/>
                <w:szCs w:val="16"/>
                <w:lang w:val="sr-Cyrl-CS"/>
              </w:rPr>
              <w:t>2024</w:t>
            </w:r>
            <w:r w:rsidRPr="00895819">
              <w:rPr>
                <w:rFonts w:ascii="Calibri" w:hAnsi="Calibri" w:cs="Calibri"/>
                <w:b/>
                <w:bCs/>
                <w:color w:val="FFFFFF" w:themeColor="background1"/>
                <w:sz w:val="16"/>
                <w:szCs w:val="16"/>
                <w:lang w:val="sr-Cyrl-CS"/>
              </w:rPr>
              <w:t>.</w:t>
            </w:r>
          </w:p>
        </w:tc>
        <w:tc>
          <w:tcPr>
            <w:tcW w:w="1127" w:type="dxa"/>
            <w:shd w:val="clear" w:color="auto" w:fill="002060"/>
            <w:vAlign w:val="center"/>
            <w:hideMark/>
          </w:tcPr>
          <w:p w14:paraId="176DA379" w14:textId="77777777" w:rsidR="00B16F8D" w:rsidRPr="00895819" w:rsidRDefault="002D425F" w:rsidP="00485361">
            <w:pPr>
              <w:jc w:val="center"/>
              <w:rPr>
                <w:rFonts w:ascii="Calibri" w:hAnsi="Calibri" w:cs="Calibri"/>
                <w:b/>
                <w:bCs/>
                <w:color w:val="FFFFFF" w:themeColor="background1"/>
                <w:sz w:val="16"/>
                <w:szCs w:val="16"/>
                <w:lang w:val="sr-Cyrl-CS"/>
              </w:rPr>
            </w:pPr>
            <w:r w:rsidRPr="00895819">
              <w:rPr>
                <w:rFonts w:ascii="Calibri" w:hAnsi="Calibri" w:cs="Calibri"/>
                <w:b/>
                <w:bCs/>
                <w:color w:val="FFFFFF" w:themeColor="background1"/>
                <w:sz w:val="16"/>
                <w:szCs w:val="16"/>
                <w:lang w:val="sr-Cyrl-CS"/>
              </w:rPr>
              <w:t>Кредити 2025.</w:t>
            </w:r>
          </w:p>
        </w:tc>
        <w:tc>
          <w:tcPr>
            <w:tcW w:w="1127" w:type="dxa"/>
            <w:shd w:val="clear" w:color="auto" w:fill="002060"/>
            <w:vAlign w:val="center"/>
            <w:hideMark/>
          </w:tcPr>
          <w:p w14:paraId="6425162C" w14:textId="6A7FE8C6" w:rsidR="00B16F8D" w:rsidRPr="00895819" w:rsidRDefault="002D425F" w:rsidP="00485361">
            <w:pPr>
              <w:jc w:val="center"/>
              <w:rPr>
                <w:rFonts w:ascii="Calibri" w:hAnsi="Calibri" w:cs="Calibri"/>
                <w:b/>
                <w:bCs/>
                <w:color w:val="FFFFFF" w:themeColor="background1"/>
                <w:sz w:val="16"/>
                <w:szCs w:val="16"/>
                <w:lang w:val="sr-Cyrl-CS"/>
              </w:rPr>
            </w:pPr>
            <w:r w:rsidRPr="00895819">
              <w:rPr>
                <w:rFonts w:ascii="Calibri" w:hAnsi="Calibri" w:cs="Calibri"/>
                <w:b/>
                <w:bCs/>
                <w:color w:val="FFFFFF" w:themeColor="background1"/>
                <w:sz w:val="16"/>
                <w:szCs w:val="16"/>
                <w:lang w:val="sr-Cyrl-CS"/>
              </w:rPr>
              <w:t>Кредити 2026</w:t>
            </w:r>
            <w:r w:rsidR="00220124" w:rsidRPr="00895819">
              <w:rPr>
                <w:rFonts w:ascii="Calibri" w:hAnsi="Calibri" w:cs="Calibri"/>
                <w:b/>
                <w:bCs/>
                <w:color w:val="FFFFFF" w:themeColor="background1"/>
                <w:sz w:val="16"/>
                <w:szCs w:val="16"/>
                <w:lang w:val="sr-Cyrl-CS"/>
              </w:rPr>
              <w:t>.</w:t>
            </w:r>
          </w:p>
        </w:tc>
        <w:tc>
          <w:tcPr>
            <w:tcW w:w="1124" w:type="dxa"/>
            <w:shd w:val="clear" w:color="auto" w:fill="002060"/>
            <w:vAlign w:val="center"/>
            <w:hideMark/>
          </w:tcPr>
          <w:p w14:paraId="7DD07F2E" w14:textId="77777777" w:rsidR="00B16F8D" w:rsidRPr="00895819" w:rsidRDefault="002D425F" w:rsidP="00485361">
            <w:pPr>
              <w:jc w:val="center"/>
              <w:rPr>
                <w:rFonts w:ascii="Calibri" w:hAnsi="Calibri" w:cs="Calibri"/>
                <w:b/>
                <w:bCs/>
                <w:color w:val="FFFFFF" w:themeColor="background1"/>
                <w:sz w:val="16"/>
                <w:szCs w:val="16"/>
                <w:lang w:val="sr-Cyrl-CS"/>
              </w:rPr>
            </w:pPr>
            <w:r w:rsidRPr="00895819">
              <w:rPr>
                <w:rFonts w:ascii="Calibri" w:hAnsi="Calibri" w:cs="Calibri"/>
                <w:b/>
                <w:bCs/>
                <w:color w:val="FFFFFF" w:themeColor="background1"/>
                <w:sz w:val="16"/>
                <w:szCs w:val="16"/>
                <w:lang w:val="sr-Cyrl-CS"/>
              </w:rPr>
              <w:t>Укупно</w:t>
            </w:r>
            <w:r w:rsidR="00B16F8D" w:rsidRPr="00895819">
              <w:rPr>
                <w:rFonts w:ascii="Calibri" w:hAnsi="Calibri" w:cs="Calibri"/>
                <w:b/>
                <w:bCs/>
                <w:color w:val="FFFFFF" w:themeColor="background1"/>
                <w:sz w:val="16"/>
                <w:szCs w:val="16"/>
                <w:lang w:val="sr-Cyrl-CS"/>
              </w:rPr>
              <w:t xml:space="preserve"> (</w:t>
            </w:r>
            <w:r w:rsidRPr="00895819">
              <w:rPr>
                <w:rFonts w:ascii="Calibri" w:hAnsi="Calibri" w:cs="Calibri"/>
                <w:b/>
                <w:bCs/>
                <w:color w:val="FFFFFF" w:themeColor="background1"/>
                <w:sz w:val="16"/>
                <w:szCs w:val="16"/>
                <w:lang w:val="sr-Cyrl-CS"/>
              </w:rPr>
              <w:t>ЕУР</w:t>
            </w:r>
            <w:r w:rsidR="00B16F8D" w:rsidRPr="00895819">
              <w:rPr>
                <w:rFonts w:ascii="Calibri" w:hAnsi="Calibri" w:cs="Calibri"/>
                <w:b/>
                <w:bCs/>
                <w:color w:val="FFFFFF" w:themeColor="background1"/>
                <w:sz w:val="16"/>
                <w:szCs w:val="16"/>
                <w:lang w:val="sr-Cyrl-CS"/>
              </w:rPr>
              <w:t>)</w:t>
            </w:r>
          </w:p>
        </w:tc>
      </w:tr>
      <w:tr w:rsidR="00896AFE" w:rsidRPr="00895819" w14:paraId="7A8A77BA" w14:textId="77777777" w:rsidTr="006750A2">
        <w:trPr>
          <w:trHeight w:val="630"/>
        </w:trPr>
        <w:tc>
          <w:tcPr>
            <w:tcW w:w="1332" w:type="dxa"/>
            <w:shd w:val="clear" w:color="auto" w:fill="auto"/>
            <w:vAlign w:val="center"/>
            <w:hideMark/>
          </w:tcPr>
          <w:p w14:paraId="5CDAEC34" w14:textId="77777777" w:rsidR="00082508" w:rsidRPr="00895819" w:rsidRDefault="00F76D97" w:rsidP="00082508">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Министарство финансија</w:t>
            </w:r>
          </w:p>
        </w:tc>
        <w:tc>
          <w:tcPr>
            <w:tcW w:w="2354" w:type="dxa"/>
            <w:shd w:val="clear" w:color="auto" w:fill="auto"/>
            <w:vAlign w:val="center"/>
            <w:hideMark/>
          </w:tcPr>
          <w:p w14:paraId="55A45C28" w14:textId="77777777" w:rsidR="00082508" w:rsidRPr="00895819" w:rsidRDefault="0066643F" w:rsidP="00082508">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Регулисање, управљање и надзор над финансијским и фискалним системом (МФ)</w:t>
            </w:r>
          </w:p>
        </w:tc>
        <w:tc>
          <w:tcPr>
            <w:tcW w:w="2376" w:type="dxa"/>
            <w:shd w:val="clear" w:color="auto" w:fill="auto"/>
            <w:vAlign w:val="center"/>
            <w:hideMark/>
          </w:tcPr>
          <w:p w14:paraId="1D705F7F" w14:textId="77777777" w:rsidR="00082508" w:rsidRPr="00895819" w:rsidRDefault="000377F0" w:rsidP="00082508">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Информациони систем - ПИМИС</w:t>
            </w:r>
          </w:p>
        </w:tc>
        <w:tc>
          <w:tcPr>
            <w:tcW w:w="1345" w:type="dxa"/>
            <w:shd w:val="clear" w:color="auto" w:fill="auto"/>
            <w:vAlign w:val="center"/>
            <w:hideMark/>
          </w:tcPr>
          <w:p w14:paraId="7B0C535D" w14:textId="77777777" w:rsidR="00082508" w:rsidRPr="00895819" w:rsidRDefault="00896AFE" w:rsidP="00082508">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Нематеријална имовина</w:t>
            </w:r>
          </w:p>
        </w:tc>
        <w:tc>
          <w:tcPr>
            <w:tcW w:w="1325" w:type="dxa"/>
            <w:shd w:val="clear" w:color="000000" w:fill="FFFFFF"/>
            <w:vAlign w:val="center"/>
            <w:hideMark/>
          </w:tcPr>
          <w:p w14:paraId="22E71AE3" w14:textId="77777777" w:rsidR="00082508" w:rsidRPr="00895819" w:rsidRDefault="00082508"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1</w:t>
            </w:r>
            <w:r w:rsidR="00407840" w:rsidRPr="00895819">
              <w:rPr>
                <w:rFonts w:ascii="Calibri" w:hAnsi="Calibri" w:cs="Calibri"/>
                <w:color w:val="000000"/>
                <w:sz w:val="16"/>
                <w:szCs w:val="16"/>
                <w:lang w:val="sr-Cyrl-CS"/>
              </w:rPr>
              <w:t>.</w:t>
            </w:r>
            <w:r w:rsidRPr="00895819">
              <w:rPr>
                <w:rFonts w:ascii="Calibri" w:hAnsi="Calibri" w:cs="Calibri"/>
                <w:color w:val="000000"/>
                <w:sz w:val="16"/>
                <w:szCs w:val="16"/>
                <w:lang w:val="sr-Cyrl-CS"/>
              </w:rPr>
              <w:t>047</w:t>
            </w:r>
            <w:r w:rsidR="00407840" w:rsidRPr="00895819">
              <w:rPr>
                <w:rFonts w:ascii="Calibri" w:hAnsi="Calibri" w:cs="Calibri"/>
                <w:color w:val="000000"/>
                <w:sz w:val="16"/>
                <w:szCs w:val="16"/>
                <w:lang w:val="sr-Cyrl-CS"/>
              </w:rPr>
              <w:t>.</w:t>
            </w:r>
            <w:r w:rsidRPr="00895819">
              <w:rPr>
                <w:rFonts w:ascii="Calibri" w:hAnsi="Calibri" w:cs="Calibri"/>
                <w:color w:val="000000"/>
                <w:sz w:val="16"/>
                <w:szCs w:val="16"/>
                <w:lang w:val="sr-Cyrl-CS"/>
              </w:rPr>
              <w:t>923</w:t>
            </w:r>
          </w:p>
        </w:tc>
        <w:tc>
          <w:tcPr>
            <w:tcW w:w="1127" w:type="dxa"/>
            <w:shd w:val="clear" w:color="000000" w:fill="FFFFFF"/>
            <w:vAlign w:val="center"/>
            <w:hideMark/>
          </w:tcPr>
          <w:p w14:paraId="16FF32EF" w14:textId="77777777" w:rsidR="00082508" w:rsidRPr="00895819" w:rsidRDefault="00082508"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vAlign w:val="center"/>
            <w:hideMark/>
          </w:tcPr>
          <w:p w14:paraId="5751C4B4" w14:textId="77777777" w:rsidR="00082508" w:rsidRPr="00895819" w:rsidRDefault="00082508"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 xml:space="preserve"> -</w:t>
            </w:r>
          </w:p>
        </w:tc>
        <w:tc>
          <w:tcPr>
            <w:tcW w:w="1127" w:type="dxa"/>
            <w:shd w:val="clear" w:color="000000" w:fill="FFFFFF"/>
            <w:vAlign w:val="center"/>
            <w:hideMark/>
          </w:tcPr>
          <w:p w14:paraId="76F40AF9" w14:textId="77777777" w:rsidR="00082508" w:rsidRPr="00895819" w:rsidRDefault="00082508"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0B55EDA5" w14:textId="77777777" w:rsidR="00082508" w:rsidRPr="00895819" w:rsidRDefault="00082508" w:rsidP="00407840">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1</w:t>
            </w:r>
            <w:r w:rsidR="00407840" w:rsidRPr="00895819">
              <w:rPr>
                <w:rFonts w:ascii="Calibri" w:hAnsi="Calibri" w:cs="Calibri"/>
                <w:b/>
                <w:bCs/>
                <w:color w:val="000000"/>
                <w:sz w:val="16"/>
                <w:szCs w:val="16"/>
                <w:lang w:val="sr-Cyrl-CS"/>
              </w:rPr>
              <w:t>.</w:t>
            </w:r>
            <w:r w:rsidRPr="00895819">
              <w:rPr>
                <w:rFonts w:ascii="Calibri" w:hAnsi="Calibri" w:cs="Calibri"/>
                <w:b/>
                <w:bCs/>
                <w:color w:val="000000"/>
                <w:sz w:val="16"/>
                <w:szCs w:val="16"/>
                <w:lang w:val="sr-Cyrl-CS"/>
              </w:rPr>
              <w:t>047</w:t>
            </w:r>
            <w:r w:rsidR="00407840" w:rsidRPr="00895819">
              <w:rPr>
                <w:rFonts w:ascii="Calibri" w:hAnsi="Calibri" w:cs="Calibri"/>
                <w:b/>
                <w:bCs/>
                <w:color w:val="000000"/>
                <w:sz w:val="16"/>
                <w:szCs w:val="16"/>
                <w:lang w:val="sr-Cyrl-CS"/>
              </w:rPr>
              <w:t>.</w:t>
            </w:r>
            <w:r w:rsidRPr="00895819">
              <w:rPr>
                <w:rFonts w:ascii="Calibri" w:hAnsi="Calibri" w:cs="Calibri"/>
                <w:b/>
                <w:bCs/>
                <w:color w:val="000000"/>
                <w:sz w:val="16"/>
                <w:szCs w:val="16"/>
                <w:lang w:val="sr-Cyrl-CS"/>
              </w:rPr>
              <w:t>923</w:t>
            </w:r>
          </w:p>
        </w:tc>
      </w:tr>
      <w:tr w:rsidR="00407840" w:rsidRPr="00895819" w14:paraId="16FDA41E" w14:textId="77777777" w:rsidTr="006750A2">
        <w:trPr>
          <w:trHeight w:val="630"/>
        </w:trPr>
        <w:tc>
          <w:tcPr>
            <w:tcW w:w="1332" w:type="dxa"/>
            <w:shd w:val="clear" w:color="auto" w:fill="auto"/>
            <w:vAlign w:val="center"/>
            <w:hideMark/>
          </w:tcPr>
          <w:p w14:paraId="2D2021E4"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Министарство финансија</w:t>
            </w:r>
          </w:p>
        </w:tc>
        <w:tc>
          <w:tcPr>
            <w:tcW w:w="2354" w:type="dxa"/>
            <w:shd w:val="clear" w:color="auto" w:fill="auto"/>
            <w:vAlign w:val="center"/>
            <w:hideMark/>
          </w:tcPr>
          <w:p w14:paraId="44C10377"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Регулисање, управљање и надзор над финансијским и фискалним системом (МФ)</w:t>
            </w:r>
          </w:p>
        </w:tc>
        <w:tc>
          <w:tcPr>
            <w:tcW w:w="2376" w:type="dxa"/>
            <w:shd w:val="clear" w:color="auto" w:fill="auto"/>
            <w:vAlign w:val="center"/>
            <w:hideMark/>
          </w:tcPr>
          <w:p w14:paraId="3BAECBB1"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Систем јавних финансија - ЈАФИН</w:t>
            </w:r>
          </w:p>
        </w:tc>
        <w:tc>
          <w:tcPr>
            <w:tcW w:w="1345" w:type="dxa"/>
            <w:shd w:val="clear" w:color="auto" w:fill="auto"/>
            <w:vAlign w:val="center"/>
            <w:hideMark/>
          </w:tcPr>
          <w:p w14:paraId="3BC90883"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Нематеријална имовина</w:t>
            </w:r>
          </w:p>
        </w:tc>
        <w:tc>
          <w:tcPr>
            <w:tcW w:w="1325" w:type="dxa"/>
            <w:shd w:val="clear" w:color="000000" w:fill="FFFFFF"/>
            <w:vAlign w:val="center"/>
            <w:hideMark/>
          </w:tcPr>
          <w:p w14:paraId="2A5860CF"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4.999.360</w:t>
            </w:r>
          </w:p>
        </w:tc>
        <w:tc>
          <w:tcPr>
            <w:tcW w:w="1127" w:type="dxa"/>
            <w:shd w:val="clear" w:color="000000" w:fill="FFFFFF"/>
            <w:vAlign w:val="center"/>
            <w:hideMark/>
          </w:tcPr>
          <w:p w14:paraId="1B86A929"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vAlign w:val="center"/>
            <w:hideMark/>
          </w:tcPr>
          <w:p w14:paraId="18145A12"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vAlign w:val="center"/>
            <w:hideMark/>
          </w:tcPr>
          <w:p w14:paraId="5FD025A6"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4F414B96" w14:textId="77777777" w:rsidR="00407840" w:rsidRPr="00895819" w:rsidRDefault="00407840" w:rsidP="00407840">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4.999.360</w:t>
            </w:r>
          </w:p>
        </w:tc>
      </w:tr>
      <w:tr w:rsidR="00407840" w:rsidRPr="00895819" w14:paraId="7979E309" w14:textId="77777777" w:rsidTr="00A072EF">
        <w:trPr>
          <w:trHeight w:val="630"/>
        </w:trPr>
        <w:tc>
          <w:tcPr>
            <w:tcW w:w="1332" w:type="dxa"/>
            <w:shd w:val="clear" w:color="auto" w:fill="auto"/>
            <w:vAlign w:val="center"/>
            <w:hideMark/>
          </w:tcPr>
          <w:p w14:paraId="1B8DD896"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Министарство финансија</w:t>
            </w:r>
          </w:p>
        </w:tc>
        <w:tc>
          <w:tcPr>
            <w:tcW w:w="2354" w:type="dxa"/>
            <w:shd w:val="clear" w:color="auto" w:fill="auto"/>
            <w:vAlign w:val="center"/>
            <w:hideMark/>
          </w:tcPr>
          <w:p w14:paraId="2BBAA31F"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Регулисање, управљање и надзор над финансијским и фискалним системом (МФ)</w:t>
            </w:r>
          </w:p>
        </w:tc>
        <w:tc>
          <w:tcPr>
            <w:tcW w:w="2376" w:type="dxa"/>
            <w:shd w:val="clear" w:color="auto" w:fill="auto"/>
            <w:vAlign w:val="center"/>
            <w:hideMark/>
          </w:tcPr>
          <w:p w14:paraId="3210B1AE"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Обједињени информациони систем корисника буџетских средстава - ОРИС</w:t>
            </w:r>
          </w:p>
        </w:tc>
        <w:tc>
          <w:tcPr>
            <w:tcW w:w="1345" w:type="dxa"/>
            <w:shd w:val="clear" w:color="auto" w:fill="auto"/>
            <w:vAlign w:val="center"/>
            <w:hideMark/>
          </w:tcPr>
          <w:p w14:paraId="457D3CBF"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Нематеријална имовина</w:t>
            </w:r>
          </w:p>
        </w:tc>
        <w:tc>
          <w:tcPr>
            <w:tcW w:w="1325" w:type="dxa"/>
            <w:shd w:val="clear" w:color="000000" w:fill="FFFFFF"/>
            <w:vAlign w:val="center"/>
            <w:hideMark/>
          </w:tcPr>
          <w:p w14:paraId="709051BC"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613.418</w:t>
            </w:r>
          </w:p>
        </w:tc>
        <w:tc>
          <w:tcPr>
            <w:tcW w:w="1127" w:type="dxa"/>
            <w:shd w:val="clear" w:color="000000" w:fill="FFFFFF"/>
            <w:hideMark/>
          </w:tcPr>
          <w:p w14:paraId="6B9C9E24"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726BCD3A"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2CAD178B"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076CF183" w14:textId="77777777" w:rsidR="00407840" w:rsidRPr="00895819" w:rsidRDefault="00407840" w:rsidP="00407840">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613.418</w:t>
            </w:r>
          </w:p>
        </w:tc>
      </w:tr>
      <w:tr w:rsidR="00407840" w:rsidRPr="00895819" w14:paraId="5B93E1E3" w14:textId="77777777" w:rsidTr="00A072EF">
        <w:trPr>
          <w:trHeight w:val="630"/>
        </w:trPr>
        <w:tc>
          <w:tcPr>
            <w:tcW w:w="1332" w:type="dxa"/>
            <w:shd w:val="clear" w:color="auto" w:fill="auto"/>
            <w:vAlign w:val="center"/>
            <w:hideMark/>
          </w:tcPr>
          <w:p w14:paraId="5407D62A"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Министарство финансија</w:t>
            </w:r>
          </w:p>
        </w:tc>
        <w:tc>
          <w:tcPr>
            <w:tcW w:w="2354" w:type="dxa"/>
            <w:shd w:val="clear" w:color="auto" w:fill="auto"/>
            <w:vAlign w:val="center"/>
            <w:hideMark/>
          </w:tcPr>
          <w:p w14:paraId="4BAFF9E0"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Регулисање, управљање и надзор над финансијским и фискалним системом (МФ)</w:t>
            </w:r>
          </w:p>
        </w:tc>
        <w:tc>
          <w:tcPr>
            <w:tcW w:w="2376" w:type="dxa"/>
            <w:shd w:val="clear" w:color="auto" w:fill="auto"/>
            <w:vAlign w:val="center"/>
            <w:hideMark/>
          </w:tcPr>
          <w:p w14:paraId="3911E071"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Пословање трезора</w:t>
            </w:r>
          </w:p>
        </w:tc>
        <w:tc>
          <w:tcPr>
            <w:tcW w:w="1345" w:type="dxa"/>
            <w:shd w:val="clear" w:color="auto" w:fill="auto"/>
            <w:vAlign w:val="center"/>
            <w:hideMark/>
          </w:tcPr>
          <w:p w14:paraId="7DDC0F43"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Машине и опрема</w:t>
            </w:r>
          </w:p>
        </w:tc>
        <w:tc>
          <w:tcPr>
            <w:tcW w:w="1325" w:type="dxa"/>
            <w:shd w:val="clear" w:color="000000" w:fill="FFFFFF"/>
            <w:vAlign w:val="center"/>
            <w:hideMark/>
          </w:tcPr>
          <w:p w14:paraId="7E4270BA"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1.745.261</w:t>
            </w:r>
          </w:p>
        </w:tc>
        <w:tc>
          <w:tcPr>
            <w:tcW w:w="1127" w:type="dxa"/>
            <w:shd w:val="clear" w:color="000000" w:fill="FFFFFF"/>
            <w:hideMark/>
          </w:tcPr>
          <w:p w14:paraId="55EB8548"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476502C8"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09289484"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74D647F8" w14:textId="77777777" w:rsidR="00407840" w:rsidRPr="00895819" w:rsidRDefault="00407840" w:rsidP="00407840">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1.745.261</w:t>
            </w:r>
          </w:p>
        </w:tc>
      </w:tr>
      <w:tr w:rsidR="00407840" w:rsidRPr="00895819" w14:paraId="2E56FE6B" w14:textId="77777777" w:rsidTr="00A072EF">
        <w:trPr>
          <w:trHeight w:val="630"/>
        </w:trPr>
        <w:tc>
          <w:tcPr>
            <w:tcW w:w="1332" w:type="dxa"/>
            <w:shd w:val="clear" w:color="auto" w:fill="auto"/>
            <w:vAlign w:val="center"/>
            <w:hideMark/>
          </w:tcPr>
          <w:p w14:paraId="534DB7C7"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Министарство финансија</w:t>
            </w:r>
          </w:p>
        </w:tc>
        <w:tc>
          <w:tcPr>
            <w:tcW w:w="2354" w:type="dxa"/>
            <w:shd w:val="clear" w:color="auto" w:fill="auto"/>
            <w:vAlign w:val="center"/>
            <w:hideMark/>
          </w:tcPr>
          <w:p w14:paraId="67901FDD"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Регулисање, управљање и надзор над финансијским и фискалним системом (МФ)</w:t>
            </w:r>
          </w:p>
        </w:tc>
        <w:tc>
          <w:tcPr>
            <w:tcW w:w="2376" w:type="dxa"/>
            <w:shd w:val="clear" w:color="auto" w:fill="auto"/>
            <w:vAlign w:val="center"/>
            <w:hideMark/>
          </w:tcPr>
          <w:p w14:paraId="1F234192"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Припрема и анализа буџета</w:t>
            </w:r>
          </w:p>
        </w:tc>
        <w:tc>
          <w:tcPr>
            <w:tcW w:w="1345" w:type="dxa"/>
            <w:shd w:val="clear" w:color="auto" w:fill="auto"/>
            <w:vAlign w:val="center"/>
            <w:hideMark/>
          </w:tcPr>
          <w:p w14:paraId="2697412D"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Машине и опрема</w:t>
            </w:r>
          </w:p>
        </w:tc>
        <w:tc>
          <w:tcPr>
            <w:tcW w:w="1325" w:type="dxa"/>
            <w:shd w:val="clear" w:color="000000" w:fill="FFFFFF"/>
            <w:vAlign w:val="center"/>
            <w:hideMark/>
          </w:tcPr>
          <w:p w14:paraId="13AC2B99"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21.299</w:t>
            </w:r>
          </w:p>
        </w:tc>
        <w:tc>
          <w:tcPr>
            <w:tcW w:w="1127" w:type="dxa"/>
            <w:shd w:val="clear" w:color="000000" w:fill="FFFFFF"/>
            <w:hideMark/>
          </w:tcPr>
          <w:p w14:paraId="4F1154AA"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66E9CD8E"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327FAB96"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66E65BA7" w14:textId="77777777" w:rsidR="00407840" w:rsidRPr="00895819" w:rsidRDefault="00407840" w:rsidP="00407840">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21.299</w:t>
            </w:r>
          </w:p>
        </w:tc>
      </w:tr>
      <w:tr w:rsidR="00407840" w:rsidRPr="00895819" w14:paraId="065EF4C0" w14:textId="77777777" w:rsidTr="00A072EF">
        <w:trPr>
          <w:trHeight w:val="630"/>
        </w:trPr>
        <w:tc>
          <w:tcPr>
            <w:tcW w:w="1332" w:type="dxa"/>
            <w:shd w:val="clear" w:color="auto" w:fill="auto"/>
            <w:vAlign w:val="center"/>
            <w:hideMark/>
          </w:tcPr>
          <w:p w14:paraId="5A6B2629"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Министарство финансија</w:t>
            </w:r>
          </w:p>
        </w:tc>
        <w:tc>
          <w:tcPr>
            <w:tcW w:w="2354" w:type="dxa"/>
            <w:shd w:val="clear" w:color="auto" w:fill="auto"/>
            <w:vAlign w:val="center"/>
            <w:hideMark/>
          </w:tcPr>
          <w:p w14:paraId="5BA3E42F"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Регулисање, управљање и надзор над финансијским и фискалним системом (МФ)</w:t>
            </w:r>
          </w:p>
        </w:tc>
        <w:tc>
          <w:tcPr>
            <w:tcW w:w="2376" w:type="dxa"/>
            <w:shd w:val="clear" w:color="auto" w:fill="auto"/>
            <w:vAlign w:val="center"/>
            <w:hideMark/>
          </w:tcPr>
          <w:p w14:paraId="3975D17E"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Платформа за праћење имплементације уговора о јавним набавкама</w:t>
            </w:r>
          </w:p>
        </w:tc>
        <w:tc>
          <w:tcPr>
            <w:tcW w:w="1345" w:type="dxa"/>
            <w:shd w:val="clear" w:color="auto" w:fill="auto"/>
            <w:vAlign w:val="center"/>
            <w:hideMark/>
          </w:tcPr>
          <w:p w14:paraId="77F29042"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Нематеријална имовина</w:t>
            </w:r>
          </w:p>
        </w:tc>
        <w:tc>
          <w:tcPr>
            <w:tcW w:w="1325" w:type="dxa"/>
            <w:shd w:val="clear" w:color="000000" w:fill="FFFFFF"/>
            <w:vAlign w:val="center"/>
            <w:hideMark/>
          </w:tcPr>
          <w:p w14:paraId="2F952ABD"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2.628.327</w:t>
            </w:r>
          </w:p>
        </w:tc>
        <w:tc>
          <w:tcPr>
            <w:tcW w:w="1127" w:type="dxa"/>
            <w:shd w:val="clear" w:color="000000" w:fill="FFFFFF"/>
            <w:hideMark/>
          </w:tcPr>
          <w:p w14:paraId="08956AC2"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672D3CA3"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4D7C20D7"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2E04B9F7" w14:textId="77777777" w:rsidR="00407840" w:rsidRPr="00895819" w:rsidRDefault="00407840" w:rsidP="00407840">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2.628.327</w:t>
            </w:r>
          </w:p>
        </w:tc>
      </w:tr>
      <w:tr w:rsidR="00407840" w:rsidRPr="00895819" w14:paraId="2B1E1E47" w14:textId="77777777" w:rsidTr="00A072EF">
        <w:trPr>
          <w:trHeight w:val="630"/>
        </w:trPr>
        <w:tc>
          <w:tcPr>
            <w:tcW w:w="1332" w:type="dxa"/>
            <w:shd w:val="clear" w:color="auto" w:fill="auto"/>
            <w:vAlign w:val="center"/>
            <w:hideMark/>
          </w:tcPr>
          <w:p w14:paraId="03E03030"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Министарство финансија</w:t>
            </w:r>
          </w:p>
        </w:tc>
        <w:tc>
          <w:tcPr>
            <w:tcW w:w="2354" w:type="dxa"/>
            <w:shd w:val="clear" w:color="auto" w:fill="auto"/>
            <w:vAlign w:val="center"/>
            <w:hideMark/>
          </w:tcPr>
          <w:p w14:paraId="4AA54B06"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Регулисање, управљање и надзор над финансијским и фискалним системом (МФ)</w:t>
            </w:r>
          </w:p>
        </w:tc>
        <w:tc>
          <w:tcPr>
            <w:tcW w:w="2376" w:type="dxa"/>
            <w:shd w:val="clear" w:color="auto" w:fill="auto"/>
            <w:vAlign w:val="center"/>
            <w:hideMark/>
          </w:tcPr>
          <w:p w14:paraId="423BF7C0"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Јединствени информациони систем за буџетско рачуноводство</w:t>
            </w:r>
          </w:p>
        </w:tc>
        <w:tc>
          <w:tcPr>
            <w:tcW w:w="1345" w:type="dxa"/>
            <w:shd w:val="clear" w:color="auto" w:fill="auto"/>
            <w:vAlign w:val="center"/>
            <w:hideMark/>
          </w:tcPr>
          <w:p w14:paraId="119C6109"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Нематеријална имовина</w:t>
            </w:r>
          </w:p>
        </w:tc>
        <w:tc>
          <w:tcPr>
            <w:tcW w:w="1325" w:type="dxa"/>
            <w:shd w:val="clear" w:color="000000" w:fill="FFFFFF"/>
            <w:vAlign w:val="center"/>
            <w:hideMark/>
          </w:tcPr>
          <w:p w14:paraId="37435968"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3.723.109</w:t>
            </w:r>
          </w:p>
        </w:tc>
        <w:tc>
          <w:tcPr>
            <w:tcW w:w="1127" w:type="dxa"/>
            <w:shd w:val="clear" w:color="000000" w:fill="FFFFFF"/>
            <w:vAlign w:val="center"/>
            <w:hideMark/>
          </w:tcPr>
          <w:p w14:paraId="2DC9BB08"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3.723.109</w:t>
            </w:r>
          </w:p>
        </w:tc>
        <w:tc>
          <w:tcPr>
            <w:tcW w:w="1127" w:type="dxa"/>
            <w:shd w:val="clear" w:color="000000" w:fill="FFFFFF"/>
            <w:hideMark/>
          </w:tcPr>
          <w:p w14:paraId="2F18E9FD"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69D55EB5"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399F30C1" w14:textId="77777777" w:rsidR="00407840" w:rsidRPr="00895819" w:rsidRDefault="00407840" w:rsidP="00407840">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7.446.218</w:t>
            </w:r>
          </w:p>
        </w:tc>
      </w:tr>
      <w:tr w:rsidR="00407840" w:rsidRPr="00895819" w14:paraId="4ABC29F9" w14:textId="77777777" w:rsidTr="00A072EF">
        <w:trPr>
          <w:trHeight w:val="630"/>
        </w:trPr>
        <w:tc>
          <w:tcPr>
            <w:tcW w:w="1332" w:type="dxa"/>
            <w:shd w:val="clear" w:color="auto" w:fill="auto"/>
            <w:vAlign w:val="center"/>
            <w:hideMark/>
          </w:tcPr>
          <w:p w14:paraId="3D7C4C2E"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Министарство грађевинарства, саобраћаја и инфраструктуре</w:t>
            </w:r>
          </w:p>
        </w:tc>
        <w:tc>
          <w:tcPr>
            <w:tcW w:w="2354" w:type="dxa"/>
            <w:shd w:val="clear" w:color="auto" w:fill="auto"/>
            <w:vAlign w:val="center"/>
            <w:hideMark/>
          </w:tcPr>
          <w:p w14:paraId="64835800"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Регулисање и надзор у области саобраћаја</w:t>
            </w:r>
          </w:p>
        </w:tc>
        <w:tc>
          <w:tcPr>
            <w:tcW w:w="2376" w:type="dxa"/>
            <w:shd w:val="clear" w:color="auto" w:fill="auto"/>
            <w:vAlign w:val="center"/>
            <w:hideMark/>
          </w:tcPr>
          <w:p w14:paraId="1DD3E94B"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Железнички и интермодални саобраћај</w:t>
            </w:r>
          </w:p>
        </w:tc>
        <w:tc>
          <w:tcPr>
            <w:tcW w:w="1345" w:type="dxa"/>
            <w:shd w:val="clear" w:color="auto" w:fill="auto"/>
            <w:vAlign w:val="center"/>
            <w:hideMark/>
          </w:tcPr>
          <w:p w14:paraId="65A9AE4C"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Субвенције приватним предузећима</w:t>
            </w:r>
          </w:p>
        </w:tc>
        <w:tc>
          <w:tcPr>
            <w:tcW w:w="1325" w:type="dxa"/>
            <w:shd w:val="clear" w:color="000000" w:fill="FFFFFF"/>
            <w:vAlign w:val="center"/>
            <w:hideMark/>
          </w:tcPr>
          <w:p w14:paraId="39908176"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851.970</w:t>
            </w:r>
          </w:p>
        </w:tc>
        <w:tc>
          <w:tcPr>
            <w:tcW w:w="1127" w:type="dxa"/>
            <w:shd w:val="clear" w:color="000000" w:fill="FFFFFF"/>
            <w:hideMark/>
          </w:tcPr>
          <w:p w14:paraId="77C35C43"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1CB772B9"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44B8EAC3"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05132697" w14:textId="77777777" w:rsidR="00407840" w:rsidRPr="00895819" w:rsidRDefault="00407840" w:rsidP="00407840">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851.970</w:t>
            </w:r>
          </w:p>
        </w:tc>
      </w:tr>
      <w:tr w:rsidR="00407840" w:rsidRPr="00895819" w14:paraId="4DE43F6B" w14:textId="77777777" w:rsidTr="00A072EF">
        <w:trPr>
          <w:trHeight w:val="630"/>
        </w:trPr>
        <w:tc>
          <w:tcPr>
            <w:tcW w:w="1332" w:type="dxa"/>
            <w:shd w:val="clear" w:color="auto" w:fill="auto"/>
            <w:vAlign w:val="center"/>
            <w:hideMark/>
          </w:tcPr>
          <w:p w14:paraId="2FA31B5C"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Министарство грађевинарства, саобраћаја и инфраструктуре</w:t>
            </w:r>
          </w:p>
        </w:tc>
        <w:tc>
          <w:tcPr>
            <w:tcW w:w="2354" w:type="dxa"/>
            <w:shd w:val="clear" w:color="auto" w:fill="auto"/>
            <w:vAlign w:val="center"/>
            <w:hideMark/>
          </w:tcPr>
          <w:p w14:paraId="1F5D7376"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Регулисање и надзор у области саобраћаја</w:t>
            </w:r>
          </w:p>
        </w:tc>
        <w:tc>
          <w:tcPr>
            <w:tcW w:w="2376" w:type="dxa"/>
            <w:shd w:val="clear" w:color="auto" w:fill="auto"/>
            <w:vAlign w:val="center"/>
            <w:hideMark/>
          </w:tcPr>
          <w:p w14:paraId="5F2343F1"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Железнички и интермодални саобраћај</w:t>
            </w:r>
          </w:p>
        </w:tc>
        <w:tc>
          <w:tcPr>
            <w:tcW w:w="1345" w:type="dxa"/>
            <w:shd w:val="clear" w:color="auto" w:fill="auto"/>
            <w:vAlign w:val="center"/>
            <w:hideMark/>
          </w:tcPr>
          <w:p w14:paraId="66F258BA"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Машине и опрема</w:t>
            </w:r>
          </w:p>
        </w:tc>
        <w:tc>
          <w:tcPr>
            <w:tcW w:w="1325" w:type="dxa"/>
            <w:shd w:val="clear" w:color="000000" w:fill="FFFFFF"/>
            <w:vAlign w:val="center"/>
            <w:hideMark/>
          </w:tcPr>
          <w:p w14:paraId="7A42D226"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425.985</w:t>
            </w:r>
          </w:p>
        </w:tc>
        <w:tc>
          <w:tcPr>
            <w:tcW w:w="1127" w:type="dxa"/>
            <w:shd w:val="clear" w:color="000000" w:fill="FFFFFF"/>
            <w:hideMark/>
          </w:tcPr>
          <w:p w14:paraId="7085024C"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39B61F9C"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1AE78335"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3EA1526F" w14:textId="77777777" w:rsidR="00407840" w:rsidRPr="00895819" w:rsidRDefault="00407840" w:rsidP="00407840">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425.985</w:t>
            </w:r>
          </w:p>
        </w:tc>
      </w:tr>
      <w:tr w:rsidR="00407840" w:rsidRPr="00895819" w14:paraId="5AEA25F8" w14:textId="77777777" w:rsidTr="00A072EF">
        <w:trPr>
          <w:trHeight w:val="630"/>
        </w:trPr>
        <w:tc>
          <w:tcPr>
            <w:tcW w:w="1332" w:type="dxa"/>
            <w:shd w:val="clear" w:color="auto" w:fill="auto"/>
            <w:vAlign w:val="center"/>
            <w:hideMark/>
          </w:tcPr>
          <w:p w14:paraId="4861D692"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Министарство грађевинарства, саобраћаја и инфраструктуре</w:t>
            </w:r>
          </w:p>
        </w:tc>
        <w:tc>
          <w:tcPr>
            <w:tcW w:w="2354" w:type="dxa"/>
            <w:shd w:val="clear" w:color="auto" w:fill="auto"/>
            <w:vAlign w:val="center"/>
            <w:hideMark/>
          </w:tcPr>
          <w:p w14:paraId="6C716BB0"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Регулисање и надзор у области саобраћаја</w:t>
            </w:r>
          </w:p>
        </w:tc>
        <w:tc>
          <w:tcPr>
            <w:tcW w:w="2376" w:type="dxa"/>
            <w:shd w:val="clear" w:color="auto" w:fill="auto"/>
            <w:vAlign w:val="center"/>
            <w:hideMark/>
          </w:tcPr>
          <w:p w14:paraId="563D382C"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Одржавање пловних путева</w:t>
            </w:r>
          </w:p>
        </w:tc>
        <w:tc>
          <w:tcPr>
            <w:tcW w:w="1345" w:type="dxa"/>
            <w:shd w:val="clear" w:color="auto" w:fill="auto"/>
            <w:vAlign w:val="center"/>
            <w:hideMark/>
          </w:tcPr>
          <w:p w14:paraId="05A0C5EE"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Зграде и грађевински објекти</w:t>
            </w:r>
          </w:p>
        </w:tc>
        <w:tc>
          <w:tcPr>
            <w:tcW w:w="1325" w:type="dxa"/>
            <w:shd w:val="clear" w:color="000000" w:fill="FFFFFF"/>
            <w:vAlign w:val="center"/>
            <w:hideMark/>
          </w:tcPr>
          <w:p w14:paraId="03D5FC0E"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339.093</w:t>
            </w:r>
          </w:p>
        </w:tc>
        <w:tc>
          <w:tcPr>
            <w:tcW w:w="1127" w:type="dxa"/>
            <w:shd w:val="clear" w:color="000000" w:fill="FFFFFF"/>
            <w:hideMark/>
          </w:tcPr>
          <w:p w14:paraId="4333483A"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2166BA2E"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7D0139C5"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33122A36" w14:textId="77777777" w:rsidR="00407840" w:rsidRPr="00895819" w:rsidRDefault="00407840" w:rsidP="00407840">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339.093</w:t>
            </w:r>
          </w:p>
        </w:tc>
      </w:tr>
      <w:tr w:rsidR="00407840" w:rsidRPr="00895819" w14:paraId="15E7DFB9" w14:textId="77777777" w:rsidTr="00A072EF">
        <w:trPr>
          <w:trHeight w:val="630"/>
        </w:trPr>
        <w:tc>
          <w:tcPr>
            <w:tcW w:w="1332" w:type="dxa"/>
            <w:shd w:val="clear" w:color="auto" w:fill="auto"/>
            <w:vAlign w:val="center"/>
            <w:hideMark/>
          </w:tcPr>
          <w:p w14:paraId="63BF7874"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Министарство грађевинарства, саобраћаја и инфраструктуре</w:t>
            </w:r>
          </w:p>
        </w:tc>
        <w:tc>
          <w:tcPr>
            <w:tcW w:w="2354" w:type="dxa"/>
            <w:shd w:val="clear" w:color="auto" w:fill="auto"/>
            <w:vAlign w:val="center"/>
            <w:hideMark/>
          </w:tcPr>
          <w:p w14:paraId="437CE06B"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Регулисање и надзор у области саобраћаја</w:t>
            </w:r>
          </w:p>
        </w:tc>
        <w:tc>
          <w:tcPr>
            <w:tcW w:w="2376" w:type="dxa"/>
            <w:shd w:val="clear" w:color="auto" w:fill="auto"/>
            <w:vAlign w:val="center"/>
            <w:hideMark/>
          </w:tcPr>
          <w:p w14:paraId="28BA4064"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Одржавање пловних путева</w:t>
            </w:r>
          </w:p>
        </w:tc>
        <w:tc>
          <w:tcPr>
            <w:tcW w:w="1345" w:type="dxa"/>
            <w:shd w:val="clear" w:color="auto" w:fill="auto"/>
            <w:vAlign w:val="center"/>
            <w:hideMark/>
          </w:tcPr>
          <w:p w14:paraId="0C44F5CD"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Машине и опрема</w:t>
            </w:r>
          </w:p>
        </w:tc>
        <w:tc>
          <w:tcPr>
            <w:tcW w:w="1325" w:type="dxa"/>
            <w:shd w:val="clear" w:color="000000" w:fill="FFFFFF"/>
            <w:vAlign w:val="center"/>
            <w:hideMark/>
          </w:tcPr>
          <w:p w14:paraId="4C967929"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62.628</w:t>
            </w:r>
          </w:p>
        </w:tc>
        <w:tc>
          <w:tcPr>
            <w:tcW w:w="1127" w:type="dxa"/>
            <w:shd w:val="clear" w:color="000000" w:fill="FFFFFF"/>
            <w:hideMark/>
          </w:tcPr>
          <w:p w14:paraId="43B302DF"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4581EAD8"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241B4566"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4542273B" w14:textId="77777777" w:rsidR="00407840" w:rsidRPr="00895819" w:rsidRDefault="00407840" w:rsidP="00407840">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62.628</w:t>
            </w:r>
          </w:p>
        </w:tc>
      </w:tr>
      <w:tr w:rsidR="00407840" w:rsidRPr="00895819" w14:paraId="18ACC0C1" w14:textId="77777777" w:rsidTr="00A072EF">
        <w:trPr>
          <w:trHeight w:val="630"/>
        </w:trPr>
        <w:tc>
          <w:tcPr>
            <w:tcW w:w="1332" w:type="dxa"/>
            <w:shd w:val="clear" w:color="auto" w:fill="auto"/>
            <w:vAlign w:val="center"/>
            <w:hideMark/>
          </w:tcPr>
          <w:p w14:paraId="7B7E7526"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 xml:space="preserve">Министарство грађевинарства, </w:t>
            </w:r>
            <w:r w:rsidRPr="00895819">
              <w:rPr>
                <w:rFonts w:ascii="Calibri" w:hAnsi="Calibri" w:cs="Calibri"/>
                <w:color w:val="000000"/>
                <w:sz w:val="16"/>
                <w:szCs w:val="16"/>
                <w:lang w:val="sr-Cyrl-CS"/>
              </w:rPr>
              <w:lastRenderedPageBreak/>
              <w:t>саобраћаја и инфраструктуре</w:t>
            </w:r>
          </w:p>
        </w:tc>
        <w:tc>
          <w:tcPr>
            <w:tcW w:w="2354" w:type="dxa"/>
            <w:shd w:val="clear" w:color="auto" w:fill="auto"/>
            <w:vAlign w:val="center"/>
            <w:hideMark/>
          </w:tcPr>
          <w:p w14:paraId="3D6134CE"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lastRenderedPageBreak/>
              <w:t>Реализација инфраструктурних пројеката од важности за Републику Србију</w:t>
            </w:r>
          </w:p>
        </w:tc>
        <w:tc>
          <w:tcPr>
            <w:tcW w:w="2376" w:type="dxa"/>
            <w:shd w:val="clear" w:color="auto" w:fill="auto"/>
            <w:vAlign w:val="center"/>
            <w:hideMark/>
          </w:tcPr>
          <w:p w14:paraId="5533A25E"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 xml:space="preserve">Развој и инсталација система за навигационо праћење и </w:t>
            </w:r>
            <w:r w:rsidRPr="00895819">
              <w:rPr>
                <w:rFonts w:ascii="Calibri" w:hAnsi="Calibri" w:cs="Calibri"/>
                <w:color w:val="000000"/>
                <w:sz w:val="16"/>
                <w:szCs w:val="16"/>
                <w:lang w:val="sr-Cyrl-CS"/>
              </w:rPr>
              <w:lastRenderedPageBreak/>
              <w:t>електронско обележавање пловног пута на Сави</w:t>
            </w:r>
          </w:p>
        </w:tc>
        <w:tc>
          <w:tcPr>
            <w:tcW w:w="1345" w:type="dxa"/>
            <w:shd w:val="clear" w:color="auto" w:fill="auto"/>
            <w:vAlign w:val="center"/>
            <w:hideMark/>
          </w:tcPr>
          <w:p w14:paraId="38E8E0B1"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lastRenderedPageBreak/>
              <w:t>Зграде и грађевински објекти</w:t>
            </w:r>
          </w:p>
        </w:tc>
        <w:tc>
          <w:tcPr>
            <w:tcW w:w="1325" w:type="dxa"/>
            <w:shd w:val="clear" w:color="000000" w:fill="FFFFFF"/>
            <w:vAlign w:val="center"/>
            <w:hideMark/>
          </w:tcPr>
          <w:p w14:paraId="5900B965"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281.491</w:t>
            </w:r>
          </w:p>
        </w:tc>
        <w:tc>
          <w:tcPr>
            <w:tcW w:w="1127" w:type="dxa"/>
            <w:shd w:val="clear" w:color="000000" w:fill="FFFFFF"/>
            <w:hideMark/>
          </w:tcPr>
          <w:p w14:paraId="0BD54265"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0F60C2FC"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0E24EA0F"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3933F0E1" w14:textId="77777777" w:rsidR="00407840" w:rsidRPr="00895819" w:rsidRDefault="00407840" w:rsidP="00407840">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281.491</w:t>
            </w:r>
          </w:p>
        </w:tc>
      </w:tr>
      <w:tr w:rsidR="00407840" w:rsidRPr="00895819" w14:paraId="03E9597A" w14:textId="77777777" w:rsidTr="00A072EF">
        <w:trPr>
          <w:trHeight w:val="630"/>
        </w:trPr>
        <w:tc>
          <w:tcPr>
            <w:tcW w:w="1332" w:type="dxa"/>
            <w:shd w:val="clear" w:color="auto" w:fill="auto"/>
            <w:vAlign w:val="center"/>
            <w:hideMark/>
          </w:tcPr>
          <w:p w14:paraId="366B7DDC"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Министарство грађевинарства, саобраћаја и инфраструктуре</w:t>
            </w:r>
          </w:p>
        </w:tc>
        <w:tc>
          <w:tcPr>
            <w:tcW w:w="2354" w:type="dxa"/>
            <w:shd w:val="clear" w:color="auto" w:fill="auto"/>
            <w:vAlign w:val="center"/>
            <w:hideMark/>
          </w:tcPr>
          <w:p w14:paraId="54C84147"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Реализација инфраструктурних пројеката од важности за Републику Србију</w:t>
            </w:r>
          </w:p>
        </w:tc>
        <w:tc>
          <w:tcPr>
            <w:tcW w:w="2376" w:type="dxa"/>
            <w:shd w:val="clear" w:color="auto" w:fill="auto"/>
            <w:vAlign w:val="center"/>
            <w:hideMark/>
          </w:tcPr>
          <w:p w14:paraId="217D3143"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Развој и инсталација система за навигационо праћење и електронско обележавање пловног пута на Сави</w:t>
            </w:r>
          </w:p>
        </w:tc>
        <w:tc>
          <w:tcPr>
            <w:tcW w:w="1345" w:type="dxa"/>
            <w:shd w:val="clear" w:color="auto" w:fill="auto"/>
            <w:vAlign w:val="center"/>
            <w:hideMark/>
          </w:tcPr>
          <w:p w14:paraId="5AD7A377"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Машине и опрема</w:t>
            </w:r>
          </w:p>
        </w:tc>
        <w:tc>
          <w:tcPr>
            <w:tcW w:w="1325" w:type="dxa"/>
            <w:shd w:val="clear" w:color="000000" w:fill="FFFFFF"/>
            <w:vAlign w:val="center"/>
            <w:hideMark/>
          </w:tcPr>
          <w:p w14:paraId="1DA6FB0D"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723.834</w:t>
            </w:r>
          </w:p>
        </w:tc>
        <w:tc>
          <w:tcPr>
            <w:tcW w:w="1127" w:type="dxa"/>
            <w:shd w:val="clear" w:color="000000" w:fill="FFFFFF"/>
            <w:hideMark/>
          </w:tcPr>
          <w:p w14:paraId="29F9EE00"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742C4C64"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627B82B9"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3752F0B6" w14:textId="77777777" w:rsidR="00407840" w:rsidRPr="00895819" w:rsidRDefault="00407840" w:rsidP="00407840">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723.834</w:t>
            </w:r>
          </w:p>
        </w:tc>
      </w:tr>
      <w:tr w:rsidR="00407840" w:rsidRPr="00895819" w14:paraId="03CCA47A" w14:textId="77777777" w:rsidTr="00A072EF">
        <w:trPr>
          <w:trHeight w:val="630"/>
        </w:trPr>
        <w:tc>
          <w:tcPr>
            <w:tcW w:w="1332" w:type="dxa"/>
            <w:shd w:val="clear" w:color="auto" w:fill="auto"/>
            <w:vAlign w:val="center"/>
            <w:hideMark/>
          </w:tcPr>
          <w:p w14:paraId="2A1A4B41"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Министарство грађевинарства, саобраћаја и инфраструктуре</w:t>
            </w:r>
          </w:p>
        </w:tc>
        <w:tc>
          <w:tcPr>
            <w:tcW w:w="2354" w:type="dxa"/>
            <w:shd w:val="clear" w:color="auto" w:fill="auto"/>
            <w:vAlign w:val="center"/>
            <w:hideMark/>
          </w:tcPr>
          <w:p w14:paraId="4DC5BD5A"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Реализација инфраструктурних пројеката од важности за Републику Србију</w:t>
            </w:r>
          </w:p>
        </w:tc>
        <w:tc>
          <w:tcPr>
            <w:tcW w:w="2376" w:type="dxa"/>
            <w:shd w:val="clear" w:color="auto" w:fill="auto"/>
            <w:vAlign w:val="center"/>
            <w:hideMark/>
          </w:tcPr>
          <w:p w14:paraId="35FDFD23"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Програм водоснабдевања и пречишћавања отпадних вода у општинама средње величине у Србији V и зелени градови</w:t>
            </w:r>
          </w:p>
        </w:tc>
        <w:tc>
          <w:tcPr>
            <w:tcW w:w="1345" w:type="dxa"/>
            <w:shd w:val="clear" w:color="auto" w:fill="auto"/>
            <w:vAlign w:val="center"/>
            <w:hideMark/>
          </w:tcPr>
          <w:p w14:paraId="6BE50094"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Набавка домаће финансијске имовине</w:t>
            </w:r>
          </w:p>
        </w:tc>
        <w:tc>
          <w:tcPr>
            <w:tcW w:w="1325" w:type="dxa"/>
            <w:shd w:val="clear" w:color="000000" w:fill="FFFFFF"/>
            <w:vAlign w:val="center"/>
            <w:hideMark/>
          </w:tcPr>
          <w:p w14:paraId="4B5417F0"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4.089.456</w:t>
            </w:r>
          </w:p>
        </w:tc>
        <w:tc>
          <w:tcPr>
            <w:tcW w:w="1127" w:type="dxa"/>
            <w:shd w:val="clear" w:color="000000" w:fill="FFFFFF"/>
            <w:hideMark/>
          </w:tcPr>
          <w:p w14:paraId="74273ADC"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200A009C"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3AC62FB9"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602197E2" w14:textId="77777777" w:rsidR="00407840" w:rsidRPr="00895819" w:rsidRDefault="00407840" w:rsidP="00407840">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4.089.456</w:t>
            </w:r>
          </w:p>
        </w:tc>
      </w:tr>
      <w:tr w:rsidR="00407840" w:rsidRPr="00895819" w14:paraId="6FA9A6BA" w14:textId="77777777" w:rsidTr="00A072EF">
        <w:trPr>
          <w:trHeight w:val="630"/>
        </w:trPr>
        <w:tc>
          <w:tcPr>
            <w:tcW w:w="1332" w:type="dxa"/>
            <w:shd w:val="clear" w:color="auto" w:fill="auto"/>
            <w:vAlign w:val="center"/>
            <w:hideMark/>
          </w:tcPr>
          <w:p w14:paraId="5CCE9AF5"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Министарство грађевинарства, саобраћаја и инфраструктуре</w:t>
            </w:r>
          </w:p>
        </w:tc>
        <w:tc>
          <w:tcPr>
            <w:tcW w:w="2354" w:type="dxa"/>
            <w:shd w:val="clear" w:color="auto" w:fill="auto"/>
            <w:vAlign w:val="center"/>
            <w:hideMark/>
          </w:tcPr>
          <w:p w14:paraId="7D1BA382"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Реализација инфраструктурних пројеката од важности за Републику Србију</w:t>
            </w:r>
          </w:p>
        </w:tc>
        <w:tc>
          <w:tcPr>
            <w:tcW w:w="2376" w:type="dxa"/>
            <w:shd w:val="clear" w:color="auto" w:fill="auto"/>
            <w:vAlign w:val="center"/>
            <w:hideMark/>
          </w:tcPr>
          <w:p w14:paraId="285CB1C2"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Имплементација система хидро-метеоролошких станица и система контроле дозвола</w:t>
            </w:r>
          </w:p>
        </w:tc>
        <w:tc>
          <w:tcPr>
            <w:tcW w:w="1345" w:type="dxa"/>
            <w:shd w:val="clear" w:color="auto" w:fill="auto"/>
            <w:vAlign w:val="center"/>
            <w:hideMark/>
          </w:tcPr>
          <w:p w14:paraId="071C18F3"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Зграде и грађевински објекти</w:t>
            </w:r>
          </w:p>
        </w:tc>
        <w:tc>
          <w:tcPr>
            <w:tcW w:w="1325" w:type="dxa"/>
            <w:shd w:val="clear" w:color="000000" w:fill="FFFFFF"/>
            <w:vAlign w:val="center"/>
            <w:hideMark/>
          </w:tcPr>
          <w:p w14:paraId="5BF5E1F7"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301.597</w:t>
            </w:r>
          </w:p>
        </w:tc>
        <w:tc>
          <w:tcPr>
            <w:tcW w:w="1127" w:type="dxa"/>
            <w:shd w:val="clear" w:color="000000" w:fill="FFFFFF"/>
            <w:vAlign w:val="center"/>
            <w:hideMark/>
          </w:tcPr>
          <w:p w14:paraId="02EAA9B6"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676.809</w:t>
            </w:r>
          </w:p>
        </w:tc>
        <w:tc>
          <w:tcPr>
            <w:tcW w:w="1127" w:type="dxa"/>
            <w:shd w:val="clear" w:color="000000" w:fill="FFFFFF"/>
            <w:vAlign w:val="center"/>
            <w:hideMark/>
          </w:tcPr>
          <w:p w14:paraId="7F7D4A95"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447.342</w:t>
            </w:r>
          </w:p>
        </w:tc>
        <w:tc>
          <w:tcPr>
            <w:tcW w:w="1127" w:type="dxa"/>
            <w:shd w:val="clear" w:color="000000" w:fill="FFFFFF"/>
            <w:hideMark/>
          </w:tcPr>
          <w:p w14:paraId="04A3416D"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0611B06B" w14:textId="77777777" w:rsidR="00407840" w:rsidRPr="00895819" w:rsidRDefault="00407840" w:rsidP="00407840">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1</w:t>
            </w:r>
            <w:r w:rsidR="00827BAF" w:rsidRPr="00895819">
              <w:rPr>
                <w:rFonts w:ascii="Calibri" w:hAnsi="Calibri" w:cs="Calibri"/>
                <w:b/>
                <w:bCs/>
                <w:color w:val="000000"/>
                <w:sz w:val="16"/>
                <w:szCs w:val="16"/>
                <w:lang w:val="sr-Cyrl-CS"/>
              </w:rPr>
              <w:t>.</w:t>
            </w:r>
            <w:r w:rsidRPr="00895819">
              <w:rPr>
                <w:rFonts w:ascii="Calibri" w:hAnsi="Calibri" w:cs="Calibri"/>
                <w:b/>
                <w:bCs/>
                <w:color w:val="000000"/>
                <w:sz w:val="16"/>
                <w:szCs w:val="16"/>
                <w:lang w:val="sr-Cyrl-CS"/>
              </w:rPr>
              <w:t>425</w:t>
            </w:r>
            <w:r w:rsidR="00827BAF" w:rsidRPr="00895819">
              <w:rPr>
                <w:rFonts w:ascii="Calibri" w:hAnsi="Calibri" w:cs="Calibri"/>
                <w:b/>
                <w:bCs/>
                <w:color w:val="000000"/>
                <w:sz w:val="16"/>
                <w:szCs w:val="16"/>
                <w:lang w:val="sr-Cyrl-CS"/>
              </w:rPr>
              <w:t>.</w:t>
            </w:r>
            <w:r w:rsidRPr="00895819">
              <w:rPr>
                <w:rFonts w:ascii="Calibri" w:hAnsi="Calibri" w:cs="Calibri"/>
                <w:b/>
                <w:bCs/>
                <w:color w:val="000000"/>
                <w:sz w:val="16"/>
                <w:szCs w:val="16"/>
                <w:lang w:val="sr-Cyrl-CS"/>
              </w:rPr>
              <w:t>748</w:t>
            </w:r>
          </w:p>
        </w:tc>
      </w:tr>
      <w:tr w:rsidR="00407840" w:rsidRPr="00895819" w14:paraId="47FD48AD" w14:textId="77777777" w:rsidTr="00A072EF">
        <w:trPr>
          <w:trHeight w:val="630"/>
        </w:trPr>
        <w:tc>
          <w:tcPr>
            <w:tcW w:w="1332" w:type="dxa"/>
            <w:shd w:val="clear" w:color="auto" w:fill="auto"/>
            <w:vAlign w:val="center"/>
            <w:hideMark/>
          </w:tcPr>
          <w:p w14:paraId="5A6E0DB4"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Министарство грађевинарства, саобраћаја и инфраструктуре</w:t>
            </w:r>
          </w:p>
        </w:tc>
        <w:tc>
          <w:tcPr>
            <w:tcW w:w="2354" w:type="dxa"/>
            <w:shd w:val="clear" w:color="auto" w:fill="auto"/>
            <w:vAlign w:val="center"/>
            <w:hideMark/>
          </w:tcPr>
          <w:p w14:paraId="4B108E07"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Реализација инфраструктурних пројеката од важности за Републику Србију</w:t>
            </w:r>
          </w:p>
        </w:tc>
        <w:tc>
          <w:tcPr>
            <w:tcW w:w="2376" w:type="dxa"/>
            <w:shd w:val="clear" w:color="auto" w:fill="auto"/>
            <w:vAlign w:val="center"/>
            <w:hideMark/>
          </w:tcPr>
          <w:p w14:paraId="55258200"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Имплементација система хидро-метеоролошких станица и система контроле дозвола</w:t>
            </w:r>
          </w:p>
        </w:tc>
        <w:tc>
          <w:tcPr>
            <w:tcW w:w="1345" w:type="dxa"/>
            <w:shd w:val="clear" w:color="auto" w:fill="auto"/>
            <w:vAlign w:val="center"/>
            <w:hideMark/>
          </w:tcPr>
          <w:p w14:paraId="1AF92394"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Машине и опрема</w:t>
            </w:r>
          </w:p>
        </w:tc>
        <w:tc>
          <w:tcPr>
            <w:tcW w:w="1325" w:type="dxa"/>
            <w:shd w:val="clear" w:color="000000" w:fill="FFFFFF"/>
            <w:vAlign w:val="center"/>
            <w:hideMark/>
          </w:tcPr>
          <w:p w14:paraId="62D6959E"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451.024</w:t>
            </w:r>
          </w:p>
        </w:tc>
        <w:tc>
          <w:tcPr>
            <w:tcW w:w="1127" w:type="dxa"/>
            <w:shd w:val="clear" w:color="000000" w:fill="FFFFFF"/>
            <w:vAlign w:val="center"/>
            <w:hideMark/>
          </w:tcPr>
          <w:p w14:paraId="5D36B8B8"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1.012.136</w:t>
            </w:r>
          </w:p>
        </w:tc>
        <w:tc>
          <w:tcPr>
            <w:tcW w:w="1127" w:type="dxa"/>
            <w:shd w:val="clear" w:color="000000" w:fill="FFFFFF"/>
            <w:vAlign w:val="center"/>
            <w:hideMark/>
          </w:tcPr>
          <w:p w14:paraId="17596162"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668.978</w:t>
            </w:r>
          </w:p>
        </w:tc>
        <w:tc>
          <w:tcPr>
            <w:tcW w:w="1127" w:type="dxa"/>
            <w:shd w:val="clear" w:color="000000" w:fill="FFFFFF"/>
            <w:hideMark/>
          </w:tcPr>
          <w:p w14:paraId="5AF9ADB7"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378A1967" w14:textId="77777777" w:rsidR="00407840" w:rsidRPr="00895819" w:rsidRDefault="00407840" w:rsidP="00407840">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2</w:t>
            </w:r>
            <w:r w:rsidR="00827BAF" w:rsidRPr="00895819">
              <w:rPr>
                <w:rFonts w:ascii="Calibri" w:hAnsi="Calibri" w:cs="Calibri"/>
                <w:b/>
                <w:bCs/>
                <w:color w:val="000000"/>
                <w:sz w:val="16"/>
                <w:szCs w:val="16"/>
                <w:lang w:val="sr-Cyrl-CS"/>
              </w:rPr>
              <w:t>.</w:t>
            </w:r>
            <w:r w:rsidRPr="00895819">
              <w:rPr>
                <w:rFonts w:ascii="Calibri" w:hAnsi="Calibri" w:cs="Calibri"/>
                <w:b/>
                <w:bCs/>
                <w:color w:val="000000"/>
                <w:sz w:val="16"/>
                <w:szCs w:val="16"/>
                <w:lang w:val="sr-Cyrl-CS"/>
              </w:rPr>
              <w:t>132</w:t>
            </w:r>
            <w:r w:rsidR="00827BAF" w:rsidRPr="00895819">
              <w:rPr>
                <w:rFonts w:ascii="Calibri" w:hAnsi="Calibri" w:cs="Calibri"/>
                <w:b/>
                <w:bCs/>
                <w:color w:val="000000"/>
                <w:sz w:val="16"/>
                <w:szCs w:val="16"/>
                <w:lang w:val="sr-Cyrl-CS"/>
              </w:rPr>
              <w:t>.</w:t>
            </w:r>
            <w:r w:rsidRPr="00895819">
              <w:rPr>
                <w:rFonts w:ascii="Calibri" w:hAnsi="Calibri" w:cs="Calibri"/>
                <w:b/>
                <w:bCs/>
                <w:color w:val="000000"/>
                <w:sz w:val="16"/>
                <w:szCs w:val="16"/>
                <w:lang w:val="sr-Cyrl-CS"/>
              </w:rPr>
              <w:t>138</w:t>
            </w:r>
          </w:p>
        </w:tc>
      </w:tr>
      <w:tr w:rsidR="00407840" w:rsidRPr="00895819" w14:paraId="00017715" w14:textId="77777777" w:rsidTr="00A072EF">
        <w:trPr>
          <w:trHeight w:val="630"/>
        </w:trPr>
        <w:tc>
          <w:tcPr>
            <w:tcW w:w="1332" w:type="dxa"/>
            <w:shd w:val="clear" w:color="auto" w:fill="auto"/>
            <w:vAlign w:val="center"/>
            <w:hideMark/>
          </w:tcPr>
          <w:p w14:paraId="5ADA00E5"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Министарство грађевинарства, саобраћаја и инфраструктуре</w:t>
            </w:r>
          </w:p>
        </w:tc>
        <w:tc>
          <w:tcPr>
            <w:tcW w:w="2354" w:type="dxa"/>
            <w:shd w:val="clear" w:color="auto" w:fill="auto"/>
            <w:vAlign w:val="center"/>
            <w:hideMark/>
          </w:tcPr>
          <w:p w14:paraId="7861282E"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Реализација инфраструктурних пројеката од важности за Републику Србију</w:t>
            </w:r>
          </w:p>
        </w:tc>
        <w:tc>
          <w:tcPr>
            <w:tcW w:w="2376" w:type="dxa"/>
            <w:shd w:val="clear" w:color="auto" w:fill="auto"/>
            <w:vAlign w:val="center"/>
            <w:hideMark/>
          </w:tcPr>
          <w:p w14:paraId="424F687E"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Хидротехнички и багерски радови на критичним секторима на реци Сави</w:t>
            </w:r>
          </w:p>
        </w:tc>
        <w:tc>
          <w:tcPr>
            <w:tcW w:w="1345" w:type="dxa"/>
            <w:shd w:val="clear" w:color="auto" w:fill="auto"/>
            <w:vAlign w:val="center"/>
            <w:hideMark/>
          </w:tcPr>
          <w:p w14:paraId="7B68864E"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Зграде и грађевински објекти</w:t>
            </w:r>
          </w:p>
        </w:tc>
        <w:tc>
          <w:tcPr>
            <w:tcW w:w="1325" w:type="dxa"/>
            <w:shd w:val="clear" w:color="000000" w:fill="FFFFFF"/>
            <w:vAlign w:val="center"/>
            <w:hideMark/>
          </w:tcPr>
          <w:p w14:paraId="73F56B0C"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 xml:space="preserve">2.496.221 </w:t>
            </w:r>
          </w:p>
        </w:tc>
        <w:tc>
          <w:tcPr>
            <w:tcW w:w="1127" w:type="dxa"/>
            <w:shd w:val="clear" w:color="000000" w:fill="FFFFFF"/>
            <w:vAlign w:val="center"/>
            <w:hideMark/>
          </w:tcPr>
          <w:p w14:paraId="2918B05C"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3.704.621</w:t>
            </w:r>
          </w:p>
        </w:tc>
        <w:tc>
          <w:tcPr>
            <w:tcW w:w="1127" w:type="dxa"/>
            <w:shd w:val="clear" w:color="000000" w:fill="FFFFFF"/>
            <w:vAlign w:val="center"/>
            <w:hideMark/>
          </w:tcPr>
          <w:p w14:paraId="33327CC9"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1.479.838</w:t>
            </w:r>
          </w:p>
        </w:tc>
        <w:tc>
          <w:tcPr>
            <w:tcW w:w="1127" w:type="dxa"/>
            <w:shd w:val="clear" w:color="000000" w:fill="FFFFFF"/>
            <w:hideMark/>
          </w:tcPr>
          <w:p w14:paraId="32E9E9D0"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52BB8C48" w14:textId="77777777" w:rsidR="00407840" w:rsidRPr="00895819" w:rsidRDefault="00407840" w:rsidP="00407840">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7</w:t>
            </w:r>
            <w:r w:rsidR="00827BAF" w:rsidRPr="00895819">
              <w:rPr>
                <w:rFonts w:ascii="Calibri" w:hAnsi="Calibri" w:cs="Calibri"/>
                <w:b/>
                <w:bCs/>
                <w:color w:val="000000"/>
                <w:sz w:val="16"/>
                <w:szCs w:val="16"/>
                <w:lang w:val="sr-Cyrl-CS"/>
              </w:rPr>
              <w:t>.</w:t>
            </w:r>
            <w:r w:rsidRPr="00895819">
              <w:rPr>
                <w:rFonts w:ascii="Calibri" w:hAnsi="Calibri" w:cs="Calibri"/>
                <w:b/>
                <w:bCs/>
                <w:color w:val="000000"/>
                <w:sz w:val="16"/>
                <w:szCs w:val="16"/>
                <w:lang w:val="sr-Cyrl-CS"/>
              </w:rPr>
              <w:t>680</w:t>
            </w:r>
            <w:r w:rsidR="00827BAF" w:rsidRPr="00895819">
              <w:rPr>
                <w:rFonts w:ascii="Calibri" w:hAnsi="Calibri" w:cs="Calibri"/>
                <w:b/>
                <w:bCs/>
                <w:color w:val="000000"/>
                <w:sz w:val="16"/>
                <w:szCs w:val="16"/>
                <w:lang w:val="sr-Cyrl-CS"/>
              </w:rPr>
              <w:t>.</w:t>
            </w:r>
            <w:r w:rsidRPr="00895819">
              <w:rPr>
                <w:rFonts w:ascii="Calibri" w:hAnsi="Calibri" w:cs="Calibri"/>
                <w:b/>
                <w:bCs/>
                <w:color w:val="000000"/>
                <w:sz w:val="16"/>
                <w:szCs w:val="16"/>
                <w:lang w:val="sr-Cyrl-CS"/>
              </w:rPr>
              <w:t>680</w:t>
            </w:r>
          </w:p>
        </w:tc>
      </w:tr>
      <w:tr w:rsidR="00407840" w:rsidRPr="00895819" w14:paraId="6009711E" w14:textId="77777777" w:rsidTr="00A072EF">
        <w:trPr>
          <w:trHeight w:val="630"/>
        </w:trPr>
        <w:tc>
          <w:tcPr>
            <w:tcW w:w="1332" w:type="dxa"/>
            <w:shd w:val="clear" w:color="auto" w:fill="auto"/>
            <w:vAlign w:val="center"/>
            <w:hideMark/>
          </w:tcPr>
          <w:p w14:paraId="53421AB3"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Министарство грађевинарства, саобраћаја и инфраструктуре</w:t>
            </w:r>
          </w:p>
        </w:tc>
        <w:tc>
          <w:tcPr>
            <w:tcW w:w="2354" w:type="dxa"/>
            <w:shd w:val="clear" w:color="auto" w:fill="auto"/>
            <w:vAlign w:val="center"/>
            <w:hideMark/>
          </w:tcPr>
          <w:p w14:paraId="2A07161A"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Реализација инфраструктурних пројеката од важности за Републику Србију</w:t>
            </w:r>
          </w:p>
        </w:tc>
        <w:tc>
          <w:tcPr>
            <w:tcW w:w="2376" w:type="dxa"/>
            <w:shd w:val="clear" w:color="auto" w:fill="auto"/>
            <w:vAlign w:val="center"/>
            <w:hideMark/>
          </w:tcPr>
          <w:p w14:paraId="6CE7B950"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Проширење капацитета луке Сремска Митровица</w:t>
            </w:r>
          </w:p>
        </w:tc>
        <w:tc>
          <w:tcPr>
            <w:tcW w:w="1345" w:type="dxa"/>
            <w:shd w:val="clear" w:color="auto" w:fill="auto"/>
            <w:vAlign w:val="center"/>
            <w:hideMark/>
          </w:tcPr>
          <w:p w14:paraId="10BD120D"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Зграде и грађевински објекти</w:t>
            </w:r>
          </w:p>
        </w:tc>
        <w:tc>
          <w:tcPr>
            <w:tcW w:w="1325" w:type="dxa"/>
            <w:shd w:val="clear" w:color="000000" w:fill="FFFFFF"/>
            <w:vAlign w:val="center"/>
            <w:hideMark/>
          </w:tcPr>
          <w:p w14:paraId="406A240F"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 xml:space="preserve">10.726.796 </w:t>
            </w:r>
          </w:p>
        </w:tc>
        <w:tc>
          <w:tcPr>
            <w:tcW w:w="1127" w:type="dxa"/>
            <w:shd w:val="clear" w:color="000000" w:fill="FFFFFF"/>
            <w:hideMark/>
          </w:tcPr>
          <w:p w14:paraId="42F63B26"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7B4809A0"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15A643C0"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2681E3B5" w14:textId="77777777" w:rsidR="00407840" w:rsidRPr="00895819" w:rsidRDefault="00407840" w:rsidP="00407840">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10</w:t>
            </w:r>
            <w:r w:rsidR="00827BAF" w:rsidRPr="00895819">
              <w:rPr>
                <w:rFonts w:ascii="Calibri" w:hAnsi="Calibri" w:cs="Calibri"/>
                <w:b/>
                <w:bCs/>
                <w:color w:val="000000"/>
                <w:sz w:val="16"/>
                <w:szCs w:val="16"/>
                <w:lang w:val="sr-Cyrl-CS"/>
              </w:rPr>
              <w:t>.</w:t>
            </w:r>
            <w:r w:rsidRPr="00895819">
              <w:rPr>
                <w:rFonts w:ascii="Calibri" w:hAnsi="Calibri" w:cs="Calibri"/>
                <w:b/>
                <w:bCs/>
                <w:color w:val="000000"/>
                <w:sz w:val="16"/>
                <w:szCs w:val="16"/>
                <w:lang w:val="sr-Cyrl-CS"/>
              </w:rPr>
              <w:t>726</w:t>
            </w:r>
            <w:r w:rsidR="00827BAF" w:rsidRPr="00895819">
              <w:rPr>
                <w:rFonts w:ascii="Calibri" w:hAnsi="Calibri" w:cs="Calibri"/>
                <w:b/>
                <w:bCs/>
                <w:color w:val="000000"/>
                <w:sz w:val="16"/>
                <w:szCs w:val="16"/>
                <w:lang w:val="sr-Cyrl-CS"/>
              </w:rPr>
              <w:t>.</w:t>
            </w:r>
            <w:r w:rsidRPr="00895819">
              <w:rPr>
                <w:rFonts w:ascii="Calibri" w:hAnsi="Calibri" w:cs="Calibri"/>
                <w:b/>
                <w:bCs/>
                <w:color w:val="000000"/>
                <w:sz w:val="16"/>
                <w:szCs w:val="16"/>
                <w:lang w:val="sr-Cyrl-CS"/>
              </w:rPr>
              <w:t>796</w:t>
            </w:r>
          </w:p>
        </w:tc>
      </w:tr>
      <w:tr w:rsidR="00407840" w:rsidRPr="00895819" w14:paraId="4B0A303A" w14:textId="77777777" w:rsidTr="00A072EF">
        <w:trPr>
          <w:trHeight w:val="630"/>
        </w:trPr>
        <w:tc>
          <w:tcPr>
            <w:tcW w:w="1332" w:type="dxa"/>
            <w:shd w:val="clear" w:color="auto" w:fill="auto"/>
            <w:vAlign w:val="center"/>
            <w:hideMark/>
          </w:tcPr>
          <w:p w14:paraId="654567FC"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Министарство грађевинарства, саобраћаја и инфраструктуре</w:t>
            </w:r>
          </w:p>
        </w:tc>
        <w:tc>
          <w:tcPr>
            <w:tcW w:w="2354" w:type="dxa"/>
            <w:shd w:val="clear" w:color="auto" w:fill="auto"/>
            <w:vAlign w:val="center"/>
            <w:hideMark/>
          </w:tcPr>
          <w:p w14:paraId="32B31174"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Реализација инфраструктурних пројеката од важности за Републику Србију</w:t>
            </w:r>
          </w:p>
        </w:tc>
        <w:tc>
          <w:tcPr>
            <w:tcW w:w="2376" w:type="dxa"/>
            <w:shd w:val="clear" w:color="auto" w:fill="auto"/>
            <w:vAlign w:val="center"/>
            <w:hideMark/>
          </w:tcPr>
          <w:p w14:paraId="1AB15FFE"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Проширење капацитета луке Богојево</w:t>
            </w:r>
          </w:p>
        </w:tc>
        <w:tc>
          <w:tcPr>
            <w:tcW w:w="1345" w:type="dxa"/>
            <w:shd w:val="clear" w:color="auto" w:fill="auto"/>
            <w:vAlign w:val="center"/>
            <w:hideMark/>
          </w:tcPr>
          <w:p w14:paraId="21BC4660"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Зграде и грађевински објекти</w:t>
            </w:r>
          </w:p>
        </w:tc>
        <w:tc>
          <w:tcPr>
            <w:tcW w:w="1325" w:type="dxa"/>
            <w:shd w:val="clear" w:color="000000" w:fill="FFFFFF"/>
            <w:vAlign w:val="center"/>
            <w:hideMark/>
          </w:tcPr>
          <w:p w14:paraId="4EE4A611"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 xml:space="preserve">16.587.856 </w:t>
            </w:r>
          </w:p>
        </w:tc>
        <w:tc>
          <w:tcPr>
            <w:tcW w:w="1127" w:type="dxa"/>
            <w:shd w:val="clear" w:color="000000" w:fill="FFFFFF"/>
            <w:hideMark/>
          </w:tcPr>
          <w:p w14:paraId="34C3C82C"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55E30C56"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025D1C9B" w14:textId="77777777" w:rsidR="00407840" w:rsidRPr="00895819" w:rsidRDefault="00407840" w:rsidP="00407840">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491F2639" w14:textId="77777777" w:rsidR="00407840" w:rsidRPr="00895819" w:rsidRDefault="00407840" w:rsidP="00407840">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16</w:t>
            </w:r>
            <w:r w:rsidR="00827BAF" w:rsidRPr="00895819">
              <w:rPr>
                <w:rFonts w:ascii="Calibri" w:hAnsi="Calibri" w:cs="Calibri"/>
                <w:b/>
                <w:bCs/>
                <w:color w:val="000000"/>
                <w:sz w:val="16"/>
                <w:szCs w:val="16"/>
                <w:lang w:val="sr-Cyrl-CS"/>
              </w:rPr>
              <w:t>.</w:t>
            </w:r>
            <w:r w:rsidRPr="00895819">
              <w:rPr>
                <w:rFonts w:ascii="Calibri" w:hAnsi="Calibri" w:cs="Calibri"/>
                <w:b/>
                <w:bCs/>
                <w:color w:val="000000"/>
                <w:sz w:val="16"/>
                <w:szCs w:val="16"/>
                <w:lang w:val="sr-Cyrl-CS"/>
              </w:rPr>
              <w:t>587</w:t>
            </w:r>
            <w:r w:rsidR="00827BAF" w:rsidRPr="00895819">
              <w:rPr>
                <w:rFonts w:ascii="Calibri" w:hAnsi="Calibri" w:cs="Calibri"/>
                <w:b/>
                <w:bCs/>
                <w:color w:val="000000"/>
                <w:sz w:val="16"/>
                <w:szCs w:val="16"/>
                <w:lang w:val="sr-Cyrl-CS"/>
              </w:rPr>
              <w:t>.</w:t>
            </w:r>
            <w:r w:rsidRPr="00895819">
              <w:rPr>
                <w:rFonts w:ascii="Calibri" w:hAnsi="Calibri" w:cs="Calibri"/>
                <w:b/>
                <w:bCs/>
                <w:color w:val="000000"/>
                <w:sz w:val="16"/>
                <w:szCs w:val="16"/>
                <w:lang w:val="sr-Cyrl-CS"/>
              </w:rPr>
              <w:t>856</w:t>
            </w:r>
          </w:p>
        </w:tc>
      </w:tr>
      <w:tr w:rsidR="00827BAF" w:rsidRPr="00895819" w14:paraId="2A4B5905" w14:textId="77777777" w:rsidTr="00A072EF">
        <w:trPr>
          <w:trHeight w:val="630"/>
        </w:trPr>
        <w:tc>
          <w:tcPr>
            <w:tcW w:w="1332" w:type="dxa"/>
            <w:shd w:val="clear" w:color="auto" w:fill="auto"/>
            <w:vAlign w:val="center"/>
            <w:hideMark/>
          </w:tcPr>
          <w:p w14:paraId="60E8F18B" w14:textId="77777777" w:rsidR="00827BAF" w:rsidRPr="00895819" w:rsidRDefault="00827BAF" w:rsidP="00827BAF">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Министарство грађевинарства, саобраћаја и инфраструктуре</w:t>
            </w:r>
          </w:p>
        </w:tc>
        <w:tc>
          <w:tcPr>
            <w:tcW w:w="2354" w:type="dxa"/>
            <w:shd w:val="clear" w:color="auto" w:fill="auto"/>
            <w:vAlign w:val="center"/>
            <w:hideMark/>
          </w:tcPr>
          <w:p w14:paraId="63873E7B" w14:textId="77777777" w:rsidR="00827BAF" w:rsidRPr="00895819" w:rsidRDefault="00827BAF" w:rsidP="00827BAF">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Реализација инфраструктурних пројеката од важности за Републику Србију</w:t>
            </w:r>
          </w:p>
        </w:tc>
        <w:tc>
          <w:tcPr>
            <w:tcW w:w="2376" w:type="dxa"/>
            <w:shd w:val="clear" w:color="auto" w:fill="auto"/>
            <w:vAlign w:val="center"/>
            <w:hideMark/>
          </w:tcPr>
          <w:p w14:paraId="5674DE7B" w14:textId="77777777" w:rsidR="00827BAF" w:rsidRPr="00895819" w:rsidRDefault="00827BAF" w:rsidP="00827BAF">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Проширење капацитета луке Прахово</w:t>
            </w:r>
          </w:p>
        </w:tc>
        <w:tc>
          <w:tcPr>
            <w:tcW w:w="1345" w:type="dxa"/>
            <w:shd w:val="clear" w:color="auto" w:fill="auto"/>
            <w:vAlign w:val="center"/>
            <w:hideMark/>
          </w:tcPr>
          <w:p w14:paraId="5C8800CE" w14:textId="77777777" w:rsidR="00827BAF" w:rsidRPr="00895819" w:rsidRDefault="00827BAF" w:rsidP="00827BAF">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Зграде и грађевински објекти</w:t>
            </w:r>
          </w:p>
        </w:tc>
        <w:tc>
          <w:tcPr>
            <w:tcW w:w="1325" w:type="dxa"/>
            <w:shd w:val="clear" w:color="000000" w:fill="FFFFFF"/>
            <w:vAlign w:val="center"/>
            <w:hideMark/>
          </w:tcPr>
          <w:p w14:paraId="6893BCCB" w14:textId="77777777" w:rsidR="00827BAF" w:rsidRPr="00895819" w:rsidRDefault="00827BAF" w:rsidP="00827BAF">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12.817.889</w:t>
            </w:r>
          </w:p>
        </w:tc>
        <w:tc>
          <w:tcPr>
            <w:tcW w:w="1127" w:type="dxa"/>
            <w:shd w:val="clear" w:color="000000" w:fill="FFFFFF"/>
            <w:vAlign w:val="center"/>
            <w:hideMark/>
          </w:tcPr>
          <w:p w14:paraId="06BEAF69" w14:textId="77777777" w:rsidR="00827BAF" w:rsidRPr="00895819" w:rsidRDefault="00827BAF" w:rsidP="00827BAF">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12.817.889</w:t>
            </w:r>
          </w:p>
        </w:tc>
        <w:tc>
          <w:tcPr>
            <w:tcW w:w="1127" w:type="dxa"/>
            <w:shd w:val="clear" w:color="000000" w:fill="FFFFFF"/>
            <w:hideMark/>
          </w:tcPr>
          <w:p w14:paraId="5C5C05B1" w14:textId="77777777" w:rsidR="00827BAF" w:rsidRPr="00895819" w:rsidRDefault="00827BAF" w:rsidP="00827BAF">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51533A21" w14:textId="77777777" w:rsidR="00827BAF" w:rsidRPr="00895819" w:rsidRDefault="00827BAF" w:rsidP="00827BAF">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00E9F43C" w14:textId="77777777" w:rsidR="00827BAF" w:rsidRPr="00895819" w:rsidRDefault="00827BAF" w:rsidP="00827BAF">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25.635.777</w:t>
            </w:r>
          </w:p>
        </w:tc>
      </w:tr>
      <w:tr w:rsidR="00827BAF" w:rsidRPr="00895819" w14:paraId="4E45547A" w14:textId="77777777" w:rsidTr="00A072EF">
        <w:trPr>
          <w:trHeight w:val="630"/>
        </w:trPr>
        <w:tc>
          <w:tcPr>
            <w:tcW w:w="1332" w:type="dxa"/>
            <w:shd w:val="clear" w:color="auto" w:fill="auto"/>
            <w:vAlign w:val="center"/>
            <w:hideMark/>
          </w:tcPr>
          <w:p w14:paraId="27A2E9A3" w14:textId="77777777" w:rsidR="00827BAF" w:rsidRPr="00895819" w:rsidRDefault="00827BAF" w:rsidP="00827BAF">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Министарство грађевинарства, саобраћаја и инфраструктуре</w:t>
            </w:r>
          </w:p>
        </w:tc>
        <w:tc>
          <w:tcPr>
            <w:tcW w:w="2354" w:type="dxa"/>
            <w:shd w:val="clear" w:color="auto" w:fill="auto"/>
            <w:vAlign w:val="center"/>
            <w:hideMark/>
          </w:tcPr>
          <w:p w14:paraId="2FE9E8DF" w14:textId="77777777" w:rsidR="00827BAF" w:rsidRPr="00895819" w:rsidRDefault="00827BAF" w:rsidP="00827BAF">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Реализација инфраструктурних пројеката од важности за Републику Србију</w:t>
            </w:r>
          </w:p>
        </w:tc>
        <w:tc>
          <w:tcPr>
            <w:tcW w:w="2376" w:type="dxa"/>
            <w:shd w:val="clear" w:color="auto" w:fill="auto"/>
            <w:vAlign w:val="center"/>
            <w:hideMark/>
          </w:tcPr>
          <w:p w14:paraId="3B977C41" w14:textId="5FC0B45F" w:rsidR="00827BAF" w:rsidRPr="00895819" w:rsidRDefault="00827BAF" w:rsidP="007C25D7">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 xml:space="preserve">Адаптација бродске преводнице у саставу ХЕПС </w:t>
            </w:r>
            <w:r w:rsidR="007C25D7" w:rsidRPr="00895819">
              <w:rPr>
                <w:rFonts w:ascii="Calibri" w:hAnsi="Calibri" w:cs="Calibri"/>
                <w:color w:val="000000"/>
                <w:sz w:val="16"/>
                <w:szCs w:val="16"/>
                <w:lang w:val="sr-Cyrl-CS"/>
              </w:rPr>
              <w:t>„</w:t>
            </w:r>
            <w:r w:rsidRPr="00895819">
              <w:rPr>
                <w:rFonts w:ascii="Calibri" w:hAnsi="Calibri" w:cs="Calibri"/>
                <w:color w:val="000000"/>
                <w:sz w:val="16"/>
                <w:szCs w:val="16"/>
                <w:lang w:val="sr-Cyrl-CS"/>
              </w:rPr>
              <w:t>Ђердап 2”</w:t>
            </w:r>
          </w:p>
        </w:tc>
        <w:tc>
          <w:tcPr>
            <w:tcW w:w="1345" w:type="dxa"/>
            <w:shd w:val="clear" w:color="auto" w:fill="auto"/>
            <w:vAlign w:val="center"/>
            <w:hideMark/>
          </w:tcPr>
          <w:p w14:paraId="3D86A583" w14:textId="77777777" w:rsidR="00827BAF" w:rsidRPr="00895819" w:rsidRDefault="00827BAF" w:rsidP="00827BAF">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Зграде и грађевински објекти</w:t>
            </w:r>
          </w:p>
        </w:tc>
        <w:tc>
          <w:tcPr>
            <w:tcW w:w="1325" w:type="dxa"/>
            <w:shd w:val="clear" w:color="000000" w:fill="FFFFFF"/>
            <w:vAlign w:val="center"/>
            <w:hideMark/>
          </w:tcPr>
          <w:p w14:paraId="7188774A" w14:textId="77777777" w:rsidR="00827BAF" w:rsidRPr="00895819" w:rsidRDefault="00827BAF" w:rsidP="00827BAF">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16.949.994</w:t>
            </w:r>
          </w:p>
        </w:tc>
        <w:tc>
          <w:tcPr>
            <w:tcW w:w="1127" w:type="dxa"/>
            <w:shd w:val="clear" w:color="000000" w:fill="FFFFFF"/>
            <w:vAlign w:val="center"/>
            <w:hideMark/>
          </w:tcPr>
          <w:p w14:paraId="1B5556E2" w14:textId="77777777" w:rsidR="00827BAF" w:rsidRPr="00895819" w:rsidRDefault="00827BAF" w:rsidP="00827BAF">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8.924.565</w:t>
            </w:r>
          </w:p>
        </w:tc>
        <w:tc>
          <w:tcPr>
            <w:tcW w:w="1127" w:type="dxa"/>
            <w:shd w:val="clear" w:color="000000" w:fill="FFFFFF"/>
            <w:vAlign w:val="center"/>
            <w:hideMark/>
          </w:tcPr>
          <w:p w14:paraId="33F2DF77" w14:textId="77777777" w:rsidR="00827BAF" w:rsidRPr="00895819" w:rsidRDefault="00827BAF" w:rsidP="00827BAF">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174.381</w:t>
            </w:r>
          </w:p>
        </w:tc>
        <w:tc>
          <w:tcPr>
            <w:tcW w:w="1127" w:type="dxa"/>
            <w:shd w:val="clear" w:color="000000" w:fill="FFFFFF"/>
            <w:hideMark/>
          </w:tcPr>
          <w:p w14:paraId="07739706" w14:textId="77777777" w:rsidR="00827BAF" w:rsidRPr="00895819" w:rsidRDefault="00827BAF" w:rsidP="00827BAF">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78757CE5" w14:textId="77777777" w:rsidR="00827BAF" w:rsidRPr="00895819" w:rsidRDefault="00827BAF" w:rsidP="00827BAF">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26.048.940</w:t>
            </w:r>
          </w:p>
        </w:tc>
      </w:tr>
      <w:tr w:rsidR="00827BAF" w:rsidRPr="00895819" w14:paraId="2B1D826C" w14:textId="77777777" w:rsidTr="00A072EF">
        <w:trPr>
          <w:trHeight w:val="630"/>
        </w:trPr>
        <w:tc>
          <w:tcPr>
            <w:tcW w:w="1332" w:type="dxa"/>
            <w:shd w:val="clear" w:color="auto" w:fill="auto"/>
            <w:vAlign w:val="center"/>
            <w:hideMark/>
          </w:tcPr>
          <w:p w14:paraId="54C6ACC1" w14:textId="77777777" w:rsidR="00827BAF" w:rsidRPr="00895819" w:rsidRDefault="00827BAF" w:rsidP="00827BAF">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Министарство грађевинарства, саобраћаја и инфраструктуре</w:t>
            </w:r>
          </w:p>
        </w:tc>
        <w:tc>
          <w:tcPr>
            <w:tcW w:w="2354" w:type="dxa"/>
            <w:shd w:val="clear" w:color="auto" w:fill="auto"/>
            <w:vAlign w:val="center"/>
            <w:hideMark/>
          </w:tcPr>
          <w:p w14:paraId="64DE392F" w14:textId="77777777" w:rsidR="00827BAF" w:rsidRPr="00895819" w:rsidRDefault="00827BAF" w:rsidP="00827BAF">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Реализација инфраструктурних пројеката од важности за Републику Србију</w:t>
            </w:r>
          </w:p>
        </w:tc>
        <w:tc>
          <w:tcPr>
            <w:tcW w:w="2376" w:type="dxa"/>
            <w:shd w:val="clear" w:color="auto" w:fill="auto"/>
            <w:vAlign w:val="center"/>
            <w:hideMark/>
          </w:tcPr>
          <w:p w14:paraId="3C44AE72" w14:textId="77777777" w:rsidR="00827BAF" w:rsidRPr="00895819" w:rsidRDefault="00827BAF" w:rsidP="00827BAF">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Пројекат прикупљања и пречишћавања отпадних вода централног канализационог система града Београда</w:t>
            </w:r>
          </w:p>
        </w:tc>
        <w:tc>
          <w:tcPr>
            <w:tcW w:w="1345" w:type="dxa"/>
            <w:shd w:val="clear" w:color="auto" w:fill="auto"/>
            <w:vAlign w:val="center"/>
            <w:hideMark/>
          </w:tcPr>
          <w:p w14:paraId="31E5143F" w14:textId="77777777" w:rsidR="00827BAF" w:rsidRPr="00895819" w:rsidRDefault="00827BAF" w:rsidP="00827BAF">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Зграде и грађевински објекти</w:t>
            </w:r>
          </w:p>
        </w:tc>
        <w:tc>
          <w:tcPr>
            <w:tcW w:w="1325" w:type="dxa"/>
            <w:shd w:val="clear" w:color="000000" w:fill="FFFFFF"/>
            <w:vAlign w:val="center"/>
            <w:hideMark/>
          </w:tcPr>
          <w:p w14:paraId="3C467DA5" w14:textId="77777777" w:rsidR="00827BAF" w:rsidRPr="00895819" w:rsidRDefault="00827BAF" w:rsidP="00827BAF">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59.220</w:t>
            </w:r>
          </w:p>
        </w:tc>
        <w:tc>
          <w:tcPr>
            <w:tcW w:w="1127" w:type="dxa"/>
            <w:shd w:val="clear" w:color="000000" w:fill="FFFFFF"/>
            <w:vAlign w:val="center"/>
            <w:hideMark/>
          </w:tcPr>
          <w:p w14:paraId="774EE4BA" w14:textId="77777777" w:rsidR="00827BAF" w:rsidRPr="00895819" w:rsidRDefault="00827BAF" w:rsidP="00827BAF">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14.466</w:t>
            </w:r>
          </w:p>
        </w:tc>
        <w:tc>
          <w:tcPr>
            <w:tcW w:w="1127" w:type="dxa"/>
            <w:shd w:val="clear" w:color="000000" w:fill="FFFFFF"/>
            <w:vAlign w:val="center"/>
            <w:hideMark/>
          </w:tcPr>
          <w:p w14:paraId="28A99FD8" w14:textId="77777777" w:rsidR="00827BAF" w:rsidRPr="00895819" w:rsidRDefault="00827BAF" w:rsidP="00827BAF">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70.569</w:t>
            </w:r>
          </w:p>
        </w:tc>
        <w:tc>
          <w:tcPr>
            <w:tcW w:w="1127" w:type="dxa"/>
            <w:shd w:val="clear" w:color="000000" w:fill="FFFFFF"/>
            <w:hideMark/>
          </w:tcPr>
          <w:p w14:paraId="0E65E715" w14:textId="77777777" w:rsidR="00827BAF" w:rsidRPr="00895819" w:rsidRDefault="00827BAF" w:rsidP="00827BAF">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765EBA49" w14:textId="77777777" w:rsidR="00827BAF" w:rsidRPr="00895819" w:rsidRDefault="00827BAF" w:rsidP="00827BAF">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144.256</w:t>
            </w:r>
          </w:p>
        </w:tc>
      </w:tr>
      <w:tr w:rsidR="00CF01BA" w:rsidRPr="00895819" w14:paraId="72B9EC2A" w14:textId="77777777" w:rsidTr="00A072EF">
        <w:trPr>
          <w:trHeight w:val="630"/>
        </w:trPr>
        <w:tc>
          <w:tcPr>
            <w:tcW w:w="1332" w:type="dxa"/>
            <w:shd w:val="clear" w:color="auto" w:fill="auto"/>
            <w:vAlign w:val="center"/>
            <w:hideMark/>
          </w:tcPr>
          <w:p w14:paraId="26214579" w14:textId="77777777" w:rsidR="00CF01BA" w:rsidRPr="00895819" w:rsidRDefault="00CF01BA" w:rsidP="00CF01BA">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lastRenderedPageBreak/>
              <w:t>Министарство заштите животне средине</w:t>
            </w:r>
          </w:p>
        </w:tc>
        <w:tc>
          <w:tcPr>
            <w:tcW w:w="2354" w:type="dxa"/>
            <w:shd w:val="clear" w:color="auto" w:fill="auto"/>
            <w:vAlign w:val="center"/>
            <w:hideMark/>
          </w:tcPr>
          <w:p w14:paraId="6572FD6F" w14:textId="77777777" w:rsidR="00CF01BA" w:rsidRPr="00895819" w:rsidRDefault="00CF01BA" w:rsidP="00CF01BA">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Управљање заштитом животне средине</w:t>
            </w:r>
          </w:p>
        </w:tc>
        <w:tc>
          <w:tcPr>
            <w:tcW w:w="2376" w:type="dxa"/>
            <w:shd w:val="clear" w:color="auto" w:fill="auto"/>
            <w:vAlign w:val="center"/>
            <w:hideMark/>
          </w:tcPr>
          <w:p w14:paraId="07717A4C" w14:textId="77777777" w:rsidR="00CF01BA" w:rsidRPr="00895819" w:rsidRDefault="00CF01BA" w:rsidP="00CF01BA">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Смањење загађења ваздуха у Србији из индивидуалних извора</w:t>
            </w:r>
          </w:p>
        </w:tc>
        <w:tc>
          <w:tcPr>
            <w:tcW w:w="1345" w:type="dxa"/>
            <w:shd w:val="clear" w:color="auto" w:fill="auto"/>
            <w:vAlign w:val="center"/>
            <w:hideMark/>
          </w:tcPr>
          <w:p w14:paraId="276D6976" w14:textId="77777777" w:rsidR="00CF01BA" w:rsidRPr="00895819" w:rsidRDefault="00CF01BA" w:rsidP="00CF01BA">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Трансфери осталим нивоима власти</w:t>
            </w:r>
          </w:p>
        </w:tc>
        <w:tc>
          <w:tcPr>
            <w:tcW w:w="1325" w:type="dxa"/>
            <w:shd w:val="clear" w:color="000000" w:fill="FFFFFF"/>
            <w:vAlign w:val="center"/>
            <w:hideMark/>
          </w:tcPr>
          <w:p w14:paraId="2B73A205" w14:textId="77777777" w:rsidR="00CF01BA" w:rsidRPr="00895819" w:rsidRDefault="00CF01BA" w:rsidP="00CF01BA">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1.448.349</w:t>
            </w:r>
          </w:p>
        </w:tc>
        <w:tc>
          <w:tcPr>
            <w:tcW w:w="1127" w:type="dxa"/>
            <w:shd w:val="clear" w:color="000000" w:fill="FFFFFF"/>
            <w:hideMark/>
          </w:tcPr>
          <w:p w14:paraId="0E1B5E9B" w14:textId="77777777" w:rsidR="00CF01BA" w:rsidRPr="00895819" w:rsidRDefault="00CF01BA" w:rsidP="00CF01BA">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4B090A0B" w14:textId="77777777" w:rsidR="00CF01BA" w:rsidRPr="00895819" w:rsidRDefault="00CF01BA" w:rsidP="00CF01BA">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34D32881" w14:textId="77777777" w:rsidR="00CF01BA" w:rsidRPr="00895819" w:rsidRDefault="00CF01BA" w:rsidP="00CF01BA">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23C5B4E8" w14:textId="77777777" w:rsidR="00CF01BA" w:rsidRPr="00895819" w:rsidRDefault="00CF01BA" w:rsidP="00CF01BA">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1.448.349</w:t>
            </w:r>
          </w:p>
        </w:tc>
      </w:tr>
      <w:tr w:rsidR="00CF01BA" w:rsidRPr="00895819" w14:paraId="20F19D8D" w14:textId="77777777" w:rsidTr="00A072EF">
        <w:trPr>
          <w:trHeight w:val="630"/>
        </w:trPr>
        <w:tc>
          <w:tcPr>
            <w:tcW w:w="1332" w:type="dxa"/>
            <w:shd w:val="clear" w:color="auto" w:fill="auto"/>
            <w:vAlign w:val="center"/>
            <w:hideMark/>
          </w:tcPr>
          <w:p w14:paraId="61A5F6D3" w14:textId="77777777" w:rsidR="00CF01BA" w:rsidRPr="00895819" w:rsidRDefault="00CF01BA" w:rsidP="00CF01BA">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Министарство заштите животне средине</w:t>
            </w:r>
          </w:p>
        </w:tc>
        <w:tc>
          <w:tcPr>
            <w:tcW w:w="2354" w:type="dxa"/>
            <w:shd w:val="clear" w:color="auto" w:fill="auto"/>
            <w:vAlign w:val="center"/>
            <w:hideMark/>
          </w:tcPr>
          <w:p w14:paraId="36FAE853" w14:textId="77777777" w:rsidR="00CF01BA" w:rsidRPr="00895819" w:rsidRDefault="00CF01BA" w:rsidP="00CF01BA">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Управљање заштитом животне средине</w:t>
            </w:r>
          </w:p>
        </w:tc>
        <w:tc>
          <w:tcPr>
            <w:tcW w:w="2376" w:type="dxa"/>
            <w:shd w:val="clear" w:color="auto" w:fill="auto"/>
            <w:vAlign w:val="center"/>
            <w:hideMark/>
          </w:tcPr>
          <w:p w14:paraId="52AF92AA" w14:textId="77777777" w:rsidR="00CF01BA" w:rsidRPr="00895819" w:rsidRDefault="00CF01BA" w:rsidP="00CF01BA">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Заштита и очување воде као природног ресурса</w:t>
            </w:r>
          </w:p>
        </w:tc>
        <w:tc>
          <w:tcPr>
            <w:tcW w:w="1345" w:type="dxa"/>
            <w:shd w:val="clear" w:color="auto" w:fill="auto"/>
            <w:vAlign w:val="center"/>
            <w:hideMark/>
          </w:tcPr>
          <w:p w14:paraId="349A6DC8" w14:textId="77777777" w:rsidR="00CF01BA" w:rsidRPr="00895819" w:rsidRDefault="00CF01BA" w:rsidP="00CF01BA">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Трансфери осталим нивоима власти</w:t>
            </w:r>
          </w:p>
        </w:tc>
        <w:tc>
          <w:tcPr>
            <w:tcW w:w="1325" w:type="dxa"/>
            <w:shd w:val="clear" w:color="000000" w:fill="FFFFFF"/>
            <w:vAlign w:val="center"/>
            <w:hideMark/>
          </w:tcPr>
          <w:p w14:paraId="23726C52" w14:textId="77777777" w:rsidR="00CF01BA" w:rsidRPr="00895819" w:rsidRDefault="00CF01BA" w:rsidP="00CF01BA">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255.591</w:t>
            </w:r>
          </w:p>
        </w:tc>
        <w:tc>
          <w:tcPr>
            <w:tcW w:w="1127" w:type="dxa"/>
            <w:shd w:val="clear" w:color="000000" w:fill="FFFFFF"/>
            <w:hideMark/>
          </w:tcPr>
          <w:p w14:paraId="77B25762" w14:textId="77777777" w:rsidR="00CF01BA" w:rsidRPr="00895819" w:rsidRDefault="00CF01BA" w:rsidP="00CF01BA">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0FCF4364" w14:textId="77777777" w:rsidR="00CF01BA" w:rsidRPr="00895819" w:rsidRDefault="00CF01BA" w:rsidP="00CF01BA">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1D58FF50" w14:textId="77777777" w:rsidR="00CF01BA" w:rsidRPr="00895819" w:rsidRDefault="00CF01BA" w:rsidP="00CF01BA">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7A476B70" w14:textId="77777777" w:rsidR="00CF01BA" w:rsidRPr="00895819" w:rsidRDefault="00CF01BA" w:rsidP="00CF01BA">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255.591</w:t>
            </w:r>
          </w:p>
        </w:tc>
      </w:tr>
      <w:tr w:rsidR="00CF01BA" w:rsidRPr="00895819" w14:paraId="071CA209" w14:textId="77777777" w:rsidTr="00A072EF">
        <w:trPr>
          <w:trHeight w:val="630"/>
        </w:trPr>
        <w:tc>
          <w:tcPr>
            <w:tcW w:w="1332" w:type="dxa"/>
            <w:shd w:val="clear" w:color="auto" w:fill="auto"/>
            <w:vAlign w:val="center"/>
            <w:hideMark/>
          </w:tcPr>
          <w:p w14:paraId="7035F96B" w14:textId="77777777" w:rsidR="00CF01BA" w:rsidRPr="00895819" w:rsidRDefault="00CF01BA" w:rsidP="00CF01BA">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Министарство заштите животне средине</w:t>
            </w:r>
          </w:p>
        </w:tc>
        <w:tc>
          <w:tcPr>
            <w:tcW w:w="2354" w:type="dxa"/>
            <w:shd w:val="clear" w:color="auto" w:fill="auto"/>
            <w:vAlign w:val="center"/>
            <w:hideMark/>
          </w:tcPr>
          <w:p w14:paraId="61AE7DD9" w14:textId="77777777" w:rsidR="00CF01BA" w:rsidRPr="00895819" w:rsidRDefault="00CF01BA" w:rsidP="00CF01BA">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Управљање заштитом животне средине</w:t>
            </w:r>
          </w:p>
        </w:tc>
        <w:tc>
          <w:tcPr>
            <w:tcW w:w="2376" w:type="dxa"/>
            <w:shd w:val="clear" w:color="auto" w:fill="auto"/>
            <w:vAlign w:val="center"/>
            <w:hideMark/>
          </w:tcPr>
          <w:p w14:paraId="7E1ED0F5" w14:textId="77777777" w:rsidR="00CF01BA" w:rsidRPr="00895819" w:rsidRDefault="00CF01BA" w:rsidP="00CF01BA">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Набавка, замена, реконструкција и санација котларница за грејање</w:t>
            </w:r>
          </w:p>
        </w:tc>
        <w:tc>
          <w:tcPr>
            <w:tcW w:w="1345" w:type="dxa"/>
            <w:shd w:val="clear" w:color="auto" w:fill="auto"/>
            <w:vAlign w:val="center"/>
            <w:hideMark/>
          </w:tcPr>
          <w:p w14:paraId="7F43531E" w14:textId="77777777" w:rsidR="00CF01BA" w:rsidRPr="00895819" w:rsidRDefault="00CF01BA" w:rsidP="00CF01BA">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Трансфери осталим нивоима власти</w:t>
            </w:r>
          </w:p>
        </w:tc>
        <w:tc>
          <w:tcPr>
            <w:tcW w:w="1325" w:type="dxa"/>
            <w:shd w:val="clear" w:color="000000" w:fill="FFFFFF"/>
            <w:vAlign w:val="center"/>
            <w:hideMark/>
          </w:tcPr>
          <w:p w14:paraId="54D89983" w14:textId="77777777" w:rsidR="00CF01BA" w:rsidRPr="00895819" w:rsidRDefault="00CF01BA" w:rsidP="00CF01BA">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1.874.334</w:t>
            </w:r>
          </w:p>
        </w:tc>
        <w:tc>
          <w:tcPr>
            <w:tcW w:w="1127" w:type="dxa"/>
            <w:shd w:val="clear" w:color="000000" w:fill="FFFFFF"/>
            <w:hideMark/>
          </w:tcPr>
          <w:p w14:paraId="14861AEC" w14:textId="77777777" w:rsidR="00CF01BA" w:rsidRPr="00895819" w:rsidRDefault="00CF01BA" w:rsidP="00CF01BA">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77C38B86" w14:textId="77777777" w:rsidR="00CF01BA" w:rsidRPr="00895819" w:rsidRDefault="00CF01BA" w:rsidP="00CF01BA">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23CC91F0" w14:textId="77777777" w:rsidR="00CF01BA" w:rsidRPr="00895819" w:rsidRDefault="00CF01BA" w:rsidP="00CF01BA">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7A075A35" w14:textId="77777777" w:rsidR="00CF01BA" w:rsidRPr="00895819" w:rsidRDefault="00CF01BA" w:rsidP="00CF01BA">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1.874.334</w:t>
            </w:r>
          </w:p>
        </w:tc>
      </w:tr>
      <w:tr w:rsidR="00CF01BA" w:rsidRPr="00895819" w14:paraId="5452238E" w14:textId="77777777" w:rsidTr="00A072EF">
        <w:trPr>
          <w:trHeight w:val="630"/>
        </w:trPr>
        <w:tc>
          <w:tcPr>
            <w:tcW w:w="1332" w:type="dxa"/>
            <w:shd w:val="clear" w:color="auto" w:fill="auto"/>
            <w:vAlign w:val="center"/>
            <w:hideMark/>
          </w:tcPr>
          <w:p w14:paraId="7080F3A1" w14:textId="77777777" w:rsidR="00CF01BA" w:rsidRPr="00895819" w:rsidRDefault="00CF01BA" w:rsidP="00CF01BA">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Министарство заштите животне средине</w:t>
            </w:r>
          </w:p>
        </w:tc>
        <w:tc>
          <w:tcPr>
            <w:tcW w:w="2354" w:type="dxa"/>
            <w:shd w:val="clear" w:color="auto" w:fill="auto"/>
            <w:vAlign w:val="center"/>
            <w:hideMark/>
          </w:tcPr>
          <w:p w14:paraId="1E0F68D1" w14:textId="77777777" w:rsidR="00CF01BA" w:rsidRPr="00895819" w:rsidRDefault="00CF01BA" w:rsidP="00CF01BA">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Заштита природе и климатске промене</w:t>
            </w:r>
          </w:p>
        </w:tc>
        <w:tc>
          <w:tcPr>
            <w:tcW w:w="2376" w:type="dxa"/>
            <w:shd w:val="clear" w:color="auto" w:fill="auto"/>
            <w:vAlign w:val="center"/>
            <w:hideMark/>
          </w:tcPr>
          <w:p w14:paraId="5034E12F" w14:textId="77777777" w:rsidR="00CF01BA" w:rsidRPr="00895819" w:rsidRDefault="00CF01BA" w:rsidP="00CF01BA">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Организација и унапређење система заштите природе и очувања биодиверзитета</w:t>
            </w:r>
          </w:p>
        </w:tc>
        <w:tc>
          <w:tcPr>
            <w:tcW w:w="1345" w:type="dxa"/>
            <w:shd w:val="clear" w:color="auto" w:fill="auto"/>
            <w:vAlign w:val="center"/>
            <w:hideMark/>
          </w:tcPr>
          <w:p w14:paraId="17AF97F3" w14:textId="77777777" w:rsidR="00CF01BA" w:rsidRPr="00895819" w:rsidRDefault="00CF01BA" w:rsidP="00CF01BA">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 xml:space="preserve">Субвенције јавним нефинансијским предузећима и организацијама </w:t>
            </w:r>
          </w:p>
        </w:tc>
        <w:tc>
          <w:tcPr>
            <w:tcW w:w="1325" w:type="dxa"/>
            <w:shd w:val="clear" w:color="000000" w:fill="FFFFFF"/>
            <w:vAlign w:val="center"/>
            <w:hideMark/>
          </w:tcPr>
          <w:p w14:paraId="466510E1" w14:textId="77777777" w:rsidR="00CF01BA" w:rsidRPr="00895819" w:rsidRDefault="00CF01BA" w:rsidP="00CF01BA">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85.197</w:t>
            </w:r>
          </w:p>
        </w:tc>
        <w:tc>
          <w:tcPr>
            <w:tcW w:w="1127" w:type="dxa"/>
            <w:shd w:val="clear" w:color="000000" w:fill="FFFFFF"/>
            <w:hideMark/>
          </w:tcPr>
          <w:p w14:paraId="2E456C25" w14:textId="77777777" w:rsidR="00CF01BA" w:rsidRPr="00895819" w:rsidRDefault="00CF01BA" w:rsidP="00CF01BA">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38528A34" w14:textId="77777777" w:rsidR="00CF01BA" w:rsidRPr="00895819" w:rsidRDefault="00CF01BA" w:rsidP="00CF01BA">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518CC0A9" w14:textId="77777777" w:rsidR="00CF01BA" w:rsidRPr="00895819" w:rsidRDefault="00CF01BA" w:rsidP="00CF01BA">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1FC7F015" w14:textId="77777777" w:rsidR="00CF01BA" w:rsidRPr="00895819" w:rsidRDefault="00CF01BA" w:rsidP="00CF01BA">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85.197</w:t>
            </w:r>
          </w:p>
        </w:tc>
      </w:tr>
      <w:tr w:rsidR="00CF01BA" w:rsidRPr="00895819" w14:paraId="24F77D15" w14:textId="77777777" w:rsidTr="00A072EF">
        <w:trPr>
          <w:trHeight w:val="630"/>
        </w:trPr>
        <w:tc>
          <w:tcPr>
            <w:tcW w:w="1332" w:type="dxa"/>
            <w:shd w:val="clear" w:color="auto" w:fill="auto"/>
            <w:vAlign w:val="center"/>
            <w:hideMark/>
          </w:tcPr>
          <w:p w14:paraId="6E2AD4D3" w14:textId="77777777" w:rsidR="00CF01BA" w:rsidRPr="00895819" w:rsidRDefault="00CF01BA" w:rsidP="00CF01BA">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Министарство заштите животне средине</w:t>
            </w:r>
          </w:p>
        </w:tc>
        <w:tc>
          <w:tcPr>
            <w:tcW w:w="2354" w:type="dxa"/>
            <w:shd w:val="clear" w:color="auto" w:fill="auto"/>
            <w:vAlign w:val="center"/>
            <w:hideMark/>
          </w:tcPr>
          <w:p w14:paraId="7C33A579" w14:textId="77777777" w:rsidR="00CF01BA" w:rsidRPr="00895819" w:rsidRDefault="00CF01BA" w:rsidP="00CF01BA">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Заштита природе и климатске промене</w:t>
            </w:r>
          </w:p>
        </w:tc>
        <w:tc>
          <w:tcPr>
            <w:tcW w:w="2376" w:type="dxa"/>
            <w:shd w:val="clear" w:color="auto" w:fill="auto"/>
            <w:vAlign w:val="center"/>
            <w:hideMark/>
          </w:tcPr>
          <w:p w14:paraId="646018DA" w14:textId="77777777" w:rsidR="00CF01BA" w:rsidRPr="00895819" w:rsidRDefault="00CF01BA" w:rsidP="00CF01BA">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Организација и унапређење система заштите природе и очувања биодиверзитета</w:t>
            </w:r>
          </w:p>
        </w:tc>
        <w:tc>
          <w:tcPr>
            <w:tcW w:w="1345" w:type="dxa"/>
            <w:shd w:val="clear" w:color="auto" w:fill="auto"/>
            <w:vAlign w:val="center"/>
            <w:hideMark/>
          </w:tcPr>
          <w:p w14:paraId="55A653D0" w14:textId="77777777" w:rsidR="00CF01BA" w:rsidRPr="00895819" w:rsidRDefault="00CF01BA" w:rsidP="00CF01BA">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Трансфери осталим нивоима власти</w:t>
            </w:r>
          </w:p>
        </w:tc>
        <w:tc>
          <w:tcPr>
            <w:tcW w:w="1325" w:type="dxa"/>
            <w:shd w:val="clear" w:color="000000" w:fill="FFFFFF"/>
            <w:vAlign w:val="center"/>
            <w:hideMark/>
          </w:tcPr>
          <w:p w14:paraId="68EA2CA0" w14:textId="77777777" w:rsidR="00CF01BA" w:rsidRPr="00895819" w:rsidRDefault="00CF01BA" w:rsidP="00CF01BA">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383.387</w:t>
            </w:r>
          </w:p>
        </w:tc>
        <w:tc>
          <w:tcPr>
            <w:tcW w:w="1127" w:type="dxa"/>
            <w:shd w:val="clear" w:color="000000" w:fill="FFFFFF"/>
            <w:hideMark/>
          </w:tcPr>
          <w:p w14:paraId="7ABEDCB3" w14:textId="77777777" w:rsidR="00CF01BA" w:rsidRPr="00895819" w:rsidRDefault="00CF01BA" w:rsidP="00CF01BA">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0725B26C" w14:textId="77777777" w:rsidR="00CF01BA" w:rsidRPr="00895819" w:rsidRDefault="00CF01BA" w:rsidP="00CF01BA">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4C3A8238" w14:textId="77777777" w:rsidR="00CF01BA" w:rsidRPr="00895819" w:rsidRDefault="00CF01BA" w:rsidP="00CF01BA">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7BA285E4" w14:textId="77777777" w:rsidR="00CF01BA" w:rsidRPr="00895819" w:rsidRDefault="00CF01BA" w:rsidP="00CF01BA">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383.387</w:t>
            </w:r>
          </w:p>
        </w:tc>
      </w:tr>
      <w:tr w:rsidR="00CF01BA" w:rsidRPr="00895819" w14:paraId="164B6CAF" w14:textId="77777777" w:rsidTr="00A072EF">
        <w:trPr>
          <w:trHeight w:val="630"/>
        </w:trPr>
        <w:tc>
          <w:tcPr>
            <w:tcW w:w="1332" w:type="dxa"/>
            <w:shd w:val="clear" w:color="auto" w:fill="auto"/>
            <w:vAlign w:val="center"/>
            <w:hideMark/>
          </w:tcPr>
          <w:p w14:paraId="45864ED8" w14:textId="77777777" w:rsidR="00CF01BA" w:rsidRPr="00895819" w:rsidRDefault="00CF01BA" w:rsidP="00CF01BA">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Министарство заштите животне средине</w:t>
            </w:r>
          </w:p>
        </w:tc>
        <w:tc>
          <w:tcPr>
            <w:tcW w:w="2354" w:type="dxa"/>
            <w:shd w:val="clear" w:color="auto" w:fill="auto"/>
            <w:vAlign w:val="center"/>
            <w:hideMark/>
          </w:tcPr>
          <w:p w14:paraId="4C8B817F" w14:textId="77777777" w:rsidR="00CF01BA" w:rsidRPr="00895819" w:rsidRDefault="00CF01BA" w:rsidP="00CF01BA">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Заштита природе и климатске промене</w:t>
            </w:r>
          </w:p>
        </w:tc>
        <w:tc>
          <w:tcPr>
            <w:tcW w:w="2376" w:type="dxa"/>
            <w:shd w:val="clear" w:color="auto" w:fill="auto"/>
            <w:vAlign w:val="center"/>
            <w:hideMark/>
          </w:tcPr>
          <w:p w14:paraId="1EF3B47D" w14:textId="77777777" w:rsidR="00CF01BA" w:rsidRPr="00895819" w:rsidRDefault="00CF01BA" w:rsidP="00CF01BA">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Пошумљавање у циљу заштите и очувања природног диверзитета</w:t>
            </w:r>
          </w:p>
        </w:tc>
        <w:tc>
          <w:tcPr>
            <w:tcW w:w="1345" w:type="dxa"/>
            <w:shd w:val="clear" w:color="auto" w:fill="auto"/>
            <w:vAlign w:val="center"/>
            <w:hideMark/>
          </w:tcPr>
          <w:p w14:paraId="065FE09A" w14:textId="77777777" w:rsidR="00CF01BA" w:rsidRPr="00895819" w:rsidRDefault="00CF01BA" w:rsidP="00CF01BA">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Трансфери осталим нивоима власти</w:t>
            </w:r>
          </w:p>
        </w:tc>
        <w:tc>
          <w:tcPr>
            <w:tcW w:w="1325" w:type="dxa"/>
            <w:shd w:val="clear" w:color="000000" w:fill="FFFFFF"/>
            <w:vAlign w:val="center"/>
            <w:hideMark/>
          </w:tcPr>
          <w:p w14:paraId="27382879" w14:textId="77777777" w:rsidR="00CF01BA" w:rsidRPr="00895819" w:rsidRDefault="00CF01BA" w:rsidP="00CF01BA">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851.970</w:t>
            </w:r>
          </w:p>
        </w:tc>
        <w:tc>
          <w:tcPr>
            <w:tcW w:w="1127" w:type="dxa"/>
            <w:shd w:val="clear" w:color="000000" w:fill="FFFFFF"/>
            <w:hideMark/>
          </w:tcPr>
          <w:p w14:paraId="30756A19" w14:textId="77777777" w:rsidR="00CF01BA" w:rsidRPr="00895819" w:rsidRDefault="00CF01BA" w:rsidP="00CF01BA">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23740724" w14:textId="77777777" w:rsidR="00CF01BA" w:rsidRPr="00895819" w:rsidRDefault="00CF01BA" w:rsidP="00CF01BA">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3542C38D" w14:textId="77777777" w:rsidR="00CF01BA" w:rsidRPr="00895819" w:rsidRDefault="00CF01BA" w:rsidP="00CF01BA">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5D54B909" w14:textId="77777777" w:rsidR="00CF01BA" w:rsidRPr="00895819" w:rsidRDefault="00CF01BA" w:rsidP="00CF01BA">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851.970</w:t>
            </w:r>
          </w:p>
        </w:tc>
      </w:tr>
      <w:tr w:rsidR="00CF01BA" w:rsidRPr="00895819" w14:paraId="0938FBFC" w14:textId="77777777" w:rsidTr="00A072EF">
        <w:trPr>
          <w:trHeight w:val="630"/>
        </w:trPr>
        <w:tc>
          <w:tcPr>
            <w:tcW w:w="1332" w:type="dxa"/>
            <w:shd w:val="clear" w:color="auto" w:fill="auto"/>
            <w:vAlign w:val="center"/>
            <w:hideMark/>
          </w:tcPr>
          <w:p w14:paraId="669523F4" w14:textId="77777777" w:rsidR="00CF01BA" w:rsidRPr="00895819" w:rsidRDefault="00CF01BA" w:rsidP="00CF01BA">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Министарство заштите животне средине</w:t>
            </w:r>
          </w:p>
        </w:tc>
        <w:tc>
          <w:tcPr>
            <w:tcW w:w="2354" w:type="dxa"/>
            <w:shd w:val="clear" w:color="auto" w:fill="auto"/>
            <w:vAlign w:val="center"/>
            <w:hideMark/>
          </w:tcPr>
          <w:p w14:paraId="02913231" w14:textId="77777777" w:rsidR="00CF01BA" w:rsidRPr="00895819" w:rsidRDefault="00CF01BA" w:rsidP="00CF01BA">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Интегрисано управљање отпадом, отпадним водама, хемикалијама и биоцидним производима</w:t>
            </w:r>
          </w:p>
        </w:tc>
        <w:tc>
          <w:tcPr>
            <w:tcW w:w="2376" w:type="dxa"/>
            <w:shd w:val="clear" w:color="auto" w:fill="auto"/>
            <w:vAlign w:val="center"/>
            <w:hideMark/>
          </w:tcPr>
          <w:p w14:paraId="173F4085" w14:textId="77777777" w:rsidR="00CF01BA" w:rsidRPr="00895819" w:rsidRDefault="00CF01BA" w:rsidP="00CF01BA">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Санација и затварање нехигијенских депонија</w:t>
            </w:r>
          </w:p>
        </w:tc>
        <w:tc>
          <w:tcPr>
            <w:tcW w:w="1345" w:type="dxa"/>
            <w:shd w:val="clear" w:color="auto" w:fill="auto"/>
            <w:vAlign w:val="center"/>
            <w:hideMark/>
          </w:tcPr>
          <w:p w14:paraId="709AE311" w14:textId="77777777" w:rsidR="00CF01BA" w:rsidRPr="00895819" w:rsidRDefault="00CF01BA" w:rsidP="00CF01BA">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Трансфери осталим нивоима власти</w:t>
            </w:r>
          </w:p>
        </w:tc>
        <w:tc>
          <w:tcPr>
            <w:tcW w:w="1325" w:type="dxa"/>
            <w:shd w:val="clear" w:color="000000" w:fill="FFFFFF"/>
            <w:vAlign w:val="center"/>
            <w:hideMark/>
          </w:tcPr>
          <w:p w14:paraId="0105EF3A" w14:textId="77777777" w:rsidR="00CF01BA" w:rsidRPr="00895819" w:rsidRDefault="00CF01BA" w:rsidP="00CF01BA">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5.231.096</w:t>
            </w:r>
          </w:p>
        </w:tc>
        <w:tc>
          <w:tcPr>
            <w:tcW w:w="1127" w:type="dxa"/>
            <w:shd w:val="clear" w:color="000000" w:fill="FFFFFF"/>
            <w:hideMark/>
          </w:tcPr>
          <w:p w14:paraId="5BB734D9" w14:textId="77777777" w:rsidR="00CF01BA" w:rsidRPr="00895819" w:rsidRDefault="00CF01BA" w:rsidP="00CF01BA">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1E734C31" w14:textId="77777777" w:rsidR="00CF01BA" w:rsidRPr="00895819" w:rsidRDefault="00CF01BA" w:rsidP="00CF01BA">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483EAD32" w14:textId="77777777" w:rsidR="00CF01BA" w:rsidRPr="00895819" w:rsidRDefault="00CF01BA" w:rsidP="00CF01BA">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27873640" w14:textId="77777777" w:rsidR="00CF01BA" w:rsidRPr="00895819" w:rsidRDefault="00CF01BA" w:rsidP="00CF01BA">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5.231.096</w:t>
            </w:r>
          </w:p>
        </w:tc>
      </w:tr>
      <w:tr w:rsidR="00CF01BA" w:rsidRPr="00895819" w14:paraId="17261199" w14:textId="77777777" w:rsidTr="00A072EF">
        <w:trPr>
          <w:trHeight w:val="630"/>
        </w:trPr>
        <w:tc>
          <w:tcPr>
            <w:tcW w:w="1332" w:type="dxa"/>
            <w:shd w:val="clear" w:color="auto" w:fill="auto"/>
            <w:vAlign w:val="center"/>
            <w:hideMark/>
          </w:tcPr>
          <w:p w14:paraId="6A27B801" w14:textId="77777777" w:rsidR="00CF01BA" w:rsidRPr="00895819" w:rsidRDefault="00CF01BA" w:rsidP="00CF01BA">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Министарство заштите животне средине</w:t>
            </w:r>
          </w:p>
        </w:tc>
        <w:tc>
          <w:tcPr>
            <w:tcW w:w="2354" w:type="dxa"/>
            <w:shd w:val="clear" w:color="auto" w:fill="auto"/>
            <w:vAlign w:val="center"/>
            <w:hideMark/>
          </w:tcPr>
          <w:p w14:paraId="10CAE6D1" w14:textId="77777777" w:rsidR="00CF01BA" w:rsidRPr="00895819" w:rsidRDefault="00CF01BA" w:rsidP="00CF01BA">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Интегрисано управљање отпадом, отпадним водама, хемикалијама и биоцидним производима</w:t>
            </w:r>
          </w:p>
        </w:tc>
        <w:tc>
          <w:tcPr>
            <w:tcW w:w="2376" w:type="dxa"/>
            <w:shd w:val="clear" w:color="auto" w:fill="auto"/>
            <w:vAlign w:val="center"/>
            <w:hideMark/>
          </w:tcPr>
          <w:p w14:paraId="53059B58" w14:textId="77777777" w:rsidR="00CF01BA" w:rsidRPr="00895819" w:rsidRDefault="00CF01BA" w:rsidP="00CF01BA">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Спровођење система управљања отпадом</w:t>
            </w:r>
          </w:p>
        </w:tc>
        <w:tc>
          <w:tcPr>
            <w:tcW w:w="1345" w:type="dxa"/>
            <w:shd w:val="clear" w:color="auto" w:fill="auto"/>
            <w:vAlign w:val="center"/>
            <w:hideMark/>
          </w:tcPr>
          <w:p w14:paraId="19255A62" w14:textId="77777777" w:rsidR="00CF01BA" w:rsidRPr="00895819" w:rsidRDefault="00CF01BA" w:rsidP="00CF01BA">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Трансфери осталим нивоима власти</w:t>
            </w:r>
          </w:p>
        </w:tc>
        <w:tc>
          <w:tcPr>
            <w:tcW w:w="1325" w:type="dxa"/>
            <w:shd w:val="clear" w:color="000000" w:fill="FFFFFF"/>
            <w:vAlign w:val="center"/>
            <w:hideMark/>
          </w:tcPr>
          <w:p w14:paraId="49092C28" w14:textId="77777777" w:rsidR="00CF01BA" w:rsidRPr="00895819" w:rsidRDefault="00CF01BA" w:rsidP="00CF01BA">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2.743.343</w:t>
            </w:r>
          </w:p>
        </w:tc>
        <w:tc>
          <w:tcPr>
            <w:tcW w:w="1127" w:type="dxa"/>
            <w:shd w:val="clear" w:color="000000" w:fill="FFFFFF"/>
            <w:hideMark/>
          </w:tcPr>
          <w:p w14:paraId="7FEFCA1A" w14:textId="77777777" w:rsidR="00CF01BA" w:rsidRPr="00895819" w:rsidRDefault="00CF01BA" w:rsidP="00CF01BA">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2D2943E7" w14:textId="77777777" w:rsidR="00CF01BA" w:rsidRPr="00895819" w:rsidRDefault="00CF01BA" w:rsidP="00CF01BA">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231EC385" w14:textId="77777777" w:rsidR="00CF01BA" w:rsidRPr="00895819" w:rsidRDefault="00CF01BA" w:rsidP="00CF01BA">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6E3F8D8B" w14:textId="77777777" w:rsidR="00CF01BA" w:rsidRPr="00895819" w:rsidRDefault="00CF01BA" w:rsidP="00CF01BA">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2.743.343</w:t>
            </w:r>
          </w:p>
        </w:tc>
      </w:tr>
      <w:tr w:rsidR="00CF01BA" w:rsidRPr="00895819" w14:paraId="2BD1B30D" w14:textId="77777777" w:rsidTr="00A072EF">
        <w:trPr>
          <w:trHeight w:val="630"/>
        </w:trPr>
        <w:tc>
          <w:tcPr>
            <w:tcW w:w="1332" w:type="dxa"/>
            <w:shd w:val="clear" w:color="auto" w:fill="auto"/>
            <w:vAlign w:val="center"/>
            <w:hideMark/>
          </w:tcPr>
          <w:p w14:paraId="2A7DD70D" w14:textId="77777777" w:rsidR="00CF01BA" w:rsidRPr="00895819" w:rsidRDefault="00CF01BA" w:rsidP="00CF01BA">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Министарство заштите животне средине</w:t>
            </w:r>
          </w:p>
        </w:tc>
        <w:tc>
          <w:tcPr>
            <w:tcW w:w="2354" w:type="dxa"/>
            <w:shd w:val="clear" w:color="auto" w:fill="auto"/>
            <w:vAlign w:val="center"/>
            <w:hideMark/>
          </w:tcPr>
          <w:p w14:paraId="38AFD79A" w14:textId="77777777" w:rsidR="00CF01BA" w:rsidRPr="00895819" w:rsidRDefault="00CF01BA" w:rsidP="00CF01BA">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Интегрисано управљање отпадом, отпадним водама, хемикалијама и биоцидним производима</w:t>
            </w:r>
          </w:p>
        </w:tc>
        <w:tc>
          <w:tcPr>
            <w:tcW w:w="2376" w:type="dxa"/>
            <w:shd w:val="clear" w:color="auto" w:fill="auto"/>
            <w:vAlign w:val="center"/>
            <w:hideMark/>
          </w:tcPr>
          <w:p w14:paraId="4CEF0C88" w14:textId="77777777" w:rsidR="00CF01BA" w:rsidRPr="00895819" w:rsidRDefault="00CF01BA" w:rsidP="00CF01BA">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Превенција нелегалног одлагања отпада и уклањање</w:t>
            </w:r>
          </w:p>
        </w:tc>
        <w:tc>
          <w:tcPr>
            <w:tcW w:w="1345" w:type="dxa"/>
            <w:shd w:val="clear" w:color="auto" w:fill="auto"/>
            <w:vAlign w:val="center"/>
            <w:hideMark/>
          </w:tcPr>
          <w:p w14:paraId="09C0923B" w14:textId="77777777" w:rsidR="00CF01BA" w:rsidRPr="00895819" w:rsidRDefault="00CF01BA" w:rsidP="00CF01BA">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Трансфери осталим нивоима власти</w:t>
            </w:r>
          </w:p>
        </w:tc>
        <w:tc>
          <w:tcPr>
            <w:tcW w:w="1325" w:type="dxa"/>
            <w:shd w:val="clear" w:color="000000" w:fill="FFFFFF"/>
            <w:vAlign w:val="center"/>
            <w:hideMark/>
          </w:tcPr>
          <w:p w14:paraId="3BB68639" w14:textId="77777777" w:rsidR="00CF01BA" w:rsidRPr="00895819" w:rsidRDefault="00CF01BA" w:rsidP="00CF01BA">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681.576</w:t>
            </w:r>
          </w:p>
        </w:tc>
        <w:tc>
          <w:tcPr>
            <w:tcW w:w="1127" w:type="dxa"/>
            <w:shd w:val="clear" w:color="000000" w:fill="FFFFFF"/>
            <w:hideMark/>
          </w:tcPr>
          <w:p w14:paraId="644819AA" w14:textId="77777777" w:rsidR="00CF01BA" w:rsidRPr="00895819" w:rsidRDefault="00CF01BA" w:rsidP="00CF01BA">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3D0D6A3F" w14:textId="77777777" w:rsidR="00CF01BA" w:rsidRPr="00895819" w:rsidRDefault="00CF01BA" w:rsidP="00CF01BA">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46B1C469" w14:textId="77777777" w:rsidR="00CF01BA" w:rsidRPr="00895819" w:rsidRDefault="00CF01BA" w:rsidP="00CF01BA">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2CC8BB99" w14:textId="77777777" w:rsidR="00CF01BA" w:rsidRPr="00895819" w:rsidRDefault="00CF01BA" w:rsidP="00CF01BA">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681.576</w:t>
            </w:r>
          </w:p>
        </w:tc>
      </w:tr>
      <w:tr w:rsidR="00CF01BA" w:rsidRPr="00895819" w14:paraId="05EEBB9A" w14:textId="77777777" w:rsidTr="00A072EF">
        <w:trPr>
          <w:trHeight w:val="630"/>
        </w:trPr>
        <w:tc>
          <w:tcPr>
            <w:tcW w:w="1332" w:type="dxa"/>
            <w:shd w:val="clear" w:color="auto" w:fill="auto"/>
            <w:vAlign w:val="center"/>
            <w:hideMark/>
          </w:tcPr>
          <w:p w14:paraId="26CEC4BA" w14:textId="77777777" w:rsidR="00CF01BA" w:rsidRPr="00895819" w:rsidRDefault="00CF01BA" w:rsidP="00CF01BA">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Министарство заштите животне средине</w:t>
            </w:r>
          </w:p>
        </w:tc>
        <w:tc>
          <w:tcPr>
            <w:tcW w:w="2354" w:type="dxa"/>
            <w:shd w:val="clear" w:color="auto" w:fill="auto"/>
            <w:vAlign w:val="center"/>
            <w:hideMark/>
          </w:tcPr>
          <w:p w14:paraId="655DE697" w14:textId="77777777" w:rsidR="00CF01BA" w:rsidRPr="00895819" w:rsidRDefault="00CF01BA" w:rsidP="00CF01BA">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Интегрисано управљање отпадом, отпадним водама, хемикалијама и биоцидним производима</w:t>
            </w:r>
          </w:p>
        </w:tc>
        <w:tc>
          <w:tcPr>
            <w:tcW w:w="2376" w:type="dxa"/>
            <w:shd w:val="clear" w:color="auto" w:fill="auto"/>
            <w:vAlign w:val="center"/>
            <w:hideMark/>
          </w:tcPr>
          <w:p w14:paraId="5E641295" w14:textId="77777777" w:rsidR="00CF01BA" w:rsidRPr="00895819" w:rsidRDefault="00CF01BA" w:rsidP="00CF01BA">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Превенција нелегалног одлагања отпада и уклањање</w:t>
            </w:r>
          </w:p>
        </w:tc>
        <w:tc>
          <w:tcPr>
            <w:tcW w:w="1345" w:type="dxa"/>
            <w:shd w:val="clear" w:color="auto" w:fill="auto"/>
            <w:vAlign w:val="center"/>
            <w:hideMark/>
          </w:tcPr>
          <w:p w14:paraId="4029D544" w14:textId="77777777" w:rsidR="00CF01BA" w:rsidRPr="00895819" w:rsidRDefault="00CF01BA" w:rsidP="00CF01BA">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Машине и опрема</w:t>
            </w:r>
          </w:p>
        </w:tc>
        <w:tc>
          <w:tcPr>
            <w:tcW w:w="1325" w:type="dxa"/>
            <w:shd w:val="clear" w:color="000000" w:fill="FFFFFF"/>
            <w:vAlign w:val="center"/>
            <w:hideMark/>
          </w:tcPr>
          <w:p w14:paraId="1FE76434" w14:textId="77777777" w:rsidR="00CF01BA" w:rsidRPr="00895819" w:rsidRDefault="00CF01BA" w:rsidP="00CF01BA">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511.182</w:t>
            </w:r>
          </w:p>
        </w:tc>
        <w:tc>
          <w:tcPr>
            <w:tcW w:w="1127" w:type="dxa"/>
            <w:shd w:val="clear" w:color="000000" w:fill="FFFFFF"/>
            <w:hideMark/>
          </w:tcPr>
          <w:p w14:paraId="0AFBD1D8" w14:textId="77777777" w:rsidR="00CF01BA" w:rsidRPr="00895819" w:rsidRDefault="00CF01BA" w:rsidP="00CF01BA">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79AE12B9" w14:textId="77777777" w:rsidR="00CF01BA" w:rsidRPr="00895819" w:rsidRDefault="00CF01BA" w:rsidP="00CF01BA">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26113972" w14:textId="77777777" w:rsidR="00CF01BA" w:rsidRPr="00895819" w:rsidRDefault="00CF01BA" w:rsidP="00CF01BA">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7DD5962A" w14:textId="77777777" w:rsidR="00CF01BA" w:rsidRPr="00895819" w:rsidRDefault="00CF01BA" w:rsidP="00CF01BA">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511.182</w:t>
            </w:r>
          </w:p>
        </w:tc>
      </w:tr>
      <w:tr w:rsidR="00407840" w:rsidRPr="00895819" w14:paraId="607B351F" w14:textId="77777777" w:rsidTr="006750A2">
        <w:trPr>
          <w:trHeight w:val="630"/>
        </w:trPr>
        <w:tc>
          <w:tcPr>
            <w:tcW w:w="1332" w:type="dxa"/>
            <w:shd w:val="clear" w:color="auto" w:fill="auto"/>
            <w:vAlign w:val="center"/>
            <w:hideMark/>
          </w:tcPr>
          <w:p w14:paraId="329FBD9E"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Министарство заштите животне средине</w:t>
            </w:r>
          </w:p>
        </w:tc>
        <w:tc>
          <w:tcPr>
            <w:tcW w:w="2354" w:type="dxa"/>
            <w:shd w:val="clear" w:color="auto" w:fill="auto"/>
            <w:vAlign w:val="center"/>
            <w:hideMark/>
          </w:tcPr>
          <w:p w14:paraId="353A127E"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Интегрисано управљање отпадом, отпадним водама, хемикалијама и биоцидним производима</w:t>
            </w:r>
          </w:p>
        </w:tc>
        <w:tc>
          <w:tcPr>
            <w:tcW w:w="2376" w:type="dxa"/>
            <w:shd w:val="clear" w:color="auto" w:fill="auto"/>
            <w:vAlign w:val="center"/>
            <w:hideMark/>
          </w:tcPr>
          <w:p w14:paraId="0FE4392D"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Набавка опреме за сакупљање и рециклажу отпада</w:t>
            </w:r>
          </w:p>
        </w:tc>
        <w:tc>
          <w:tcPr>
            <w:tcW w:w="1345" w:type="dxa"/>
            <w:shd w:val="clear" w:color="auto" w:fill="auto"/>
            <w:vAlign w:val="center"/>
            <w:hideMark/>
          </w:tcPr>
          <w:p w14:paraId="41723F2D" w14:textId="77777777" w:rsidR="00407840" w:rsidRPr="00895819" w:rsidRDefault="00407840" w:rsidP="00407840">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Машине и опрема</w:t>
            </w:r>
          </w:p>
        </w:tc>
        <w:tc>
          <w:tcPr>
            <w:tcW w:w="1325" w:type="dxa"/>
            <w:shd w:val="clear" w:color="000000" w:fill="FFFFFF"/>
            <w:vAlign w:val="center"/>
            <w:hideMark/>
          </w:tcPr>
          <w:p w14:paraId="56EE744B" w14:textId="77777777" w:rsidR="00407840" w:rsidRPr="00895819" w:rsidRDefault="00407840" w:rsidP="00CF01BA">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4</w:t>
            </w:r>
            <w:r w:rsidR="00CF01BA" w:rsidRPr="00895819">
              <w:rPr>
                <w:rFonts w:ascii="Calibri" w:hAnsi="Calibri" w:cs="Calibri"/>
                <w:color w:val="000000"/>
                <w:sz w:val="16"/>
                <w:szCs w:val="16"/>
                <w:lang w:val="sr-Cyrl-CS"/>
              </w:rPr>
              <w:t>.</w:t>
            </w:r>
            <w:r w:rsidRPr="00895819">
              <w:rPr>
                <w:rFonts w:ascii="Calibri" w:hAnsi="Calibri" w:cs="Calibri"/>
                <w:color w:val="000000"/>
                <w:sz w:val="16"/>
                <w:szCs w:val="16"/>
                <w:lang w:val="sr-Cyrl-CS"/>
              </w:rPr>
              <w:t>259</w:t>
            </w:r>
            <w:r w:rsidR="00CF01BA" w:rsidRPr="00895819">
              <w:rPr>
                <w:rFonts w:ascii="Calibri" w:hAnsi="Calibri" w:cs="Calibri"/>
                <w:color w:val="000000"/>
                <w:sz w:val="16"/>
                <w:szCs w:val="16"/>
                <w:lang w:val="sr-Cyrl-CS"/>
              </w:rPr>
              <w:t>.</w:t>
            </w:r>
            <w:r w:rsidRPr="00895819">
              <w:rPr>
                <w:rFonts w:ascii="Calibri" w:hAnsi="Calibri" w:cs="Calibri"/>
                <w:color w:val="000000"/>
                <w:sz w:val="16"/>
                <w:szCs w:val="16"/>
                <w:lang w:val="sr-Cyrl-CS"/>
              </w:rPr>
              <w:t>850</w:t>
            </w:r>
          </w:p>
        </w:tc>
        <w:tc>
          <w:tcPr>
            <w:tcW w:w="1127" w:type="dxa"/>
            <w:shd w:val="clear" w:color="000000" w:fill="FFFFFF"/>
            <w:vAlign w:val="center"/>
            <w:hideMark/>
          </w:tcPr>
          <w:p w14:paraId="14F03E03" w14:textId="77777777" w:rsidR="00407840" w:rsidRPr="00895819" w:rsidRDefault="00407840" w:rsidP="00CF01BA">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4</w:t>
            </w:r>
            <w:r w:rsidR="00CF01BA" w:rsidRPr="00895819">
              <w:rPr>
                <w:rFonts w:ascii="Calibri" w:hAnsi="Calibri" w:cs="Calibri"/>
                <w:color w:val="000000"/>
                <w:sz w:val="16"/>
                <w:szCs w:val="16"/>
                <w:lang w:val="sr-Cyrl-CS"/>
              </w:rPr>
              <w:t>.</w:t>
            </w:r>
            <w:r w:rsidRPr="00895819">
              <w:rPr>
                <w:rFonts w:ascii="Calibri" w:hAnsi="Calibri" w:cs="Calibri"/>
                <w:color w:val="000000"/>
                <w:sz w:val="16"/>
                <w:szCs w:val="16"/>
                <w:lang w:val="sr-Cyrl-CS"/>
              </w:rPr>
              <w:t>259</w:t>
            </w:r>
            <w:r w:rsidR="00CF01BA" w:rsidRPr="00895819">
              <w:rPr>
                <w:rFonts w:ascii="Calibri" w:hAnsi="Calibri" w:cs="Calibri"/>
                <w:color w:val="000000"/>
                <w:sz w:val="16"/>
                <w:szCs w:val="16"/>
                <w:lang w:val="sr-Cyrl-CS"/>
              </w:rPr>
              <w:t>.</w:t>
            </w:r>
            <w:r w:rsidRPr="00895819">
              <w:rPr>
                <w:rFonts w:ascii="Calibri" w:hAnsi="Calibri" w:cs="Calibri"/>
                <w:color w:val="000000"/>
                <w:sz w:val="16"/>
                <w:szCs w:val="16"/>
                <w:lang w:val="sr-Cyrl-CS"/>
              </w:rPr>
              <w:t>850</w:t>
            </w:r>
          </w:p>
        </w:tc>
        <w:tc>
          <w:tcPr>
            <w:tcW w:w="1127" w:type="dxa"/>
            <w:shd w:val="clear" w:color="000000" w:fill="FFFFFF"/>
            <w:vAlign w:val="center"/>
            <w:hideMark/>
          </w:tcPr>
          <w:p w14:paraId="5F87A79E" w14:textId="77777777" w:rsidR="00407840" w:rsidRPr="00895819" w:rsidRDefault="00407840" w:rsidP="00CF01BA">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4</w:t>
            </w:r>
            <w:r w:rsidR="00CF01BA" w:rsidRPr="00895819">
              <w:rPr>
                <w:rFonts w:ascii="Calibri" w:hAnsi="Calibri" w:cs="Calibri"/>
                <w:color w:val="000000"/>
                <w:sz w:val="16"/>
                <w:szCs w:val="16"/>
                <w:lang w:val="sr-Cyrl-CS"/>
              </w:rPr>
              <w:t>.</w:t>
            </w:r>
            <w:r w:rsidRPr="00895819">
              <w:rPr>
                <w:rFonts w:ascii="Calibri" w:hAnsi="Calibri" w:cs="Calibri"/>
                <w:color w:val="000000"/>
                <w:sz w:val="16"/>
                <w:szCs w:val="16"/>
                <w:lang w:val="sr-Cyrl-CS"/>
              </w:rPr>
              <w:t>259</w:t>
            </w:r>
            <w:r w:rsidR="00CF01BA" w:rsidRPr="00895819">
              <w:rPr>
                <w:rFonts w:ascii="Calibri" w:hAnsi="Calibri" w:cs="Calibri"/>
                <w:color w:val="000000"/>
                <w:sz w:val="16"/>
                <w:szCs w:val="16"/>
                <w:lang w:val="sr-Cyrl-CS"/>
              </w:rPr>
              <w:t>.</w:t>
            </w:r>
            <w:r w:rsidRPr="00895819">
              <w:rPr>
                <w:rFonts w:ascii="Calibri" w:hAnsi="Calibri" w:cs="Calibri"/>
                <w:color w:val="000000"/>
                <w:sz w:val="16"/>
                <w:szCs w:val="16"/>
                <w:lang w:val="sr-Cyrl-CS"/>
              </w:rPr>
              <w:t>850</w:t>
            </w:r>
          </w:p>
        </w:tc>
        <w:tc>
          <w:tcPr>
            <w:tcW w:w="1127" w:type="dxa"/>
            <w:shd w:val="clear" w:color="000000" w:fill="FFFFFF"/>
            <w:vAlign w:val="center"/>
            <w:hideMark/>
          </w:tcPr>
          <w:p w14:paraId="723650E1" w14:textId="77777777" w:rsidR="00407840" w:rsidRPr="00895819" w:rsidRDefault="00CF01BA" w:rsidP="00CF01BA">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28C9CAF1" w14:textId="77777777" w:rsidR="00407840" w:rsidRPr="00895819" w:rsidRDefault="00407840" w:rsidP="00CF01BA">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12</w:t>
            </w:r>
            <w:r w:rsidR="00CF01BA" w:rsidRPr="00895819">
              <w:rPr>
                <w:rFonts w:ascii="Calibri" w:hAnsi="Calibri" w:cs="Calibri"/>
                <w:b/>
                <w:bCs/>
                <w:color w:val="000000"/>
                <w:sz w:val="16"/>
                <w:szCs w:val="16"/>
                <w:lang w:val="sr-Cyrl-CS"/>
              </w:rPr>
              <w:t>.</w:t>
            </w:r>
            <w:r w:rsidRPr="00895819">
              <w:rPr>
                <w:rFonts w:ascii="Calibri" w:hAnsi="Calibri" w:cs="Calibri"/>
                <w:b/>
                <w:bCs/>
                <w:color w:val="000000"/>
                <w:sz w:val="16"/>
                <w:szCs w:val="16"/>
                <w:lang w:val="sr-Cyrl-CS"/>
              </w:rPr>
              <w:t>779</w:t>
            </w:r>
            <w:r w:rsidR="00CF01BA" w:rsidRPr="00895819">
              <w:rPr>
                <w:rFonts w:ascii="Calibri" w:hAnsi="Calibri" w:cs="Calibri"/>
                <w:b/>
                <w:bCs/>
                <w:color w:val="000000"/>
                <w:sz w:val="16"/>
                <w:szCs w:val="16"/>
                <w:lang w:val="sr-Cyrl-CS"/>
              </w:rPr>
              <w:t>.</w:t>
            </w:r>
            <w:r w:rsidRPr="00895819">
              <w:rPr>
                <w:rFonts w:ascii="Calibri" w:hAnsi="Calibri" w:cs="Calibri"/>
                <w:b/>
                <w:bCs/>
                <w:color w:val="000000"/>
                <w:sz w:val="16"/>
                <w:szCs w:val="16"/>
                <w:lang w:val="sr-Cyrl-CS"/>
              </w:rPr>
              <w:t>550</w:t>
            </w:r>
          </w:p>
        </w:tc>
      </w:tr>
      <w:tr w:rsidR="00BD32C8" w:rsidRPr="00895819" w14:paraId="4908E735" w14:textId="77777777" w:rsidTr="00A072EF">
        <w:trPr>
          <w:trHeight w:val="630"/>
        </w:trPr>
        <w:tc>
          <w:tcPr>
            <w:tcW w:w="1332" w:type="dxa"/>
            <w:shd w:val="clear" w:color="auto" w:fill="auto"/>
            <w:vAlign w:val="center"/>
            <w:hideMark/>
          </w:tcPr>
          <w:p w14:paraId="71B1E197" w14:textId="77777777" w:rsidR="00BD32C8" w:rsidRPr="00895819" w:rsidRDefault="00BD32C8" w:rsidP="00BD32C8">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lastRenderedPageBreak/>
              <w:t>Министарство заштите животне средине</w:t>
            </w:r>
          </w:p>
        </w:tc>
        <w:tc>
          <w:tcPr>
            <w:tcW w:w="2354" w:type="dxa"/>
            <w:shd w:val="clear" w:color="auto" w:fill="auto"/>
            <w:vAlign w:val="center"/>
            <w:hideMark/>
          </w:tcPr>
          <w:p w14:paraId="50285D4F" w14:textId="77777777" w:rsidR="00BD32C8" w:rsidRPr="00895819" w:rsidRDefault="00BD32C8" w:rsidP="00BD32C8">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Зелена агенда</w:t>
            </w:r>
          </w:p>
        </w:tc>
        <w:tc>
          <w:tcPr>
            <w:tcW w:w="2376" w:type="dxa"/>
            <w:shd w:val="clear" w:color="auto" w:fill="auto"/>
            <w:vAlign w:val="center"/>
            <w:hideMark/>
          </w:tcPr>
          <w:p w14:paraId="3790787D" w14:textId="77777777" w:rsidR="00BD32C8" w:rsidRPr="00895819" w:rsidRDefault="00BD32C8" w:rsidP="00BD32C8">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Подршка пројектима цивилног друштва у области заштите животне средине</w:t>
            </w:r>
          </w:p>
        </w:tc>
        <w:tc>
          <w:tcPr>
            <w:tcW w:w="1345" w:type="dxa"/>
            <w:shd w:val="clear" w:color="auto" w:fill="auto"/>
            <w:vAlign w:val="center"/>
            <w:hideMark/>
          </w:tcPr>
          <w:p w14:paraId="3C6B369E" w14:textId="77777777" w:rsidR="00BD32C8" w:rsidRPr="00895819" w:rsidRDefault="00BD32C8" w:rsidP="00BD32C8">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Дотације невладиним организацијама</w:t>
            </w:r>
          </w:p>
        </w:tc>
        <w:tc>
          <w:tcPr>
            <w:tcW w:w="1325" w:type="dxa"/>
            <w:shd w:val="clear" w:color="000000" w:fill="FFFFFF"/>
            <w:vAlign w:val="center"/>
            <w:hideMark/>
          </w:tcPr>
          <w:p w14:paraId="781B11C1" w14:textId="77777777" w:rsidR="00BD32C8" w:rsidRPr="00895819" w:rsidRDefault="00BD32C8" w:rsidP="00BD32C8">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425.985</w:t>
            </w:r>
          </w:p>
        </w:tc>
        <w:tc>
          <w:tcPr>
            <w:tcW w:w="1127" w:type="dxa"/>
            <w:shd w:val="clear" w:color="000000" w:fill="FFFFFF"/>
            <w:hideMark/>
          </w:tcPr>
          <w:p w14:paraId="41850875" w14:textId="77777777" w:rsidR="00BD32C8" w:rsidRPr="00895819" w:rsidRDefault="00BD32C8" w:rsidP="00BD32C8">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27A24759" w14:textId="77777777" w:rsidR="00BD32C8" w:rsidRPr="00895819" w:rsidRDefault="00BD32C8" w:rsidP="00BD32C8">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1797E8D1" w14:textId="77777777" w:rsidR="00BD32C8" w:rsidRPr="00895819" w:rsidRDefault="00BD32C8" w:rsidP="00BD32C8">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39CB5857" w14:textId="77777777" w:rsidR="00BD32C8" w:rsidRPr="00895819" w:rsidRDefault="00BD32C8" w:rsidP="00BD32C8">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425.985</w:t>
            </w:r>
          </w:p>
        </w:tc>
      </w:tr>
      <w:tr w:rsidR="00BD32C8" w:rsidRPr="00895819" w14:paraId="34AC03D5" w14:textId="77777777" w:rsidTr="00A072EF">
        <w:trPr>
          <w:trHeight w:val="630"/>
        </w:trPr>
        <w:tc>
          <w:tcPr>
            <w:tcW w:w="1332" w:type="dxa"/>
            <w:shd w:val="clear" w:color="auto" w:fill="auto"/>
            <w:vAlign w:val="center"/>
            <w:hideMark/>
          </w:tcPr>
          <w:p w14:paraId="759AC1C7" w14:textId="77777777" w:rsidR="00BD32C8" w:rsidRPr="00895819" w:rsidRDefault="00BD32C8" w:rsidP="00BD32C8">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Министарство заштите животне средине</w:t>
            </w:r>
          </w:p>
        </w:tc>
        <w:tc>
          <w:tcPr>
            <w:tcW w:w="2354" w:type="dxa"/>
            <w:shd w:val="clear" w:color="auto" w:fill="auto"/>
            <w:vAlign w:val="center"/>
            <w:hideMark/>
          </w:tcPr>
          <w:p w14:paraId="4D08F437" w14:textId="77777777" w:rsidR="00BD32C8" w:rsidRPr="00895819" w:rsidRDefault="00BD32C8" w:rsidP="00BD32C8">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Зелена агенда</w:t>
            </w:r>
          </w:p>
        </w:tc>
        <w:tc>
          <w:tcPr>
            <w:tcW w:w="2376" w:type="dxa"/>
            <w:shd w:val="clear" w:color="auto" w:fill="auto"/>
            <w:vAlign w:val="center"/>
            <w:hideMark/>
          </w:tcPr>
          <w:p w14:paraId="6B8DC4CF" w14:textId="77777777" w:rsidR="00BD32C8" w:rsidRPr="00895819" w:rsidRDefault="00BD32C8" w:rsidP="00BD32C8">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Унапређење инфраструктуре у области заштите животне средине</w:t>
            </w:r>
          </w:p>
        </w:tc>
        <w:tc>
          <w:tcPr>
            <w:tcW w:w="1345" w:type="dxa"/>
            <w:shd w:val="clear" w:color="auto" w:fill="auto"/>
            <w:vAlign w:val="center"/>
            <w:hideMark/>
          </w:tcPr>
          <w:p w14:paraId="38C42971" w14:textId="77777777" w:rsidR="00BD32C8" w:rsidRPr="00895819" w:rsidRDefault="00BD32C8" w:rsidP="00BD32C8">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Зграде и грађевински објекти</w:t>
            </w:r>
          </w:p>
        </w:tc>
        <w:tc>
          <w:tcPr>
            <w:tcW w:w="1325" w:type="dxa"/>
            <w:shd w:val="clear" w:color="000000" w:fill="FFFFFF"/>
            <w:vAlign w:val="center"/>
            <w:hideMark/>
          </w:tcPr>
          <w:p w14:paraId="5876B1C9" w14:textId="77777777" w:rsidR="00BD32C8" w:rsidRPr="00895819" w:rsidRDefault="00BD32C8" w:rsidP="00BD32C8">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8.860.488</w:t>
            </w:r>
          </w:p>
        </w:tc>
        <w:tc>
          <w:tcPr>
            <w:tcW w:w="1127" w:type="dxa"/>
            <w:shd w:val="clear" w:color="000000" w:fill="FFFFFF"/>
            <w:hideMark/>
          </w:tcPr>
          <w:p w14:paraId="5C8F4EC6" w14:textId="77777777" w:rsidR="00BD32C8" w:rsidRPr="00895819" w:rsidRDefault="00BD32C8" w:rsidP="00BD32C8">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00CDEB35" w14:textId="77777777" w:rsidR="00BD32C8" w:rsidRPr="00895819" w:rsidRDefault="00BD32C8" w:rsidP="00BD32C8">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76C50B98" w14:textId="77777777" w:rsidR="00BD32C8" w:rsidRPr="00895819" w:rsidRDefault="00BD32C8" w:rsidP="00BD32C8">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005AC108" w14:textId="77777777" w:rsidR="00BD32C8" w:rsidRPr="00895819" w:rsidRDefault="00BD32C8" w:rsidP="00BD32C8">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8.860.488</w:t>
            </w:r>
          </w:p>
        </w:tc>
      </w:tr>
      <w:tr w:rsidR="00BD32C8" w:rsidRPr="00895819" w14:paraId="7F772340" w14:textId="77777777" w:rsidTr="00A072EF">
        <w:trPr>
          <w:trHeight w:val="630"/>
        </w:trPr>
        <w:tc>
          <w:tcPr>
            <w:tcW w:w="1332" w:type="dxa"/>
            <w:shd w:val="clear" w:color="auto" w:fill="auto"/>
            <w:vAlign w:val="center"/>
            <w:hideMark/>
          </w:tcPr>
          <w:p w14:paraId="461BD780" w14:textId="77777777" w:rsidR="00BD32C8" w:rsidRPr="00895819" w:rsidRDefault="00BD32C8" w:rsidP="00BD32C8">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Министарство заштите животне средине</w:t>
            </w:r>
          </w:p>
        </w:tc>
        <w:tc>
          <w:tcPr>
            <w:tcW w:w="2354" w:type="dxa"/>
            <w:shd w:val="clear" w:color="auto" w:fill="auto"/>
            <w:vAlign w:val="center"/>
            <w:hideMark/>
          </w:tcPr>
          <w:p w14:paraId="3527188D" w14:textId="77777777" w:rsidR="00BD32C8" w:rsidRPr="00895819" w:rsidRDefault="00BD32C8" w:rsidP="00BD32C8">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Зелена агенда</w:t>
            </w:r>
          </w:p>
        </w:tc>
        <w:tc>
          <w:tcPr>
            <w:tcW w:w="2376" w:type="dxa"/>
            <w:shd w:val="clear" w:color="auto" w:fill="auto"/>
            <w:vAlign w:val="center"/>
            <w:hideMark/>
          </w:tcPr>
          <w:p w14:paraId="37E5A4E7" w14:textId="77777777" w:rsidR="00BD32C8" w:rsidRPr="00895819" w:rsidRDefault="00BD32C8" w:rsidP="00BD32C8">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Изградња регионалних центара за управљање отпадом</w:t>
            </w:r>
          </w:p>
        </w:tc>
        <w:tc>
          <w:tcPr>
            <w:tcW w:w="1345" w:type="dxa"/>
            <w:shd w:val="clear" w:color="auto" w:fill="auto"/>
            <w:vAlign w:val="center"/>
            <w:hideMark/>
          </w:tcPr>
          <w:p w14:paraId="7FF3F6EC" w14:textId="77777777" w:rsidR="00BD32C8" w:rsidRPr="00895819" w:rsidRDefault="00BD32C8" w:rsidP="00BD32C8">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Зграде и грађевински објекти</w:t>
            </w:r>
          </w:p>
        </w:tc>
        <w:tc>
          <w:tcPr>
            <w:tcW w:w="1325" w:type="dxa"/>
            <w:shd w:val="clear" w:color="000000" w:fill="FFFFFF"/>
            <w:vAlign w:val="center"/>
            <w:hideMark/>
          </w:tcPr>
          <w:p w14:paraId="4D54C71A" w14:textId="77777777" w:rsidR="00BD32C8" w:rsidRPr="00895819" w:rsidRDefault="00BD32C8" w:rsidP="00BD32C8">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2555.910</w:t>
            </w:r>
          </w:p>
        </w:tc>
        <w:tc>
          <w:tcPr>
            <w:tcW w:w="1127" w:type="dxa"/>
            <w:shd w:val="clear" w:color="000000" w:fill="FFFFFF"/>
            <w:hideMark/>
          </w:tcPr>
          <w:p w14:paraId="48670497" w14:textId="77777777" w:rsidR="00BD32C8" w:rsidRPr="00895819" w:rsidRDefault="00BD32C8" w:rsidP="00BD32C8">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3327EE05" w14:textId="77777777" w:rsidR="00BD32C8" w:rsidRPr="00895819" w:rsidRDefault="00BD32C8" w:rsidP="00BD32C8">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1DE31581" w14:textId="77777777" w:rsidR="00BD32C8" w:rsidRPr="00895819" w:rsidRDefault="00BD32C8" w:rsidP="00BD32C8">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2BBCA79E" w14:textId="77777777" w:rsidR="00BD32C8" w:rsidRPr="00895819" w:rsidRDefault="00BD32C8" w:rsidP="00BD32C8">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2555.910</w:t>
            </w:r>
          </w:p>
        </w:tc>
      </w:tr>
      <w:tr w:rsidR="00BD32C8" w:rsidRPr="00895819" w14:paraId="22D4D14E" w14:textId="77777777" w:rsidTr="00A072EF">
        <w:trPr>
          <w:trHeight w:val="630"/>
        </w:trPr>
        <w:tc>
          <w:tcPr>
            <w:tcW w:w="1332" w:type="dxa"/>
            <w:shd w:val="clear" w:color="auto" w:fill="auto"/>
            <w:vAlign w:val="center"/>
            <w:hideMark/>
          </w:tcPr>
          <w:p w14:paraId="189039B3" w14:textId="77777777" w:rsidR="00BD32C8" w:rsidRPr="00895819" w:rsidRDefault="00BD32C8" w:rsidP="00BD32C8">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Агенција за заштиту животне средине</w:t>
            </w:r>
          </w:p>
        </w:tc>
        <w:tc>
          <w:tcPr>
            <w:tcW w:w="2354" w:type="dxa"/>
            <w:shd w:val="clear" w:color="auto" w:fill="auto"/>
            <w:vAlign w:val="center"/>
            <w:hideMark/>
          </w:tcPr>
          <w:p w14:paraId="70024DC8" w14:textId="77777777" w:rsidR="00BD32C8" w:rsidRPr="00895819" w:rsidRDefault="00BD32C8" w:rsidP="00BD32C8">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Управљање заштитом животне средине</w:t>
            </w:r>
          </w:p>
        </w:tc>
        <w:tc>
          <w:tcPr>
            <w:tcW w:w="2376" w:type="dxa"/>
            <w:shd w:val="clear" w:color="auto" w:fill="auto"/>
            <w:vAlign w:val="center"/>
            <w:hideMark/>
          </w:tcPr>
          <w:p w14:paraId="236EF5FB" w14:textId="77777777" w:rsidR="00BD32C8" w:rsidRPr="00895819" w:rsidRDefault="00BD32C8" w:rsidP="00BD32C8">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Мониторинг квалитета ваздуха, воде и седимента</w:t>
            </w:r>
          </w:p>
        </w:tc>
        <w:tc>
          <w:tcPr>
            <w:tcW w:w="1345" w:type="dxa"/>
            <w:shd w:val="clear" w:color="auto" w:fill="auto"/>
            <w:vAlign w:val="center"/>
            <w:hideMark/>
          </w:tcPr>
          <w:p w14:paraId="72DF6FA1" w14:textId="77777777" w:rsidR="00BD32C8" w:rsidRPr="00895819" w:rsidRDefault="00BD32C8" w:rsidP="00BD32C8">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Машине и опрема</w:t>
            </w:r>
          </w:p>
        </w:tc>
        <w:tc>
          <w:tcPr>
            <w:tcW w:w="1325" w:type="dxa"/>
            <w:shd w:val="clear" w:color="000000" w:fill="FFFFFF"/>
            <w:vAlign w:val="center"/>
            <w:hideMark/>
          </w:tcPr>
          <w:p w14:paraId="00CA5E57" w14:textId="77777777" w:rsidR="00BD32C8" w:rsidRPr="00895819" w:rsidRDefault="00BD32C8" w:rsidP="00BD32C8">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434.505</w:t>
            </w:r>
          </w:p>
        </w:tc>
        <w:tc>
          <w:tcPr>
            <w:tcW w:w="1127" w:type="dxa"/>
            <w:shd w:val="clear" w:color="000000" w:fill="FFFFFF"/>
            <w:hideMark/>
          </w:tcPr>
          <w:p w14:paraId="6E91E3FA" w14:textId="77777777" w:rsidR="00BD32C8" w:rsidRPr="00895819" w:rsidRDefault="00BD32C8" w:rsidP="00BD32C8">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6DE3ECBF" w14:textId="77777777" w:rsidR="00BD32C8" w:rsidRPr="00895819" w:rsidRDefault="00BD32C8" w:rsidP="00BD32C8">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5BFE5B96" w14:textId="77777777" w:rsidR="00BD32C8" w:rsidRPr="00895819" w:rsidRDefault="00BD32C8" w:rsidP="00BD32C8">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480C819A" w14:textId="77777777" w:rsidR="00BD32C8" w:rsidRPr="00895819" w:rsidRDefault="00BD32C8" w:rsidP="00BD32C8">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434.505</w:t>
            </w:r>
          </w:p>
        </w:tc>
      </w:tr>
      <w:tr w:rsidR="00BD32C8" w:rsidRPr="00895819" w14:paraId="4EAD84DF" w14:textId="77777777" w:rsidTr="00A072EF">
        <w:trPr>
          <w:trHeight w:val="630"/>
        </w:trPr>
        <w:tc>
          <w:tcPr>
            <w:tcW w:w="1332" w:type="dxa"/>
            <w:shd w:val="clear" w:color="auto" w:fill="auto"/>
            <w:vAlign w:val="center"/>
            <w:hideMark/>
          </w:tcPr>
          <w:p w14:paraId="596E6770" w14:textId="77777777" w:rsidR="00BD32C8" w:rsidRPr="00895819" w:rsidRDefault="00BD32C8" w:rsidP="00BD32C8">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Агенција за заштиту животне средине</w:t>
            </w:r>
          </w:p>
        </w:tc>
        <w:tc>
          <w:tcPr>
            <w:tcW w:w="2354" w:type="dxa"/>
            <w:shd w:val="clear" w:color="auto" w:fill="auto"/>
            <w:vAlign w:val="center"/>
            <w:hideMark/>
          </w:tcPr>
          <w:p w14:paraId="7B83262D" w14:textId="77777777" w:rsidR="00BD32C8" w:rsidRPr="00895819" w:rsidRDefault="00BD32C8" w:rsidP="00BD32C8">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Управљање заштитом животне средине</w:t>
            </w:r>
          </w:p>
        </w:tc>
        <w:tc>
          <w:tcPr>
            <w:tcW w:w="2376" w:type="dxa"/>
            <w:shd w:val="clear" w:color="auto" w:fill="auto"/>
            <w:vAlign w:val="center"/>
            <w:hideMark/>
          </w:tcPr>
          <w:p w14:paraId="715C7B2A" w14:textId="77777777" w:rsidR="00BD32C8" w:rsidRPr="00895819" w:rsidRDefault="00BD32C8" w:rsidP="00BD32C8">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Мониторинг квалитета ваздуха, воде и седимента</w:t>
            </w:r>
          </w:p>
        </w:tc>
        <w:tc>
          <w:tcPr>
            <w:tcW w:w="1345" w:type="dxa"/>
            <w:shd w:val="clear" w:color="auto" w:fill="auto"/>
            <w:vAlign w:val="center"/>
            <w:hideMark/>
          </w:tcPr>
          <w:p w14:paraId="03EDECFA" w14:textId="77777777" w:rsidR="00BD32C8" w:rsidRPr="00895819" w:rsidRDefault="00BD32C8" w:rsidP="00BD32C8">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Нематеријална имовина</w:t>
            </w:r>
          </w:p>
        </w:tc>
        <w:tc>
          <w:tcPr>
            <w:tcW w:w="1325" w:type="dxa"/>
            <w:shd w:val="clear" w:color="000000" w:fill="FFFFFF"/>
            <w:vAlign w:val="center"/>
            <w:hideMark/>
          </w:tcPr>
          <w:p w14:paraId="59A8E9E4" w14:textId="77777777" w:rsidR="00BD32C8" w:rsidRPr="00895819" w:rsidRDefault="00BD32C8" w:rsidP="00BD32C8">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8.520</w:t>
            </w:r>
          </w:p>
        </w:tc>
        <w:tc>
          <w:tcPr>
            <w:tcW w:w="1127" w:type="dxa"/>
            <w:shd w:val="clear" w:color="000000" w:fill="FFFFFF"/>
            <w:hideMark/>
          </w:tcPr>
          <w:p w14:paraId="4021BD13" w14:textId="77777777" w:rsidR="00BD32C8" w:rsidRPr="00895819" w:rsidRDefault="00BD32C8" w:rsidP="00BD32C8">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695F554C" w14:textId="77777777" w:rsidR="00BD32C8" w:rsidRPr="00895819" w:rsidRDefault="00BD32C8" w:rsidP="00BD32C8">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095824D2" w14:textId="77777777" w:rsidR="00BD32C8" w:rsidRPr="00895819" w:rsidRDefault="00BD32C8" w:rsidP="00BD32C8">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15894876" w14:textId="77777777" w:rsidR="00BD32C8" w:rsidRPr="00895819" w:rsidRDefault="00BD32C8" w:rsidP="00BD32C8">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8.520</w:t>
            </w:r>
          </w:p>
        </w:tc>
      </w:tr>
      <w:tr w:rsidR="00BD32C8" w:rsidRPr="00895819" w14:paraId="2F425DBC" w14:textId="77777777" w:rsidTr="00A072EF">
        <w:trPr>
          <w:trHeight w:val="630"/>
        </w:trPr>
        <w:tc>
          <w:tcPr>
            <w:tcW w:w="1332" w:type="dxa"/>
            <w:shd w:val="clear" w:color="auto" w:fill="auto"/>
            <w:vAlign w:val="center"/>
            <w:hideMark/>
          </w:tcPr>
          <w:p w14:paraId="71CF4D14" w14:textId="77777777" w:rsidR="00BD32C8" w:rsidRPr="00895819" w:rsidRDefault="00BD32C8" w:rsidP="00BD32C8">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Агенција за заштиту животне средине</w:t>
            </w:r>
          </w:p>
        </w:tc>
        <w:tc>
          <w:tcPr>
            <w:tcW w:w="2354" w:type="dxa"/>
            <w:shd w:val="clear" w:color="auto" w:fill="auto"/>
            <w:vAlign w:val="center"/>
            <w:hideMark/>
          </w:tcPr>
          <w:p w14:paraId="38CCF1F3" w14:textId="77777777" w:rsidR="00BD32C8" w:rsidRPr="00895819" w:rsidRDefault="00BD32C8" w:rsidP="00BD32C8">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Управљање заштитом животне средине</w:t>
            </w:r>
          </w:p>
        </w:tc>
        <w:tc>
          <w:tcPr>
            <w:tcW w:w="2376" w:type="dxa"/>
            <w:shd w:val="clear" w:color="auto" w:fill="auto"/>
            <w:vAlign w:val="center"/>
            <w:hideMark/>
          </w:tcPr>
          <w:p w14:paraId="296AD085" w14:textId="77777777" w:rsidR="00BD32C8" w:rsidRPr="00895819" w:rsidRDefault="00BD32C8" w:rsidP="00BD32C8">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Национална референтна лабораторија за контролу квалитета животне средине</w:t>
            </w:r>
          </w:p>
        </w:tc>
        <w:tc>
          <w:tcPr>
            <w:tcW w:w="1345" w:type="dxa"/>
            <w:shd w:val="clear" w:color="auto" w:fill="auto"/>
            <w:vAlign w:val="center"/>
            <w:hideMark/>
          </w:tcPr>
          <w:p w14:paraId="01CE3E9C" w14:textId="77777777" w:rsidR="00BD32C8" w:rsidRPr="00895819" w:rsidRDefault="00BD32C8" w:rsidP="00BD32C8">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Машине и опрема</w:t>
            </w:r>
          </w:p>
        </w:tc>
        <w:tc>
          <w:tcPr>
            <w:tcW w:w="1325" w:type="dxa"/>
            <w:shd w:val="clear" w:color="000000" w:fill="FFFFFF"/>
            <w:vAlign w:val="center"/>
            <w:hideMark/>
          </w:tcPr>
          <w:p w14:paraId="6044944D" w14:textId="77777777" w:rsidR="00BD32C8" w:rsidRPr="00895819" w:rsidRDefault="00BD32C8" w:rsidP="00BD32C8">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42.599</w:t>
            </w:r>
          </w:p>
        </w:tc>
        <w:tc>
          <w:tcPr>
            <w:tcW w:w="1127" w:type="dxa"/>
            <w:shd w:val="clear" w:color="000000" w:fill="FFFFFF"/>
            <w:hideMark/>
          </w:tcPr>
          <w:p w14:paraId="41FA3F91" w14:textId="77777777" w:rsidR="00BD32C8" w:rsidRPr="00895819" w:rsidRDefault="00BD32C8" w:rsidP="00BD32C8">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3865763E" w14:textId="77777777" w:rsidR="00BD32C8" w:rsidRPr="00895819" w:rsidRDefault="00BD32C8" w:rsidP="00BD32C8">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2775F6D3" w14:textId="77777777" w:rsidR="00BD32C8" w:rsidRPr="00895819" w:rsidRDefault="00BD32C8" w:rsidP="00BD32C8">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738ACF5F" w14:textId="77777777" w:rsidR="00BD32C8" w:rsidRPr="00895819" w:rsidRDefault="00BD32C8" w:rsidP="00BD32C8">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42.599</w:t>
            </w:r>
          </w:p>
        </w:tc>
      </w:tr>
      <w:tr w:rsidR="00BD32C8" w:rsidRPr="00895819" w14:paraId="5EE6E44E" w14:textId="77777777" w:rsidTr="00A072EF">
        <w:trPr>
          <w:trHeight w:val="630"/>
        </w:trPr>
        <w:tc>
          <w:tcPr>
            <w:tcW w:w="1332" w:type="dxa"/>
            <w:shd w:val="clear" w:color="auto" w:fill="auto"/>
            <w:vAlign w:val="center"/>
            <w:hideMark/>
          </w:tcPr>
          <w:p w14:paraId="2012B045" w14:textId="77777777" w:rsidR="00BD32C8" w:rsidRPr="00895819" w:rsidRDefault="00BD32C8" w:rsidP="00BD32C8">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Агенција за заштиту животне средине</w:t>
            </w:r>
          </w:p>
        </w:tc>
        <w:tc>
          <w:tcPr>
            <w:tcW w:w="2354" w:type="dxa"/>
            <w:shd w:val="clear" w:color="auto" w:fill="auto"/>
            <w:vAlign w:val="center"/>
            <w:hideMark/>
          </w:tcPr>
          <w:p w14:paraId="0800F8AC" w14:textId="77777777" w:rsidR="00BD32C8" w:rsidRPr="00895819" w:rsidRDefault="00BD32C8" w:rsidP="00BD32C8">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Управљање заштитом животне средине</w:t>
            </w:r>
          </w:p>
        </w:tc>
        <w:tc>
          <w:tcPr>
            <w:tcW w:w="2376" w:type="dxa"/>
            <w:shd w:val="clear" w:color="auto" w:fill="auto"/>
            <w:vAlign w:val="center"/>
            <w:hideMark/>
          </w:tcPr>
          <w:p w14:paraId="28509B67" w14:textId="77777777" w:rsidR="00BD32C8" w:rsidRPr="00895819" w:rsidRDefault="00BD32C8" w:rsidP="00BD32C8">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Информациони систем за заштиту животне средине</w:t>
            </w:r>
          </w:p>
        </w:tc>
        <w:tc>
          <w:tcPr>
            <w:tcW w:w="1345" w:type="dxa"/>
            <w:shd w:val="clear" w:color="auto" w:fill="auto"/>
            <w:vAlign w:val="center"/>
            <w:hideMark/>
          </w:tcPr>
          <w:p w14:paraId="37668BBF" w14:textId="77777777" w:rsidR="00BD32C8" w:rsidRPr="00895819" w:rsidRDefault="00BD32C8" w:rsidP="00BD32C8">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Зграде и грађевински објекти</w:t>
            </w:r>
          </w:p>
        </w:tc>
        <w:tc>
          <w:tcPr>
            <w:tcW w:w="1325" w:type="dxa"/>
            <w:shd w:val="clear" w:color="000000" w:fill="FFFFFF"/>
            <w:vAlign w:val="center"/>
            <w:hideMark/>
          </w:tcPr>
          <w:p w14:paraId="740BE33E" w14:textId="77777777" w:rsidR="00BD32C8" w:rsidRPr="00895819" w:rsidRDefault="00BD32C8" w:rsidP="00BD32C8">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159.003</w:t>
            </w:r>
          </w:p>
        </w:tc>
        <w:tc>
          <w:tcPr>
            <w:tcW w:w="1127" w:type="dxa"/>
            <w:shd w:val="clear" w:color="000000" w:fill="FFFFFF"/>
            <w:hideMark/>
          </w:tcPr>
          <w:p w14:paraId="0719BEF5" w14:textId="77777777" w:rsidR="00BD32C8" w:rsidRPr="00895819" w:rsidRDefault="00BD32C8" w:rsidP="00BD32C8">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01BF732E" w14:textId="77777777" w:rsidR="00BD32C8" w:rsidRPr="00895819" w:rsidRDefault="00BD32C8" w:rsidP="00BD32C8">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28B26BB4" w14:textId="77777777" w:rsidR="00BD32C8" w:rsidRPr="00895819" w:rsidRDefault="00BD32C8" w:rsidP="00BD32C8">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5FDA9083" w14:textId="77777777" w:rsidR="00BD32C8" w:rsidRPr="00895819" w:rsidRDefault="00BD32C8" w:rsidP="00BD32C8">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159.003</w:t>
            </w:r>
          </w:p>
        </w:tc>
      </w:tr>
      <w:tr w:rsidR="00222EAE" w:rsidRPr="00895819" w14:paraId="1E4D9325" w14:textId="77777777" w:rsidTr="00A072EF">
        <w:trPr>
          <w:trHeight w:val="630"/>
        </w:trPr>
        <w:tc>
          <w:tcPr>
            <w:tcW w:w="1332" w:type="dxa"/>
            <w:shd w:val="clear" w:color="auto" w:fill="auto"/>
            <w:vAlign w:val="center"/>
            <w:hideMark/>
          </w:tcPr>
          <w:p w14:paraId="5AD161B2" w14:textId="77777777" w:rsidR="00222EAE" w:rsidRPr="00895819" w:rsidRDefault="00222EAE" w:rsidP="00222EAE">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Агенција за заштиту животне средине</w:t>
            </w:r>
          </w:p>
        </w:tc>
        <w:tc>
          <w:tcPr>
            <w:tcW w:w="2354" w:type="dxa"/>
            <w:shd w:val="clear" w:color="auto" w:fill="auto"/>
            <w:vAlign w:val="center"/>
            <w:hideMark/>
          </w:tcPr>
          <w:p w14:paraId="2D9DCFF1" w14:textId="77777777" w:rsidR="00222EAE" w:rsidRPr="00895819" w:rsidRDefault="00222EAE" w:rsidP="00222EAE">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Управљање заштитом животне средине</w:t>
            </w:r>
          </w:p>
        </w:tc>
        <w:tc>
          <w:tcPr>
            <w:tcW w:w="2376" w:type="dxa"/>
            <w:shd w:val="clear" w:color="auto" w:fill="auto"/>
            <w:vAlign w:val="center"/>
            <w:hideMark/>
          </w:tcPr>
          <w:p w14:paraId="1A3F2812" w14:textId="77777777" w:rsidR="00222EAE" w:rsidRPr="00895819" w:rsidRDefault="00222EAE" w:rsidP="00222EAE">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Информациони систем за заштиту животне средине</w:t>
            </w:r>
          </w:p>
        </w:tc>
        <w:tc>
          <w:tcPr>
            <w:tcW w:w="1345" w:type="dxa"/>
            <w:shd w:val="clear" w:color="auto" w:fill="auto"/>
            <w:vAlign w:val="center"/>
            <w:hideMark/>
          </w:tcPr>
          <w:p w14:paraId="03F0F403" w14:textId="77777777" w:rsidR="00222EAE" w:rsidRPr="00895819" w:rsidRDefault="00222EAE" w:rsidP="00222EAE">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Машине и опрема</w:t>
            </w:r>
          </w:p>
        </w:tc>
        <w:tc>
          <w:tcPr>
            <w:tcW w:w="1325" w:type="dxa"/>
            <w:shd w:val="clear" w:color="000000" w:fill="FFFFFF"/>
            <w:vAlign w:val="center"/>
            <w:hideMark/>
          </w:tcPr>
          <w:p w14:paraId="4DCDD6C7" w14:textId="77777777" w:rsidR="00222EAE" w:rsidRPr="00895819" w:rsidRDefault="00222EAE" w:rsidP="00222EAE">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83.493</w:t>
            </w:r>
          </w:p>
        </w:tc>
        <w:tc>
          <w:tcPr>
            <w:tcW w:w="1127" w:type="dxa"/>
            <w:shd w:val="clear" w:color="000000" w:fill="FFFFFF"/>
            <w:hideMark/>
          </w:tcPr>
          <w:p w14:paraId="6CB57944" w14:textId="77777777" w:rsidR="00222EAE" w:rsidRPr="00895819" w:rsidRDefault="00222EAE" w:rsidP="00222EAE">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08FA11E7" w14:textId="77777777" w:rsidR="00222EAE" w:rsidRPr="00895819" w:rsidRDefault="00222EAE" w:rsidP="00222EAE">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7C8D897B" w14:textId="77777777" w:rsidR="00222EAE" w:rsidRPr="00895819" w:rsidRDefault="00222EAE" w:rsidP="00222EAE">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5CE02739" w14:textId="77777777" w:rsidR="00222EAE" w:rsidRPr="00895819" w:rsidRDefault="00222EAE" w:rsidP="00222EAE">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83.493</w:t>
            </w:r>
          </w:p>
        </w:tc>
      </w:tr>
      <w:tr w:rsidR="00222EAE" w:rsidRPr="00895819" w14:paraId="1275BF8E" w14:textId="77777777" w:rsidTr="00A072EF">
        <w:trPr>
          <w:trHeight w:val="630"/>
        </w:trPr>
        <w:tc>
          <w:tcPr>
            <w:tcW w:w="1332" w:type="dxa"/>
            <w:shd w:val="clear" w:color="auto" w:fill="auto"/>
            <w:vAlign w:val="center"/>
            <w:hideMark/>
          </w:tcPr>
          <w:p w14:paraId="2112B953" w14:textId="77777777" w:rsidR="00222EAE" w:rsidRPr="00895819" w:rsidRDefault="00222EAE" w:rsidP="00222EAE">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Агенција за заштиту животне средине</w:t>
            </w:r>
          </w:p>
        </w:tc>
        <w:tc>
          <w:tcPr>
            <w:tcW w:w="2354" w:type="dxa"/>
            <w:shd w:val="clear" w:color="auto" w:fill="auto"/>
            <w:vAlign w:val="center"/>
            <w:hideMark/>
          </w:tcPr>
          <w:p w14:paraId="665C788C" w14:textId="77777777" w:rsidR="00222EAE" w:rsidRPr="00895819" w:rsidRDefault="00222EAE" w:rsidP="00222EAE">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Управљање заштитом животне средине</w:t>
            </w:r>
          </w:p>
        </w:tc>
        <w:tc>
          <w:tcPr>
            <w:tcW w:w="2376" w:type="dxa"/>
            <w:shd w:val="clear" w:color="auto" w:fill="auto"/>
            <w:vAlign w:val="center"/>
            <w:hideMark/>
          </w:tcPr>
          <w:p w14:paraId="04897312" w14:textId="77777777" w:rsidR="00222EAE" w:rsidRPr="00895819" w:rsidRDefault="00222EAE" w:rsidP="00222EAE">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Информациони систем за заштиту животне средине</w:t>
            </w:r>
          </w:p>
        </w:tc>
        <w:tc>
          <w:tcPr>
            <w:tcW w:w="1345" w:type="dxa"/>
            <w:shd w:val="clear" w:color="auto" w:fill="auto"/>
            <w:vAlign w:val="center"/>
            <w:hideMark/>
          </w:tcPr>
          <w:p w14:paraId="281035B5" w14:textId="77777777" w:rsidR="00222EAE" w:rsidRPr="00895819" w:rsidRDefault="00222EAE" w:rsidP="00222EAE">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Нематеријална имовина</w:t>
            </w:r>
          </w:p>
        </w:tc>
        <w:tc>
          <w:tcPr>
            <w:tcW w:w="1325" w:type="dxa"/>
            <w:shd w:val="clear" w:color="000000" w:fill="FFFFFF"/>
            <w:vAlign w:val="center"/>
            <w:hideMark/>
          </w:tcPr>
          <w:p w14:paraId="10E93520" w14:textId="77777777" w:rsidR="00222EAE" w:rsidRPr="00895819" w:rsidRDefault="00222EAE" w:rsidP="00222EAE">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212.993</w:t>
            </w:r>
          </w:p>
        </w:tc>
        <w:tc>
          <w:tcPr>
            <w:tcW w:w="1127" w:type="dxa"/>
            <w:shd w:val="clear" w:color="000000" w:fill="FFFFFF"/>
            <w:hideMark/>
          </w:tcPr>
          <w:p w14:paraId="5DA7D454" w14:textId="77777777" w:rsidR="00222EAE" w:rsidRPr="00895819" w:rsidRDefault="00222EAE" w:rsidP="00222EAE">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0A899434" w14:textId="77777777" w:rsidR="00222EAE" w:rsidRPr="00895819" w:rsidRDefault="00222EAE" w:rsidP="00222EAE">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5B0741C4" w14:textId="77777777" w:rsidR="00222EAE" w:rsidRPr="00895819" w:rsidRDefault="00222EAE" w:rsidP="00222EAE">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4072E2DB" w14:textId="77777777" w:rsidR="00222EAE" w:rsidRPr="00895819" w:rsidRDefault="00222EAE" w:rsidP="00222EAE">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212.993</w:t>
            </w:r>
          </w:p>
        </w:tc>
      </w:tr>
      <w:tr w:rsidR="00222EAE" w:rsidRPr="00895819" w14:paraId="6CF37471" w14:textId="77777777" w:rsidTr="00A072EF">
        <w:trPr>
          <w:trHeight w:val="630"/>
        </w:trPr>
        <w:tc>
          <w:tcPr>
            <w:tcW w:w="1332" w:type="dxa"/>
            <w:shd w:val="clear" w:color="auto" w:fill="auto"/>
            <w:vAlign w:val="center"/>
            <w:hideMark/>
          </w:tcPr>
          <w:p w14:paraId="4A4275D0" w14:textId="77777777" w:rsidR="00222EAE" w:rsidRPr="00895819" w:rsidRDefault="00222EAE" w:rsidP="00222EAE">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Министарство рударства и енергетике</w:t>
            </w:r>
          </w:p>
        </w:tc>
        <w:tc>
          <w:tcPr>
            <w:tcW w:w="2354" w:type="dxa"/>
            <w:shd w:val="clear" w:color="auto" w:fill="auto"/>
            <w:vAlign w:val="center"/>
            <w:hideMark/>
          </w:tcPr>
          <w:p w14:paraId="72AE947C" w14:textId="77777777" w:rsidR="00222EAE" w:rsidRPr="00895819" w:rsidRDefault="00222EAE" w:rsidP="00222EAE">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Енергетска ефикасност</w:t>
            </w:r>
          </w:p>
        </w:tc>
        <w:tc>
          <w:tcPr>
            <w:tcW w:w="2376" w:type="dxa"/>
            <w:shd w:val="clear" w:color="auto" w:fill="auto"/>
            <w:vAlign w:val="center"/>
            <w:hideMark/>
          </w:tcPr>
          <w:p w14:paraId="2E8356C7" w14:textId="77777777" w:rsidR="00222EAE" w:rsidRPr="00895819" w:rsidRDefault="00222EAE" w:rsidP="00222EAE">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Мере за унапређење енергетске ефикасности</w:t>
            </w:r>
          </w:p>
        </w:tc>
        <w:tc>
          <w:tcPr>
            <w:tcW w:w="1345" w:type="dxa"/>
            <w:shd w:val="clear" w:color="auto" w:fill="auto"/>
            <w:vAlign w:val="center"/>
            <w:hideMark/>
          </w:tcPr>
          <w:p w14:paraId="7FA4E256" w14:textId="77777777" w:rsidR="00222EAE" w:rsidRPr="00895819" w:rsidRDefault="00222EAE" w:rsidP="00222EAE">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Трансфери осталим нивоима власти</w:t>
            </w:r>
          </w:p>
        </w:tc>
        <w:tc>
          <w:tcPr>
            <w:tcW w:w="1325" w:type="dxa"/>
            <w:shd w:val="clear" w:color="000000" w:fill="FFFFFF"/>
            <w:vAlign w:val="center"/>
            <w:hideMark/>
          </w:tcPr>
          <w:p w14:paraId="738BF978" w14:textId="77777777" w:rsidR="00222EAE" w:rsidRPr="00895819" w:rsidRDefault="00222EAE" w:rsidP="00222EAE">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4.115.433</w:t>
            </w:r>
          </w:p>
        </w:tc>
        <w:tc>
          <w:tcPr>
            <w:tcW w:w="1127" w:type="dxa"/>
            <w:shd w:val="clear" w:color="000000" w:fill="FFFFFF"/>
            <w:hideMark/>
          </w:tcPr>
          <w:p w14:paraId="5BEE7717" w14:textId="77777777" w:rsidR="00222EAE" w:rsidRPr="00895819" w:rsidRDefault="00222EAE" w:rsidP="00222EAE">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665B88FE" w14:textId="77777777" w:rsidR="00222EAE" w:rsidRPr="00895819" w:rsidRDefault="00222EAE" w:rsidP="00222EAE">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60A357BB" w14:textId="77777777" w:rsidR="00222EAE" w:rsidRPr="00895819" w:rsidRDefault="00222EAE" w:rsidP="00222EAE">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75698A81" w14:textId="77777777" w:rsidR="00222EAE" w:rsidRPr="00895819" w:rsidRDefault="00222EAE" w:rsidP="00222EAE">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4.115.433</w:t>
            </w:r>
          </w:p>
        </w:tc>
      </w:tr>
      <w:tr w:rsidR="00222EAE" w:rsidRPr="00895819" w14:paraId="3BF3FE65" w14:textId="77777777" w:rsidTr="00A072EF">
        <w:trPr>
          <w:trHeight w:val="630"/>
        </w:trPr>
        <w:tc>
          <w:tcPr>
            <w:tcW w:w="1332" w:type="dxa"/>
            <w:shd w:val="clear" w:color="auto" w:fill="auto"/>
            <w:vAlign w:val="center"/>
            <w:hideMark/>
          </w:tcPr>
          <w:p w14:paraId="52C6FD60" w14:textId="77777777" w:rsidR="00222EAE" w:rsidRPr="00895819" w:rsidRDefault="00222EAE" w:rsidP="00222EAE">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Министарство рударства и енергетике</w:t>
            </w:r>
          </w:p>
        </w:tc>
        <w:tc>
          <w:tcPr>
            <w:tcW w:w="2354" w:type="dxa"/>
            <w:shd w:val="clear" w:color="auto" w:fill="auto"/>
            <w:vAlign w:val="center"/>
            <w:hideMark/>
          </w:tcPr>
          <w:p w14:paraId="36F31C20" w14:textId="77777777" w:rsidR="00222EAE" w:rsidRPr="00895819" w:rsidRDefault="00222EAE" w:rsidP="00222EAE">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Енергетска ефикасност</w:t>
            </w:r>
          </w:p>
        </w:tc>
        <w:tc>
          <w:tcPr>
            <w:tcW w:w="2376" w:type="dxa"/>
            <w:shd w:val="clear" w:color="auto" w:fill="auto"/>
            <w:vAlign w:val="center"/>
            <w:hideMark/>
          </w:tcPr>
          <w:p w14:paraId="278ABFB5" w14:textId="77777777" w:rsidR="00222EAE" w:rsidRPr="00895819" w:rsidRDefault="00222EAE" w:rsidP="00222EAE">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 xml:space="preserve">Енергетска ефикасност и управљање енергијом у општинама у Србији </w:t>
            </w:r>
          </w:p>
        </w:tc>
        <w:tc>
          <w:tcPr>
            <w:tcW w:w="1345" w:type="dxa"/>
            <w:shd w:val="clear" w:color="auto" w:fill="auto"/>
            <w:vAlign w:val="center"/>
            <w:hideMark/>
          </w:tcPr>
          <w:p w14:paraId="10E9528E" w14:textId="77777777" w:rsidR="00222EAE" w:rsidRPr="00895819" w:rsidRDefault="00222EAE" w:rsidP="00222EAE">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Трансфери осталим нивоима власти</w:t>
            </w:r>
          </w:p>
        </w:tc>
        <w:tc>
          <w:tcPr>
            <w:tcW w:w="1325" w:type="dxa"/>
            <w:shd w:val="clear" w:color="000000" w:fill="FFFFFF"/>
            <w:vAlign w:val="center"/>
            <w:hideMark/>
          </w:tcPr>
          <w:p w14:paraId="6210D638" w14:textId="77777777" w:rsidR="00222EAE" w:rsidRPr="00895819" w:rsidRDefault="00222EAE" w:rsidP="00222EAE">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851.970</w:t>
            </w:r>
          </w:p>
        </w:tc>
        <w:tc>
          <w:tcPr>
            <w:tcW w:w="1127" w:type="dxa"/>
            <w:shd w:val="clear" w:color="000000" w:fill="FFFFFF"/>
            <w:hideMark/>
          </w:tcPr>
          <w:p w14:paraId="3AF70ADF" w14:textId="77777777" w:rsidR="00222EAE" w:rsidRPr="00895819" w:rsidRDefault="00222EAE" w:rsidP="00222EAE">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3268CF66" w14:textId="77777777" w:rsidR="00222EAE" w:rsidRPr="00895819" w:rsidRDefault="00222EAE" w:rsidP="00222EAE">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79E95358" w14:textId="77777777" w:rsidR="00222EAE" w:rsidRPr="00895819" w:rsidRDefault="00222EAE" w:rsidP="00222EAE">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072F4844" w14:textId="77777777" w:rsidR="00222EAE" w:rsidRPr="00895819" w:rsidRDefault="00222EAE" w:rsidP="00222EAE">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851.970</w:t>
            </w:r>
          </w:p>
        </w:tc>
      </w:tr>
      <w:tr w:rsidR="00222EAE" w:rsidRPr="00895819" w14:paraId="192C1149" w14:textId="77777777" w:rsidTr="00A072EF">
        <w:trPr>
          <w:trHeight w:val="630"/>
        </w:trPr>
        <w:tc>
          <w:tcPr>
            <w:tcW w:w="1332" w:type="dxa"/>
            <w:shd w:val="clear" w:color="auto" w:fill="auto"/>
            <w:vAlign w:val="center"/>
            <w:hideMark/>
          </w:tcPr>
          <w:p w14:paraId="1A732A2E" w14:textId="77777777" w:rsidR="00222EAE" w:rsidRPr="00895819" w:rsidRDefault="00222EAE" w:rsidP="00222EAE">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Министарство рударства и енергетике</w:t>
            </w:r>
          </w:p>
        </w:tc>
        <w:tc>
          <w:tcPr>
            <w:tcW w:w="2354" w:type="dxa"/>
            <w:shd w:val="clear" w:color="auto" w:fill="auto"/>
            <w:vAlign w:val="center"/>
            <w:hideMark/>
          </w:tcPr>
          <w:p w14:paraId="4F25F71C" w14:textId="77777777" w:rsidR="00222EAE" w:rsidRPr="00895819" w:rsidRDefault="00222EAE" w:rsidP="00222EAE">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Енергетска ефикасност</w:t>
            </w:r>
          </w:p>
        </w:tc>
        <w:tc>
          <w:tcPr>
            <w:tcW w:w="2376" w:type="dxa"/>
            <w:shd w:val="clear" w:color="auto" w:fill="auto"/>
            <w:vAlign w:val="center"/>
            <w:hideMark/>
          </w:tcPr>
          <w:p w14:paraId="7E85C330" w14:textId="77777777" w:rsidR="00222EAE" w:rsidRPr="00895819" w:rsidRDefault="00222EAE" w:rsidP="00222EAE">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Рехабилитација система даљинског грејања у Републици Србији – фаза V</w:t>
            </w:r>
          </w:p>
        </w:tc>
        <w:tc>
          <w:tcPr>
            <w:tcW w:w="1345" w:type="dxa"/>
            <w:shd w:val="clear" w:color="auto" w:fill="auto"/>
            <w:vAlign w:val="center"/>
            <w:hideMark/>
          </w:tcPr>
          <w:p w14:paraId="6C9DF65B" w14:textId="77777777" w:rsidR="00222EAE" w:rsidRPr="00895819" w:rsidRDefault="00222EAE" w:rsidP="00222EAE">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Набавка домаће финансијске имовине</w:t>
            </w:r>
          </w:p>
        </w:tc>
        <w:tc>
          <w:tcPr>
            <w:tcW w:w="1325" w:type="dxa"/>
            <w:shd w:val="clear" w:color="000000" w:fill="FFFFFF"/>
            <w:vAlign w:val="center"/>
            <w:hideMark/>
          </w:tcPr>
          <w:p w14:paraId="0300ECE2" w14:textId="77777777" w:rsidR="00222EAE" w:rsidRPr="00895819" w:rsidRDefault="00222EAE" w:rsidP="00222EAE">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1.277.955</w:t>
            </w:r>
          </w:p>
        </w:tc>
        <w:tc>
          <w:tcPr>
            <w:tcW w:w="1127" w:type="dxa"/>
            <w:shd w:val="clear" w:color="000000" w:fill="FFFFFF"/>
            <w:hideMark/>
          </w:tcPr>
          <w:p w14:paraId="558C5C43" w14:textId="77777777" w:rsidR="00222EAE" w:rsidRPr="00895819" w:rsidRDefault="00222EAE" w:rsidP="00222EAE">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04BC5F19" w14:textId="77777777" w:rsidR="00222EAE" w:rsidRPr="00895819" w:rsidRDefault="00222EAE" w:rsidP="00222EAE">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4998E3A6" w14:textId="77777777" w:rsidR="00222EAE" w:rsidRPr="00895819" w:rsidRDefault="00222EAE" w:rsidP="00222EAE">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09623F89" w14:textId="77777777" w:rsidR="00222EAE" w:rsidRPr="00895819" w:rsidRDefault="00222EAE" w:rsidP="00222EAE">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1.277.955</w:t>
            </w:r>
          </w:p>
        </w:tc>
      </w:tr>
      <w:tr w:rsidR="004B6ECE" w:rsidRPr="00895819" w14:paraId="54A15CAD" w14:textId="77777777" w:rsidTr="00A072EF">
        <w:trPr>
          <w:trHeight w:val="630"/>
        </w:trPr>
        <w:tc>
          <w:tcPr>
            <w:tcW w:w="1332" w:type="dxa"/>
            <w:shd w:val="clear" w:color="auto" w:fill="auto"/>
            <w:vAlign w:val="center"/>
            <w:hideMark/>
          </w:tcPr>
          <w:p w14:paraId="4A9FDEEE" w14:textId="77777777" w:rsidR="004B6ECE" w:rsidRPr="00895819" w:rsidRDefault="004B6ECE" w:rsidP="004B6ECE">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lastRenderedPageBreak/>
              <w:t>Министарство рударства и енергетике</w:t>
            </w:r>
          </w:p>
        </w:tc>
        <w:tc>
          <w:tcPr>
            <w:tcW w:w="2354" w:type="dxa"/>
            <w:shd w:val="clear" w:color="auto" w:fill="auto"/>
            <w:vAlign w:val="center"/>
            <w:hideMark/>
          </w:tcPr>
          <w:p w14:paraId="72384040" w14:textId="77777777" w:rsidR="004B6ECE" w:rsidRPr="00895819" w:rsidRDefault="004B6ECE" w:rsidP="004B6ECE">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Енергетска ефикасност</w:t>
            </w:r>
          </w:p>
        </w:tc>
        <w:tc>
          <w:tcPr>
            <w:tcW w:w="2376" w:type="dxa"/>
            <w:shd w:val="clear" w:color="auto" w:fill="auto"/>
            <w:vAlign w:val="center"/>
            <w:hideMark/>
          </w:tcPr>
          <w:p w14:paraId="7305D7C0" w14:textId="77777777" w:rsidR="004B6ECE" w:rsidRPr="00895819" w:rsidRDefault="004B6ECE" w:rsidP="004B6ECE">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 xml:space="preserve">Енергетска ефикасност у објектима органа државне управе </w:t>
            </w:r>
          </w:p>
        </w:tc>
        <w:tc>
          <w:tcPr>
            <w:tcW w:w="1345" w:type="dxa"/>
            <w:shd w:val="clear" w:color="auto" w:fill="auto"/>
            <w:vAlign w:val="center"/>
            <w:hideMark/>
          </w:tcPr>
          <w:p w14:paraId="4232CE5F" w14:textId="77777777" w:rsidR="004B6ECE" w:rsidRPr="00895819" w:rsidRDefault="004B6ECE" w:rsidP="004B6ECE">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Зграде и грађевински објекти</w:t>
            </w:r>
          </w:p>
        </w:tc>
        <w:tc>
          <w:tcPr>
            <w:tcW w:w="1325" w:type="dxa"/>
            <w:shd w:val="clear" w:color="000000" w:fill="FFFFFF"/>
            <w:vAlign w:val="center"/>
            <w:hideMark/>
          </w:tcPr>
          <w:p w14:paraId="3223E276" w14:textId="77777777" w:rsidR="004B6ECE" w:rsidRPr="00895819" w:rsidRDefault="004B6ECE" w:rsidP="004B6ECE">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937.167</w:t>
            </w:r>
          </w:p>
        </w:tc>
        <w:tc>
          <w:tcPr>
            <w:tcW w:w="1127" w:type="dxa"/>
            <w:shd w:val="clear" w:color="000000" w:fill="FFFFFF"/>
            <w:hideMark/>
          </w:tcPr>
          <w:p w14:paraId="25B39B71" w14:textId="77777777" w:rsidR="004B6ECE" w:rsidRPr="00895819" w:rsidRDefault="004B6ECE" w:rsidP="004B6ECE">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765EF7F8" w14:textId="77777777" w:rsidR="004B6ECE" w:rsidRPr="00895819" w:rsidRDefault="004B6ECE" w:rsidP="004B6ECE">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345BCE98" w14:textId="77777777" w:rsidR="004B6ECE" w:rsidRPr="00895819" w:rsidRDefault="004B6ECE" w:rsidP="004B6ECE">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41116D78" w14:textId="77777777" w:rsidR="004B6ECE" w:rsidRPr="00895819" w:rsidRDefault="004B6ECE" w:rsidP="004B6ECE">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937.167</w:t>
            </w:r>
          </w:p>
        </w:tc>
      </w:tr>
      <w:tr w:rsidR="004B6ECE" w:rsidRPr="00895819" w14:paraId="7AAE4C00" w14:textId="77777777" w:rsidTr="00A072EF">
        <w:trPr>
          <w:trHeight w:val="630"/>
        </w:trPr>
        <w:tc>
          <w:tcPr>
            <w:tcW w:w="1332" w:type="dxa"/>
            <w:shd w:val="clear" w:color="auto" w:fill="auto"/>
            <w:vAlign w:val="center"/>
            <w:hideMark/>
          </w:tcPr>
          <w:p w14:paraId="4D6D28A5" w14:textId="77777777" w:rsidR="004B6ECE" w:rsidRPr="00895819" w:rsidRDefault="004B6ECE" w:rsidP="004B6ECE">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Министарство рударства и енергетике</w:t>
            </w:r>
          </w:p>
        </w:tc>
        <w:tc>
          <w:tcPr>
            <w:tcW w:w="2354" w:type="dxa"/>
            <w:shd w:val="clear" w:color="auto" w:fill="auto"/>
            <w:vAlign w:val="center"/>
            <w:hideMark/>
          </w:tcPr>
          <w:p w14:paraId="6FBD2CF0" w14:textId="77777777" w:rsidR="004B6ECE" w:rsidRPr="00895819" w:rsidRDefault="004B6ECE" w:rsidP="004B6ECE">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Енергетска ефикасност</w:t>
            </w:r>
          </w:p>
        </w:tc>
        <w:tc>
          <w:tcPr>
            <w:tcW w:w="2376" w:type="dxa"/>
            <w:shd w:val="clear" w:color="auto" w:fill="auto"/>
            <w:vAlign w:val="center"/>
            <w:hideMark/>
          </w:tcPr>
          <w:p w14:paraId="4771DBB6" w14:textId="77777777" w:rsidR="004B6ECE" w:rsidRPr="00895819" w:rsidRDefault="004B6ECE" w:rsidP="004B6ECE">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 xml:space="preserve">Енергетска ефикасност у јавним зградама и обновљиви извори енергије у сектору даљинског грејања  </w:t>
            </w:r>
          </w:p>
        </w:tc>
        <w:tc>
          <w:tcPr>
            <w:tcW w:w="1345" w:type="dxa"/>
            <w:shd w:val="clear" w:color="auto" w:fill="auto"/>
            <w:vAlign w:val="center"/>
            <w:hideMark/>
          </w:tcPr>
          <w:p w14:paraId="7606BDF0" w14:textId="77777777" w:rsidR="004B6ECE" w:rsidRPr="00895819" w:rsidRDefault="004B6ECE" w:rsidP="004B6ECE">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Зграде и грађевински објекти</w:t>
            </w:r>
          </w:p>
        </w:tc>
        <w:tc>
          <w:tcPr>
            <w:tcW w:w="1325" w:type="dxa"/>
            <w:shd w:val="clear" w:color="000000" w:fill="FFFFFF"/>
            <w:vAlign w:val="center"/>
            <w:hideMark/>
          </w:tcPr>
          <w:p w14:paraId="7BB1A4CF" w14:textId="77777777" w:rsidR="004B6ECE" w:rsidRPr="00895819" w:rsidRDefault="004B6ECE" w:rsidP="004B6ECE">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937.167</w:t>
            </w:r>
          </w:p>
        </w:tc>
        <w:tc>
          <w:tcPr>
            <w:tcW w:w="1127" w:type="dxa"/>
            <w:shd w:val="clear" w:color="000000" w:fill="FFFFFF"/>
            <w:hideMark/>
          </w:tcPr>
          <w:p w14:paraId="690C8684" w14:textId="77777777" w:rsidR="004B6ECE" w:rsidRPr="00895819" w:rsidRDefault="004B6ECE" w:rsidP="004B6ECE">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209176C2" w14:textId="77777777" w:rsidR="004B6ECE" w:rsidRPr="00895819" w:rsidRDefault="004B6ECE" w:rsidP="004B6ECE">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0785AD2C" w14:textId="77777777" w:rsidR="004B6ECE" w:rsidRPr="00895819" w:rsidRDefault="004B6ECE" w:rsidP="004B6ECE">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2E512968" w14:textId="77777777" w:rsidR="004B6ECE" w:rsidRPr="00895819" w:rsidRDefault="004B6ECE" w:rsidP="004B6ECE">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937.167</w:t>
            </w:r>
          </w:p>
        </w:tc>
      </w:tr>
      <w:tr w:rsidR="004B6ECE" w:rsidRPr="00895819" w14:paraId="0C2AD725" w14:textId="77777777" w:rsidTr="00A072EF">
        <w:trPr>
          <w:trHeight w:val="630"/>
        </w:trPr>
        <w:tc>
          <w:tcPr>
            <w:tcW w:w="1332" w:type="dxa"/>
            <w:shd w:val="clear" w:color="auto" w:fill="auto"/>
            <w:vAlign w:val="center"/>
            <w:hideMark/>
          </w:tcPr>
          <w:p w14:paraId="0BA6984F" w14:textId="77777777" w:rsidR="004B6ECE" w:rsidRPr="00895819" w:rsidRDefault="004B6ECE" w:rsidP="004B6ECE">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Републички секретаријат за јавне политике</w:t>
            </w:r>
          </w:p>
        </w:tc>
        <w:tc>
          <w:tcPr>
            <w:tcW w:w="2354" w:type="dxa"/>
            <w:shd w:val="clear" w:color="auto" w:fill="auto"/>
            <w:vAlign w:val="center"/>
            <w:hideMark/>
          </w:tcPr>
          <w:p w14:paraId="112DCF5E" w14:textId="77777777" w:rsidR="004B6ECE" w:rsidRPr="00895819" w:rsidRDefault="004B6ECE" w:rsidP="004B6ECE">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Развој система јавне политике</w:t>
            </w:r>
          </w:p>
        </w:tc>
        <w:tc>
          <w:tcPr>
            <w:tcW w:w="2376" w:type="dxa"/>
            <w:shd w:val="clear" w:color="auto" w:fill="auto"/>
            <w:vAlign w:val="center"/>
            <w:hideMark/>
          </w:tcPr>
          <w:p w14:paraId="2578F343" w14:textId="77777777" w:rsidR="004B6ECE" w:rsidRPr="00895819" w:rsidRDefault="004B6ECE" w:rsidP="004B6ECE">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Анализа ефеката прописа</w:t>
            </w:r>
          </w:p>
        </w:tc>
        <w:tc>
          <w:tcPr>
            <w:tcW w:w="1345" w:type="dxa"/>
            <w:shd w:val="clear" w:color="auto" w:fill="auto"/>
            <w:vAlign w:val="center"/>
            <w:hideMark/>
          </w:tcPr>
          <w:p w14:paraId="2C1907F7" w14:textId="77777777" w:rsidR="004B6ECE" w:rsidRPr="00895819" w:rsidRDefault="004B6ECE" w:rsidP="004B6ECE">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Машине и опрема</w:t>
            </w:r>
          </w:p>
        </w:tc>
        <w:tc>
          <w:tcPr>
            <w:tcW w:w="1325" w:type="dxa"/>
            <w:shd w:val="clear" w:color="000000" w:fill="FFFFFF"/>
            <w:vAlign w:val="center"/>
            <w:hideMark/>
          </w:tcPr>
          <w:p w14:paraId="5753522A" w14:textId="77777777" w:rsidR="004B6ECE" w:rsidRPr="00895819" w:rsidRDefault="004B6ECE" w:rsidP="004B6ECE">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34.079</w:t>
            </w:r>
          </w:p>
        </w:tc>
        <w:tc>
          <w:tcPr>
            <w:tcW w:w="1127" w:type="dxa"/>
            <w:shd w:val="clear" w:color="000000" w:fill="FFFFFF"/>
            <w:hideMark/>
          </w:tcPr>
          <w:p w14:paraId="32840161" w14:textId="77777777" w:rsidR="004B6ECE" w:rsidRPr="00895819" w:rsidRDefault="004B6ECE" w:rsidP="004B6ECE">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0D35C434" w14:textId="77777777" w:rsidR="004B6ECE" w:rsidRPr="00895819" w:rsidRDefault="004B6ECE" w:rsidP="004B6ECE">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62B4A9D3" w14:textId="77777777" w:rsidR="004B6ECE" w:rsidRPr="00895819" w:rsidRDefault="004B6ECE" w:rsidP="004B6ECE">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47E3E090" w14:textId="77777777" w:rsidR="004B6ECE" w:rsidRPr="00895819" w:rsidRDefault="004B6ECE" w:rsidP="004B6ECE">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34.079</w:t>
            </w:r>
          </w:p>
        </w:tc>
      </w:tr>
      <w:tr w:rsidR="004B6ECE" w:rsidRPr="00895819" w14:paraId="241A9693" w14:textId="77777777" w:rsidTr="00A072EF">
        <w:trPr>
          <w:trHeight w:val="630"/>
        </w:trPr>
        <w:tc>
          <w:tcPr>
            <w:tcW w:w="1332" w:type="dxa"/>
            <w:shd w:val="clear" w:color="auto" w:fill="auto"/>
            <w:vAlign w:val="center"/>
            <w:hideMark/>
          </w:tcPr>
          <w:p w14:paraId="628C7052" w14:textId="77777777" w:rsidR="004B6ECE" w:rsidRPr="00895819" w:rsidRDefault="004B6ECE" w:rsidP="004B6ECE">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Републички секретаријат за јавне политике</w:t>
            </w:r>
          </w:p>
        </w:tc>
        <w:tc>
          <w:tcPr>
            <w:tcW w:w="2354" w:type="dxa"/>
            <w:shd w:val="clear" w:color="auto" w:fill="auto"/>
            <w:vAlign w:val="center"/>
            <w:hideMark/>
          </w:tcPr>
          <w:p w14:paraId="40BDD760" w14:textId="77777777" w:rsidR="004B6ECE" w:rsidRPr="00895819" w:rsidRDefault="004B6ECE" w:rsidP="004B6ECE">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Развој система јавне политике</w:t>
            </w:r>
          </w:p>
        </w:tc>
        <w:tc>
          <w:tcPr>
            <w:tcW w:w="2376" w:type="dxa"/>
            <w:shd w:val="clear" w:color="auto" w:fill="auto"/>
            <w:vAlign w:val="center"/>
            <w:hideMark/>
          </w:tcPr>
          <w:p w14:paraId="4DFC52B1" w14:textId="77777777" w:rsidR="004B6ECE" w:rsidRPr="00895819" w:rsidRDefault="004B6ECE" w:rsidP="004B6ECE">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Анализа ефеката прописа</w:t>
            </w:r>
          </w:p>
        </w:tc>
        <w:tc>
          <w:tcPr>
            <w:tcW w:w="1345" w:type="dxa"/>
            <w:shd w:val="clear" w:color="auto" w:fill="auto"/>
            <w:vAlign w:val="center"/>
            <w:hideMark/>
          </w:tcPr>
          <w:p w14:paraId="63FD41D1" w14:textId="77777777" w:rsidR="004B6ECE" w:rsidRPr="00895819" w:rsidRDefault="004B6ECE" w:rsidP="004B6ECE">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Нематеријална имовина</w:t>
            </w:r>
          </w:p>
        </w:tc>
        <w:tc>
          <w:tcPr>
            <w:tcW w:w="1325" w:type="dxa"/>
            <w:shd w:val="clear" w:color="000000" w:fill="FFFFFF"/>
            <w:vAlign w:val="center"/>
            <w:hideMark/>
          </w:tcPr>
          <w:p w14:paraId="05D2CFE3" w14:textId="77777777" w:rsidR="004B6ECE" w:rsidRPr="00895819" w:rsidRDefault="004B6ECE" w:rsidP="004B6ECE">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34.079</w:t>
            </w:r>
          </w:p>
        </w:tc>
        <w:tc>
          <w:tcPr>
            <w:tcW w:w="1127" w:type="dxa"/>
            <w:shd w:val="clear" w:color="000000" w:fill="FFFFFF"/>
            <w:hideMark/>
          </w:tcPr>
          <w:p w14:paraId="037DEC98" w14:textId="77777777" w:rsidR="004B6ECE" w:rsidRPr="00895819" w:rsidRDefault="004B6ECE" w:rsidP="004B6ECE">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10EA2E61" w14:textId="77777777" w:rsidR="004B6ECE" w:rsidRPr="00895819" w:rsidRDefault="004B6ECE" w:rsidP="004B6ECE">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03020AB2" w14:textId="77777777" w:rsidR="004B6ECE" w:rsidRPr="00895819" w:rsidRDefault="004B6ECE" w:rsidP="004B6ECE">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0060FEC6" w14:textId="77777777" w:rsidR="004B6ECE" w:rsidRPr="00895819" w:rsidRDefault="004B6ECE" w:rsidP="004B6ECE">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34.079</w:t>
            </w:r>
          </w:p>
        </w:tc>
      </w:tr>
      <w:tr w:rsidR="004B6ECE" w:rsidRPr="00895819" w14:paraId="52A7D69C" w14:textId="77777777" w:rsidTr="00A072EF">
        <w:trPr>
          <w:trHeight w:val="630"/>
        </w:trPr>
        <w:tc>
          <w:tcPr>
            <w:tcW w:w="1332" w:type="dxa"/>
            <w:shd w:val="clear" w:color="auto" w:fill="auto"/>
            <w:vAlign w:val="center"/>
            <w:hideMark/>
          </w:tcPr>
          <w:p w14:paraId="2B0F490F" w14:textId="77777777" w:rsidR="004B6ECE" w:rsidRPr="00895819" w:rsidRDefault="004B6ECE" w:rsidP="004B6ECE">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Републичка дирекција за имовину</w:t>
            </w:r>
          </w:p>
        </w:tc>
        <w:tc>
          <w:tcPr>
            <w:tcW w:w="2354" w:type="dxa"/>
            <w:shd w:val="clear" w:color="auto" w:fill="auto"/>
            <w:vAlign w:val="center"/>
            <w:hideMark/>
          </w:tcPr>
          <w:p w14:paraId="04728EDB" w14:textId="77777777" w:rsidR="004B6ECE" w:rsidRPr="00895819" w:rsidRDefault="004B6ECE" w:rsidP="004B6ECE">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Евиденција, управљање и располагање јавном имовином</w:t>
            </w:r>
          </w:p>
        </w:tc>
        <w:tc>
          <w:tcPr>
            <w:tcW w:w="2376" w:type="dxa"/>
            <w:shd w:val="clear" w:color="auto" w:fill="auto"/>
            <w:vAlign w:val="center"/>
            <w:hideMark/>
          </w:tcPr>
          <w:p w14:paraId="39DF2932" w14:textId="77777777" w:rsidR="004B6ECE" w:rsidRPr="00895819" w:rsidRDefault="004B6ECE" w:rsidP="004B6ECE">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Упис права својине и других стварних права на непокретностима</w:t>
            </w:r>
          </w:p>
        </w:tc>
        <w:tc>
          <w:tcPr>
            <w:tcW w:w="1345" w:type="dxa"/>
            <w:shd w:val="clear" w:color="auto" w:fill="auto"/>
            <w:vAlign w:val="center"/>
            <w:hideMark/>
          </w:tcPr>
          <w:p w14:paraId="413C4180" w14:textId="77777777" w:rsidR="004B6ECE" w:rsidRPr="00895819" w:rsidRDefault="004B6ECE" w:rsidP="004B6ECE">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Нематеријална имовина</w:t>
            </w:r>
          </w:p>
        </w:tc>
        <w:tc>
          <w:tcPr>
            <w:tcW w:w="1325" w:type="dxa"/>
            <w:shd w:val="clear" w:color="000000" w:fill="FFFFFF"/>
            <w:vAlign w:val="center"/>
            <w:hideMark/>
          </w:tcPr>
          <w:p w14:paraId="3FA99947" w14:textId="77777777" w:rsidR="004B6ECE" w:rsidRPr="00895819" w:rsidRDefault="004B6ECE" w:rsidP="004B6ECE">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141.427</w:t>
            </w:r>
          </w:p>
        </w:tc>
        <w:tc>
          <w:tcPr>
            <w:tcW w:w="1127" w:type="dxa"/>
            <w:shd w:val="clear" w:color="000000" w:fill="FFFFFF"/>
            <w:hideMark/>
          </w:tcPr>
          <w:p w14:paraId="686A0119" w14:textId="77777777" w:rsidR="004B6ECE" w:rsidRPr="00895819" w:rsidRDefault="004B6ECE" w:rsidP="004B6ECE">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45B900C9" w14:textId="77777777" w:rsidR="004B6ECE" w:rsidRPr="00895819" w:rsidRDefault="004B6ECE" w:rsidP="004B6ECE">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655FFDA7" w14:textId="77777777" w:rsidR="004B6ECE" w:rsidRPr="00895819" w:rsidRDefault="004B6ECE" w:rsidP="004B6ECE">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2E92D951" w14:textId="77777777" w:rsidR="004B6ECE" w:rsidRPr="00895819" w:rsidRDefault="004B6ECE" w:rsidP="004B6ECE">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141.427</w:t>
            </w:r>
          </w:p>
        </w:tc>
      </w:tr>
      <w:tr w:rsidR="008C730C" w:rsidRPr="00895819" w14:paraId="66141EF4" w14:textId="77777777" w:rsidTr="00A072EF">
        <w:trPr>
          <w:trHeight w:val="630"/>
        </w:trPr>
        <w:tc>
          <w:tcPr>
            <w:tcW w:w="1332" w:type="dxa"/>
            <w:shd w:val="clear" w:color="auto" w:fill="auto"/>
            <w:vAlign w:val="center"/>
            <w:hideMark/>
          </w:tcPr>
          <w:p w14:paraId="0BE104E1" w14:textId="77777777" w:rsidR="008C730C" w:rsidRPr="00895819" w:rsidRDefault="008C730C" w:rsidP="008C730C">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Управа за јавне набавке</w:t>
            </w:r>
          </w:p>
        </w:tc>
        <w:tc>
          <w:tcPr>
            <w:tcW w:w="2354" w:type="dxa"/>
            <w:shd w:val="clear" w:color="auto" w:fill="auto"/>
            <w:vAlign w:val="center"/>
            <w:hideMark/>
          </w:tcPr>
          <w:p w14:paraId="5284D5EC" w14:textId="77777777" w:rsidR="008C730C" w:rsidRPr="00895819" w:rsidRDefault="008C730C" w:rsidP="008C730C">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Систем развоја и заштите права у јавном набавкама</w:t>
            </w:r>
          </w:p>
        </w:tc>
        <w:tc>
          <w:tcPr>
            <w:tcW w:w="2376" w:type="dxa"/>
            <w:shd w:val="clear" w:color="auto" w:fill="auto"/>
            <w:vAlign w:val="center"/>
            <w:hideMark/>
          </w:tcPr>
          <w:p w14:paraId="4D0FA2B0" w14:textId="77777777" w:rsidR="008C730C" w:rsidRPr="00895819" w:rsidRDefault="008C730C" w:rsidP="008C730C">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 xml:space="preserve">Развој и праћење система јавних набавки </w:t>
            </w:r>
          </w:p>
        </w:tc>
        <w:tc>
          <w:tcPr>
            <w:tcW w:w="1345" w:type="dxa"/>
            <w:shd w:val="clear" w:color="auto" w:fill="auto"/>
            <w:vAlign w:val="center"/>
            <w:hideMark/>
          </w:tcPr>
          <w:p w14:paraId="6BE11F9D" w14:textId="77777777" w:rsidR="008C730C" w:rsidRPr="00895819" w:rsidRDefault="008C730C" w:rsidP="008C730C">
            <w:pPr>
              <w:jc w:val="left"/>
              <w:rPr>
                <w:rFonts w:ascii="Calibri" w:hAnsi="Calibri" w:cs="Calibri"/>
                <w:color w:val="000000"/>
                <w:sz w:val="16"/>
                <w:szCs w:val="16"/>
                <w:lang w:val="sr-Cyrl-CS"/>
              </w:rPr>
            </w:pPr>
            <w:r w:rsidRPr="00895819">
              <w:rPr>
                <w:rFonts w:ascii="Calibri" w:hAnsi="Calibri" w:cs="Calibri"/>
                <w:color w:val="000000"/>
                <w:sz w:val="16"/>
                <w:szCs w:val="16"/>
                <w:lang w:val="sr-Cyrl-CS"/>
              </w:rPr>
              <w:t>Машине и опрема</w:t>
            </w:r>
          </w:p>
        </w:tc>
        <w:tc>
          <w:tcPr>
            <w:tcW w:w="1325" w:type="dxa"/>
            <w:shd w:val="clear" w:color="000000" w:fill="FFFFFF"/>
            <w:vAlign w:val="center"/>
            <w:hideMark/>
          </w:tcPr>
          <w:p w14:paraId="3686B688" w14:textId="77777777" w:rsidR="008C730C" w:rsidRPr="00895819" w:rsidRDefault="008C730C" w:rsidP="008C730C">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8.520</w:t>
            </w:r>
          </w:p>
        </w:tc>
        <w:tc>
          <w:tcPr>
            <w:tcW w:w="1127" w:type="dxa"/>
            <w:shd w:val="clear" w:color="000000" w:fill="FFFFFF"/>
            <w:hideMark/>
          </w:tcPr>
          <w:p w14:paraId="691559D8" w14:textId="77777777" w:rsidR="008C730C" w:rsidRPr="00895819" w:rsidRDefault="008C730C" w:rsidP="008C730C">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73249685" w14:textId="77777777" w:rsidR="008C730C" w:rsidRPr="00895819" w:rsidRDefault="008C730C" w:rsidP="008C730C">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7" w:type="dxa"/>
            <w:shd w:val="clear" w:color="000000" w:fill="FFFFFF"/>
            <w:hideMark/>
          </w:tcPr>
          <w:p w14:paraId="5DAF7176" w14:textId="77777777" w:rsidR="008C730C" w:rsidRPr="00895819" w:rsidRDefault="008C730C" w:rsidP="008C730C">
            <w:pPr>
              <w:jc w:val="right"/>
              <w:rPr>
                <w:rFonts w:ascii="Calibri" w:hAnsi="Calibri" w:cs="Calibri"/>
                <w:color w:val="000000"/>
                <w:sz w:val="16"/>
                <w:szCs w:val="16"/>
                <w:lang w:val="sr-Cyrl-CS"/>
              </w:rPr>
            </w:pPr>
            <w:r w:rsidRPr="00895819">
              <w:rPr>
                <w:rFonts w:ascii="Calibri" w:hAnsi="Calibri" w:cs="Calibri"/>
                <w:color w:val="000000"/>
                <w:sz w:val="16"/>
                <w:szCs w:val="16"/>
                <w:lang w:val="sr-Cyrl-CS"/>
              </w:rPr>
              <w:t>-</w:t>
            </w:r>
          </w:p>
        </w:tc>
        <w:tc>
          <w:tcPr>
            <w:tcW w:w="1124" w:type="dxa"/>
            <w:shd w:val="clear" w:color="000000" w:fill="FFFFFF"/>
            <w:vAlign w:val="center"/>
            <w:hideMark/>
          </w:tcPr>
          <w:p w14:paraId="2EA0B387" w14:textId="77777777" w:rsidR="008C730C" w:rsidRPr="00895819" w:rsidRDefault="008C730C" w:rsidP="008C730C">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8.520</w:t>
            </w:r>
          </w:p>
        </w:tc>
      </w:tr>
      <w:tr w:rsidR="008C730C" w:rsidRPr="00895819" w14:paraId="34C381C9" w14:textId="77777777" w:rsidTr="00A072EF">
        <w:trPr>
          <w:trHeight w:val="630"/>
        </w:trPr>
        <w:tc>
          <w:tcPr>
            <w:tcW w:w="1332" w:type="dxa"/>
            <w:shd w:val="clear" w:color="auto" w:fill="auto"/>
            <w:vAlign w:val="center"/>
            <w:hideMark/>
          </w:tcPr>
          <w:p w14:paraId="2CF45979" w14:textId="77777777" w:rsidR="008C730C" w:rsidRPr="00895819" w:rsidRDefault="008C730C" w:rsidP="008C730C">
            <w:pPr>
              <w:jc w:val="left"/>
              <w:rPr>
                <w:rFonts w:ascii="Calibri" w:hAnsi="Calibri" w:cs="Calibri"/>
                <w:sz w:val="16"/>
                <w:szCs w:val="16"/>
                <w:lang w:val="sr-Cyrl-CS"/>
              </w:rPr>
            </w:pPr>
            <w:r w:rsidRPr="00895819">
              <w:rPr>
                <w:rFonts w:ascii="Calibri" w:hAnsi="Calibri" w:cs="Calibri"/>
                <w:sz w:val="16"/>
                <w:szCs w:val="16"/>
                <w:lang w:val="sr-Cyrl-CS"/>
              </w:rPr>
              <w:t>Управа за јавне набавке</w:t>
            </w:r>
          </w:p>
        </w:tc>
        <w:tc>
          <w:tcPr>
            <w:tcW w:w="2354" w:type="dxa"/>
            <w:shd w:val="clear" w:color="auto" w:fill="auto"/>
            <w:vAlign w:val="center"/>
            <w:hideMark/>
          </w:tcPr>
          <w:p w14:paraId="351940D6" w14:textId="77777777" w:rsidR="008C730C" w:rsidRPr="00895819" w:rsidRDefault="008C730C" w:rsidP="008C730C">
            <w:pPr>
              <w:jc w:val="left"/>
              <w:rPr>
                <w:rFonts w:ascii="Calibri" w:hAnsi="Calibri" w:cs="Calibri"/>
                <w:sz w:val="16"/>
                <w:szCs w:val="16"/>
                <w:lang w:val="sr-Cyrl-CS"/>
              </w:rPr>
            </w:pPr>
            <w:r w:rsidRPr="00895819">
              <w:rPr>
                <w:rFonts w:ascii="Calibri" w:hAnsi="Calibri" w:cs="Calibri"/>
                <w:sz w:val="16"/>
                <w:szCs w:val="16"/>
                <w:lang w:val="sr-Cyrl-CS"/>
              </w:rPr>
              <w:t>Систем развоја и заштите права у јавном набавкама</w:t>
            </w:r>
          </w:p>
        </w:tc>
        <w:tc>
          <w:tcPr>
            <w:tcW w:w="2376" w:type="dxa"/>
            <w:shd w:val="clear" w:color="auto" w:fill="auto"/>
            <w:vAlign w:val="center"/>
            <w:hideMark/>
          </w:tcPr>
          <w:p w14:paraId="24D92F54" w14:textId="77777777" w:rsidR="008C730C" w:rsidRPr="00895819" w:rsidRDefault="008C730C" w:rsidP="008C730C">
            <w:pPr>
              <w:jc w:val="left"/>
              <w:rPr>
                <w:rFonts w:ascii="Calibri" w:hAnsi="Calibri" w:cs="Calibri"/>
                <w:sz w:val="16"/>
                <w:szCs w:val="16"/>
                <w:lang w:val="sr-Cyrl-CS"/>
              </w:rPr>
            </w:pPr>
            <w:r w:rsidRPr="00895819">
              <w:rPr>
                <w:rFonts w:ascii="Calibri" w:hAnsi="Calibri" w:cs="Calibri"/>
                <w:sz w:val="16"/>
                <w:szCs w:val="16"/>
                <w:lang w:val="sr-Cyrl-CS"/>
              </w:rPr>
              <w:t>Развој и праћење система јавних набавки</w:t>
            </w:r>
          </w:p>
        </w:tc>
        <w:tc>
          <w:tcPr>
            <w:tcW w:w="1345" w:type="dxa"/>
            <w:shd w:val="clear" w:color="auto" w:fill="auto"/>
            <w:vAlign w:val="center"/>
            <w:hideMark/>
          </w:tcPr>
          <w:p w14:paraId="3AF97E56" w14:textId="77777777" w:rsidR="008C730C" w:rsidRPr="00895819" w:rsidRDefault="008C730C" w:rsidP="008C730C">
            <w:pPr>
              <w:jc w:val="left"/>
              <w:rPr>
                <w:rFonts w:ascii="Calibri" w:hAnsi="Calibri" w:cs="Calibri"/>
                <w:sz w:val="16"/>
                <w:szCs w:val="16"/>
                <w:lang w:val="sr-Cyrl-CS"/>
              </w:rPr>
            </w:pPr>
            <w:r w:rsidRPr="00895819">
              <w:rPr>
                <w:rFonts w:ascii="Calibri" w:hAnsi="Calibri" w:cs="Calibri"/>
                <w:sz w:val="16"/>
                <w:szCs w:val="16"/>
                <w:lang w:val="sr-Cyrl-CS"/>
              </w:rPr>
              <w:t>Нематеријална имовина</w:t>
            </w:r>
          </w:p>
        </w:tc>
        <w:tc>
          <w:tcPr>
            <w:tcW w:w="1325" w:type="dxa"/>
            <w:shd w:val="clear" w:color="000000" w:fill="FFFFFF"/>
            <w:vAlign w:val="center"/>
            <w:hideMark/>
          </w:tcPr>
          <w:p w14:paraId="10707466" w14:textId="77777777" w:rsidR="008C730C" w:rsidRPr="00895819" w:rsidRDefault="008C730C" w:rsidP="008C730C">
            <w:pPr>
              <w:jc w:val="right"/>
              <w:rPr>
                <w:rFonts w:ascii="Calibri" w:hAnsi="Calibri" w:cs="Calibri"/>
                <w:sz w:val="16"/>
                <w:szCs w:val="16"/>
                <w:lang w:val="sr-Cyrl-CS"/>
              </w:rPr>
            </w:pPr>
            <w:r w:rsidRPr="00895819">
              <w:rPr>
                <w:rFonts w:ascii="Calibri" w:hAnsi="Calibri" w:cs="Calibri"/>
                <w:sz w:val="16"/>
                <w:szCs w:val="16"/>
                <w:lang w:val="sr-Cyrl-CS"/>
              </w:rPr>
              <w:t>4.260</w:t>
            </w:r>
          </w:p>
        </w:tc>
        <w:tc>
          <w:tcPr>
            <w:tcW w:w="1127" w:type="dxa"/>
            <w:shd w:val="clear" w:color="000000" w:fill="FFFFFF"/>
            <w:hideMark/>
          </w:tcPr>
          <w:p w14:paraId="452E27A6" w14:textId="77777777" w:rsidR="008C730C" w:rsidRPr="00895819" w:rsidRDefault="008C730C" w:rsidP="008C730C">
            <w:pPr>
              <w:jc w:val="right"/>
              <w:rPr>
                <w:rFonts w:ascii="Calibri" w:hAnsi="Calibri" w:cs="Calibri"/>
                <w:sz w:val="16"/>
                <w:szCs w:val="16"/>
                <w:lang w:val="sr-Cyrl-CS"/>
              </w:rPr>
            </w:pPr>
            <w:r w:rsidRPr="00895819">
              <w:rPr>
                <w:rFonts w:ascii="Calibri" w:hAnsi="Calibri" w:cs="Calibri"/>
                <w:sz w:val="16"/>
                <w:szCs w:val="16"/>
                <w:lang w:val="sr-Cyrl-CS"/>
              </w:rPr>
              <w:t>-</w:t>
            </w:r>
          </w:p>
        </w:tc>
        <w:tc>
          <w:tcPr>
            <w:tcW w:w="1127" w:type="dxa"/>
            <w:shd w:val="clear" w:color="000000" w:fill="FFFFFF"/>
            <w:hideMark/>
          </w:tcPr>
          <w:p w14:paraId="16B3E6CC" w14:textId="77777777" w:rsidR="008C730C" w:rsidRPr="00895819" w:rsidRDefault="008C730C" w:rsidP="008C730C">
            <w:pPr>
              <w:jc w:val="right"/>
              <w:rPr>
                <w:rFonts w:ascii="Calibri" w:hAnsi="Calibri" w:cs="Calibri"/>
                <w:sz w:val="16"/>
                <w:szCs w:val="16"/>
                <w:lang w:val="sr-Cyrl-CS"/>
              </w:rPr>
            </w:pPr>
            <w:r w:rsidRPr="00895819">
              <w:rPr>
                <w:rFonts w:ascii="Calibri" w:hAnsi="Calibri" w:cs="Calibri"/>
                <w:sz w:val="16"/>
                <w:szCs w:val="16"/>
                <w:lang w:val="sr-Cyrl-CS"/>
              </w:rPr>
              <w:t>-</w:t>
            </w:r>
          </w:p>
        </w:tc>
        <w:tc>
          <w:tcPr>
            <w:tcW w:w="1127" w:type="dxa"/>
            <w:shd w:val="clear" w:color="000000" w:fill="FFFFFF"/>
            <w:hideMark/>
          </w:tcPr>
          <w:p w14:paraId="0EA9CB45" w14:textId="77777777" w:rsidR="008C730C" w:rsidRPr="00895819" w:rsidRDefault="008C730C" w:rsidP="008C730C">
            <w:pPr>
              <w:jc w:val="right"/>
              <w:rPr>
                <w:rFonts w:ascii="Calibri" w:hAnsi="Calibri" w:cs="Calibri"/>
                <w:sz w:val="16"/>
                <w:szCs w:val="16"/>
                <w:lang w:val="sr-Cyrl-CS"/>
              </w:rPr>
            </w:pPr>
            <w:r w:rsidRPr="00895819">
              <w:rPr>
                <w:rFonts w:ascii="Calibri" w:hAnsi="Calibri" w:cs="Calibri"/>
                <w:sz w:val="16"/>
                <w:szCs w:val="16"/>
                <w:lang w:val="sr-Cyrl-CS"/>
              </w:rPr>
              <w:t>-</w:t>
            </w:r>
          </w:p>
        </w:tc>
        <w:tc>
          <w:tcPr>
            <w:tcW w:w="1124" w:type="dxa"/>
            <w:shd w:val="clear" w:color="000000" w:fill="FFFFFF"/>
            <w:vAlign w:val="center"/>
            <w:hideMark/>
          </w:tcPr>
          <w:p w14:paraId="22E7E185" w14:textId="77777777" w:rsidR="008C730C" w:rsidRPr="00895819" w:rsidRDefault="008C730C" w:rsidP="008C730C">
            <w:pPr>
              <w:ind w:firstLineChars="100" w:firstLine="161"/>
              <w:jc w:val="right"/>
              <w:rPr>
                <w:rFonts w:ascii="Calibri" w:hAnsi="Calibri" w:cs="Calibri"/>
                <w:b/>
                <w:bCs/>
                <w:sz w:val="16"/>
                <w:szCs w:val="16"/>
                <w:lang w:val="sr-Cyrl-CS"/>
              </w:rPr>
            </w:pPr>
            <w:r w:rsidRPr="00895819">
              <w:rPr>
                <w:rFonts w:ascii="Calibri" w:hAnsi="Calibri" w:cs="Calibri"/>
                <w:b/>
                <w:bCs/>
                <w:sz w:val="16"/>
                <w:szCs w:val="16"/>
                <w:lang w:val="sr-Cyrl-CS"/>
              </w:rPr>
              <w:t>4.260</w:t>
            </w:r>
          </w:p>
        </w:tc>
      </w:tr>
    </w:tbl>
    <w:p w14:paraId="4B56C706" w14:textId="77777777" w:rsidR="00B16F8D" w:rsidRPr="00895819" w:rsidRDefault="00B16F8D" w:rsidP="00B16F8D">
      <w:pPr>
        <w:tabs>
          <w:tab w:val="left" w:pos="3801"/>
        </w:tabs>
        <w:rPr>
          <w:lang w:val="sr-Cyrl-CS"/>
        </w:rPr>
      </w:pPr>
      <w:r w:rsidRPr="00895819">
        <w:rPr>
          <w:lang w:val="sr-Cyrl-CS"/>
        </w:rPr>
        <w:tab/>
      </w:r>
    </w:p>
    <w:tbl>
      <w:tblPr>
        <w:tblW w:w="132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7"/>
        <w:gridCol w:w="1134"/>
        <w:gridCol w:w="1134"/>
        <w:gridCol w:w="1134"/>
        <w:gridCol w:w="1134"/>
        <w:gridCol w:w="1134"/>
      </w:tblGrid>
      <w:tr w:rsidR="00082508" w:rsidRPr="00895819" w14:paraId="6FEEDDAD" w14:textId="77777777" w:rsidTr="00485361">
        <w:trPr>
          <w:trHeight w:val="630"/>
        </w:trPr>
        <w:tc>
          <w:tcPr>
            <w:tcW w:w="7567" w:type="dxa"/>
            <w:shd w:val="clear" w:color="auto" w:fill="002060"/>
            <w:vAlign w:val="center"/>
            <w:hideMark/>
          </w:tcPr>
          <w:p w14:paraId="5B1E0433" w14:textId="77777777" w:rsidR="00082508" w:rsidRPr="00895819" w:rsidRDefault="00937BB3" w:rsidP="00082508">
            <w:pPr>
              <w:jc w:val="right"/>
              <w:rPr>
                <w:rFonts w:ascii="Calibri" w:hAnsi="Calibri" w:cs="Calibri"/>
                <w:b/>
                <w:color w:val="FFFFFF" w:themeColor="background1"/>
                <w:szCs w:val="16"/>
                <w:lang w:val="sr-Cyrl-CS"/>
              </w:rPr>
            </w:pPr>
            <w:r w:rsidRPr="00895819">
              <w:rPr>
                <w:rFonts w:ascii="Calibri" w:hAnsi="Calibri" w:cs="Calibri"/>
                <w:b/>
                <w:color w:val="FFFFFF" w:themeColor="background1"/>
                <w:szCs w:val="16"/>
                <w:lang w:val="sr-Cyrl-CS"/>
              </w:rPr>
              <w:t>Укупно</w:t>
            </w:r>
          </w:p>
        </w:tc>
        <w:tc>
          <w:tcPr>
            <w:tcW w:w="1134" w:type="dxa"/>
            <w:shd w:val="clear" w:color="000000" w:fill="FFFFFF"/>
            <w:vAlign w:val="center"/>
            <w:hideMark/>
          </w:tcPr>
          <w:p w14:paraId="2993FC42" w14:textId="77777777" w:rsidR="00082508" w:rsidRPr="00895819" w:rsidRDefault="00082508" w:rsidP="008C730C">
            <w:pPr>
              <w:jc w:val="right"/>
              <w:rPr>
                <w:rFonts w:ascii="Calibri" w:hAnsi="Calibri" w:cs="Calibri"/>
                <w:color w:val="000000"/>
                <w:sz w:val="16"/>
                <w:szCs w:val="16"/>
                <w:lang w:val="sr-Cyrl-CS"/>
              </w:rPr>
            </w:pPr>
            <w:r w:rsidRPr="00895819">
              <w:rPr>
                <w:rFonts w:ascii="Calibri" w:hAnsi="Calibri" w:cs="Calibri"/>
                <w:b/>
                <w:bCs/>
                <w:color w:val="000000"/>
                <w:sz w:val="16"/>
                <w:szCs w:val="16"/>
                <w:lang w:val="sr-Cyrl-CS"/>
              </w:rPr>
              <w:t>121</w:t>
            </w:r>
            <w:r w:rsidR="008C730C" w:rsidRPr="00895819">
              <w:rPr>
                <w:rFonts w:ascii="Calibri" w:hAnsi="Calibri" w:cs="Calibri"/>
                <w:b/>
                <w:bCs/>
                <w:color w:val="000000"/>
                <w:sz w:val="16"/>
                <w:szCs w:val="16"/>
                <w:lang w:val="sr-Cyrl-CS"/>
              </w:rPr>
              <w:t>.</w:t>
            </w:r>
            <w:r w:rsidRPr="00895819">
              <w:rPr>
                <w:rFonts w:ascii="Calibri" w:hAnsi="Calibri" w:cs="Calibri"/>
                <w:b/>
                <w:bCs/>
                <w:color w:val="000000"/>
                <w:sz w:val="16"/>
                <w:szCs w:val="16"/>
                <w:lang w:val="sr-Cyrl-CS"/>
              </w:rPr>
              <w:t>395</w:t>
            </w:r>
            <w:r w:rsidR="008C730C" w:rsidRPr="00895819">
              <w:rPr>
                <w:rFonts w:ascii="Calibri" w:hAnsi="Calibri" w:cs="Calibri"/>
                <w:b/>
                <w:bCs/>
                <w:color w:val="000000"/>
                <w:sz w:val="16"/>
                <w:szCs w:val="16"/>
                <w:lang w:val="sr-Cyrl-CS"/>
              </w:rPr>
              <w:t>.</w:t>
            </w:r>
            <w:r w:rsidRPr="00895819">
              <w:rPr>
                <w:rFonts w:ascii="Calibri" w:hAnsi="Calibri" w:cs="Calibri"/>
                <w:b/>
                <w:bCs/>
                <w:color w:val="000000"/>
                <w:sz w:val="16"/>
                <w:szCs w:val="16"/>
                <w:lang w:val="sr-Cyrl-CS"/>
              </w:rPr>
              <w:t>178</w:t>
            </w:r>
          </w:p>
        </w:tc>
        <w:tc>
          <w:tcPr>
            <w:tcW w:w="1134" w:type="dxa"/>
            <w:shd w:val="clear" w:color="000000" w:fill="FFFFFF"/>
            <w:vAlign w:val="center"/>
            <w:hideMark/>
          </w:tcPr>
          <w:p w14:paraId="2D4140C0" w14:textId="77777777" w:rsidR="00082508" w:rsidRPr="00895819" w:rsidRDefault="00082508" w:rsidP="008C730C">
            <w:pPr>
              <w:jc w:val="right"/>
              <w:rPr>
                <w:rFonts w:ascii="Calibri" w:hAnsi="Calibri" w:cs="Calibri"/>
                <w:color w:val="000000"/>
                <w:sz w:val="16"/>
                <w:szCs w:val="16"/>
                <w:lang w:val="sr-Cyrl-CS"/>
              </w:rPr>
            </w:pPr>
            <w:r w:rsidRPr="00895819">
              <w:rPr>
                <w:rFonts w:ascii="Calibri" w:hAnsi="Calibri" w:cs="Calibri"/>
                <w:b/>
                <w:bCs/>
                <w:color w:val="000000"/>
                <w:sz w:val="16"/>
                <w:szCs w:val="16"/>
                <w:lang w:val="sr-Cyrl-CS"/>
              </w:rPr>
              <w:t>35</w:t>
            </w:r>
            <w:r w:rsidR="008C730C" w:rsidRPr="00895819">
              <w:rPr>
                <w:rFonts w:ascii="Calibri" w:hAnsi="Calibri" w:cs="Calibri"/>
                <w:b/>
                <w:bCs/>
                <w:color w:val="000000"/>
                <w:sz w:val="16"/>
                <w:szCs w:val="16"/>
                <w:lang w:val="sr-Cyrl-CS"/>
              </w:rPr>
              <w:t>.</w:t>
            </w:r>
            <w:r w:rsidRPr="00895819">
              <w:rPr>
                <w:rFonts w:ascii="Calibri" w:hAnsi="Calibri" w:cs="Calibri"/>
                <w:b/>
                <w:bCs/>
                <w:color w:val="000000"/>
                <w:sz w:val="16"/>
                <w:szCs w:val="16"/>
                <w:lang w:val="sr-Cyrl-CS"/>
              </w:rPr>
              <w:t>133</w:t>
            </w:r>
            <w:r w:rsidR="008C730C" w:rsidRPr="00895819">
              <w:rPr>
                <w:rFonts w:ascii="Calibri" w:hAnsi="Calibri" w:cs="Calibri"/>
                <w:b/>
                <w:bCs/>
                <w:color w:val="000000"/>
                <w:sz w:val="16"/>
                <w:szCs w:val="16"/>
                <w:lang w:val="sr-Cyrl-CS"/>
              </w:rPr>
              <w:t>.</w:t>
            </w:r>
            <w:r w:rsidRPr="00895819">
              <w:rPr>
                <w:rFonts w:ascii="Calibri" w:hAnsi="Calibri" w:cs="Calibri"/>
                <w:b/>
                <w:bCs/>
                <w:color w:val="000000"/>
                <w:sz w:val="16"/>
                <w:szCs w:val="16"/>
                <w:lang w:val="sr-Cyrl-CS"/>
              </w:rPr>
              <w:t>445</w:t>
            </w:r>
          </w:p>
        </w:tc>
        <w:tc>
          <w:tcPr>
            <w:tcW w:w="1134" w:type="dxa"/>
            <w:shd w:val="clear" w:color="000000" w:fill="FFFFFF"/>
            <w:vAlign w:val="center"/>
            <w:hideMark/>
          </w:tcPr>
          <w:p w14:paraId="3B5DD83F" w14:textId="77777777" w:rsidR="00082508" w:rsidRPr="00895819" w:rsidRDefault="00082508" w:rsidP="008C730C">
            <w:pPr>
              <w:jc w:val="right"/>
              <w:rPr>
                <w:rFonts w:ascii="Calibri" w:hAnsi="Calibri" w:cs="Calibri"/>
                <w:color w:val="000000"/>
                <w:sz w:val="16"/>
                <w:szCs w:val="16"/>
                <w:lang w:val="sr-Cyrl-CS"/>
              </w:rPr>
            </w:pPr>
            <w:r w:rsidRPr="00895819">
              <w:rPr>
                <w:rFonts w:ascii="Calibri" w:hAnsi="Calibri" w:cs="Calibri"/>
                <w:b/>
                <w:bCs/>
                <w:color w:val="000000"/>
                <w:sz w:val="16"/>
                <w:szCs w:val="16"/>
                <w:lang w:val="sr-Cyrl-CS"/>
              </w:rPr>
              <w:t>7</w:t>
            </w:r>
            <w:r w:rsidR="008C730C" w:rsidRPr="00895819">
              <w:rPr>
                <w:rFonts w:ascii="Calibri" w:hAnsi="Calibri" w:cs="Calibri"/>
                <w:b/>
                <w:bCs/>
                <w:color w:val="000000"/>
                <w:sz w:val="16"/>
                <w:szCs w:val="16"/>
                <w:lang w:val="sr-Cyrl-CS"/>
              </w:rPr>
              <w:t>.</w:t>
            </w:r>
            <w:r w:rsidRPr="00895819">
              <w:rPr>
                <w:rFonts w:ascii="Calibri" w:hAnsi="Calibri" w:cs="Calibri"/>
                <w:b/>
                <w:bCs/>
                <w:color w:val="000000"/>
                <w:sz w:val="16"/>
                <w:szCs w:val="16"/>
                <w:lang w:val="sr-Cyrl-CS"/>
              </w:rPr>
              <w:t>100</w:t>
            </w:r>
            <w:r w:rsidR="008C730C" w:rsidRPr="00895819">
              <w:rPr>
                <w:rFonts w:ascii="Calibri" w:hAnsi="Calibri" w:cs="Calibri"/>
                <w:b/>
                <w:bCs/>
                <w:color w:val="000000"/>
                <w:sz w:val="16"/>
                <w:szCs w:val="16"/>
                <w:lang w:val="sr-Cyrl-CS"/>
              </w:rPr>
              <w:t>.</w:t>
            </w:r>
            <w:r w:rsidRPr="00895819">
              <w:rPr>
                <w:rFonts w:ascii="Calibri" w:hAnsi="Calibri" w:cs="Calibri"/>
                <w:b/>
                <w:bCs/>
                <w:color w:val="000000"/>
                <w:sz w:val="16"/>
                <w:szCs w:val="16"/>
                <w:lang w:val="sr-Cyrl-CS"/>
              </w:rPr>
              <w:t>957</w:t>
            </w:r>
          </w:p>
        </w:tc>
        <w:tc>
          <w:tcPr>
            <w:tcW w:w="1134" w:type="dxa"/>
            <w:shd w:val="clear" w:color="000000" w:fill="FFFFFF"/>
            <w:vAlign w:val="center"/>
            <w:hideMark/>
          </w:tcPr>
          <w:p w14:paraId="1A3DC234" w14:textId="77777777" w:rsidR="00082508" w:rsidRPr="00895819" w:rsidRDefault="00082508" w:rsidP="008C730C">
            <w:pPr>
              <w:jc w:val="right"/>
              <w:rPr>
                <w:rFonts w:ascii="Calibri" w:hAnsi="Calibri" w:cs="Calibri"/>
                <w:color w:val="000000"/>
                <w:sz w:val="16"/>
                <w:szCs w:val="16"/>
                <w:lang w:val="sr-Cyrl-CS"/>
              </w:rPr>
            </w:pPr>
            <w:r w:rsidRPr="00895819">
              <w:rPr>
                <w:rFonts w:ascii="Calibri" w:hAnsi="Calibri" w:cs="Calibri"/>
                <w:b/>
                <w:bCs/>
                <w:color w:val="000000"/>
                <w:sz w:val="16"/>
                <w:szCs w:val="16"/>
                <w:lang w:val="sr-Cyrl-CS"/>
              </w:rPr>
              <w:t>0</w:t>
            </w:r>
          </w:p>
        </w:tc>
        <w:tc>
          <w:tcPr>
            <w:tcW w:w="1134" w:type="dxa"/>
            <w:shd w:val="clear" w:color="000000" w:fill="FFFFFF"/>
            <w:vAlign w:val="center"/>
            <w:hideMark/>
          </w:tcPr>
          <w:p w14:paraId="4E500C26" w14:textId="77777777" w:rsidR="00082508" w:rsidRPr="00895819" w:rsidRDefault="00082508" w:rsidP="008C730C">
            <w:pPr>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163</w:t>
            </w:r>
            <w:r w:rsidR="008C730C" w:rsidRPr="00895819">
              <w:rPr>
                <w:rFonts w:ascii="Calibri" w:hAnsi="Calibri" w:cs="Calibri"/>
                <w:b/>
                <w:bCs/>
                <w:color w:val="000000"/>
                <w:sz w:val="16"/>
                <w:szCs w:val="16"/>
                <w:lang w:val="sr-Cyrl-CS"/>
              </w:rPr>
              <w:t>.</w:t>
            </w:r>
            <w:r w:rsidRPr="00895819">
              <w:rPr>
                <w:rFonts w:ascii="Calibri" w:hAnsi="Calibri" w:cs="Calibri"/>
                <w:b/>
                <w:bCs/>
                <w:color w:val="000000"/>
                <w:sz w:val="16"/>
                <w:szCs w:val="16"/>
                <w:lang w:val="sr-Cyrl-CS"/>
              </w:rPr>
              <w:t>629</w:t>
            </w:r>
            <w:r w:rsidR="008C730C" w:rsidRPr="00895819">
              <w:rPr>
                <w:rFonts w:ascii="Calibri" w:hAnsi="Calibri" w:cs="Calibri"/>
                <w:b/>
                <w:bCs/>
                <w:color w:val="000000"/>
                <w:sz w:val="16"/>
                <w:szCs w:val="16"/>
                <w:lang w:val="sr-Cyrl-CS"/>
              </w:rPr>
              <w:t>.</w:t>
            </w:r>
            <w:r w:rsidRPr="00895819">
              <w:rPr>
                <w:rFonts w:ascii="Calibri" w:hAnsi="Calibri" w:cs="Calibri"/>
                <w:b/>
                <w:bCs/>
                <w:color w:val="000000"/>
                <w:sz w:val="16"/>
                <w:szCs w:val="16"/>
                <w:lang w:val="sr-Cyrl-CS"/>
              </w:rPr>
              <w:t>580</w:t>
            </w:r>
          </w:p>
        </w:tc>
      </w:tr>
      <w:tr w:rsidR="00082508" w:rsidRPr="00895819" w14:paraId="4AC68513" w14:textId="77777777" w:rsidTr="00485361">
        <w:trPr>
          <w:trHeight w:val="630"/>
        </w:trPr>
        <w:tc>
          <w:tcPr>
            <w:tcW w:w="7567" w:type="dxa"/>
            <w:tcBorders>
              <w:bottom w:val="single" w:sz="4" w:space="0" w:color="auto"/>
            </w:tcBorders>
            <w:shd w:val="clear" w:color="auto" w:fill="002060"/>
            <w:vAlign w:val="center"/>
            <w:hideMark/>
          </w:tcPr>
          <w:p w14:paraId="39BB27D0" w14:textId="77777777" w:rsidR="00082508" w:rsidRPr="00895819" w:rsidRDefault="00937BB3" w:rsidP="00082508">
            <w:pPr>
              <w:jc w:val="right"/>
              <w:rPr>
                <w:rFonts w:ascii="Calibri" w:hAnsi="Calibri" w:cs="Calibri"/>
                <w:b/>
                <w:color w:val="FFFFFF" w:themeColor="background1"/>
                <w:szCs w:val="16"/>
                <w:lang w:val="sr-Cyrl-CS"/>
              </w:rPr>
            </w:pPr>
            <w:r w:rsidRPr="00895819">
              <w:rPr>
                <w:rFonts w:ascii="Calibri" w:hAnsi="Calibri" w:cs="Calibri"/>
                <w:b/>
                <w:color w:val="FFFFFF" w:themeColor="background1"/>
                <w:szCs w:val="16"/>
                <w:lang w:val="sr-Cyrl-CS"/>
              </w:rPr>
              <w:t>Финансирање АФД-а</w:t>
            </w:r>
          </w:p>
        </w:tc>
        <w:tc>
          <w:tcPr>
            <w:tcW w:w="1134" w:type="dxa"/>
            <w:tcBorders>
              <w:bottom w:val="single" w:sz="4" w:space="0" w:color="auto"/>
            </w:tcBorders>
            <w:shd w:val="clear" w:color="000000" w:fill="FFFFFF"/>
            <w:vAlign w:val="center"/>
            <w:hideMark/>
          </w:tcPr>
          <w:p w14:paraId="5BF33B0A" w14:textId="77777777" w:rsidR="00082508" w:rsidRPr="00895819" w:rsidRDefault="00082508" w:rsidP="008C730C">
            <w:pPr>
              <w:jc w:val="right"/>
              <w:rPr>
                <w:rFonts w:ascii="Calibri" w:hAnsi="Calibri" w:cs="Calibri"/>
                <w:color w:val="000000"/>
                <w:sz w:val="16"/>
                <w:szCs w:val="16"/>
                <w:lang w:val="sr-Cyrl-CS"/>
              </w:rPr>
            </w:pPr>
            <w:r w:rsidRPr="00895819">
              <w:rPr>
                <w:rFonts w:ascii="Calibri" w:hAnsi="Calibri" w:cs="Calibri"/>
                <w:b/>
                <w:bCs/>
                <w:color w:val="000000"/>
                <w:sz w:val="16"/>
                <w:szCs w:val="16"/>
                <w:lang w:val="sr-Cyrl-CS"/>
              </w:rPr>
              <w:t>12</w:t>
            </w:r>
            <w:r w:rsidR="008C730C" w:rsidRPr="00895819">
              <w:rPr>
                <w:rFonts w:ascii="Calibri" w:hAnsi="Calibri" w:cs="Calibri"/>
                <w:b/>
                <w:bCs/>
                <w:color w:val="000000"/>
                <w:sz w:val="16"/>
                <w:szCs w:val="16"/>
                <w:lang w:val="sr-Cyrl-CS"/>
              </w:rPr>
              <w:t>.</w:t>
            </w:r>
            <w:r w:rsidRPr="00895819">
              <w:rPr>
                <w:rFonts w:ascii="Calibri" w:hAnsi="Calibri" w:cs="Calibri"/>
                <w:b/>
                <w:bCs/>
                <w:color w:val="000000"/>
                <w:sz w:val="16"/>
                <w:szCs w:val="16"/>
                <w:lang w:val="sr-Cyrl-CS"/>
              </w:rPr>
              <w:t>800</w:t>
            </w:r>
            <w:r w:rsidR="008C730C" w:rsidRPr="00895819">
              <w:rPr>
                <w:rFonts w:ascii="Calibri" w:hAnsi="Calibri" w:cs="Calibri"/>
                <w:b/>
                <w:bCs/>
                <w:color w:val="000000"/>
                <w:sz w:val="16"/>
                <w:szCs w:val="16"/>
                <w:lang w:val="sr-Cyrl-CS"/>
              </w:rPr>
              <w:t>.</w:t>
            </w:r>
            <w:r w:rsidRPr="00895819">
              <w:rPr>
                <w:rFonts w:ascii="Calibri" w:hAnsi="Calibri" w:cs="Calibri"/>
                <w:b/>
                <w:bCs/>
                <w:color w:val="000000"/>
                <w:sz w:val="16"/>
                <w:szCs w:val="16"/>
                <w:lang w:val="sr-Cyrl-CS"/>
              </w:rPr>
              <w:t>000</w:t>
            </w:r>
          </w:p>
        </w:tc>
        <w:tc>
          <w:tcPr>
            <w:tcW w:w="1134" w:type="dxa"/>
            <w:tcBorders>
              <w:bottom w:val="single" w:sz="4" w:space="0" w:color="auto"/>
            </w:tcBorders>
            <w:shd w:val="clear" w:color="000000" w:fill="FFFFFF"/>
            <w:vAlign w:val="center"/>
            <w:hideMark/>
          </w:tcPr>
          <w:p w14:paraId="1D2CDEBA" w14:textId="77777777" w:rsidR="00082508" w:rsidRPr="00895819" w:rsidRDefault="00082508" w:rsidP="008C730C">
            <w:pPr>
              <w:jc w:val="right"/>
              <w:rPr>
                <w:rFonts w:ascii="Calibri" w:hAnsi="Calibri" w:cs="Calibri"/>
                <w:color w:val="000000"/>
                <w:sz w:val="16"/>
                <w:szCs w:val="16"/>
                <w:lang w:val="sr-Cyrl-CS"/>
              </w:rPr>
            </w:pPr>
            <w:r w:rsidRPr="00895819">
              <w:rPr>
                <w:rFonts w:ascii="Calibri" w:hAnsi="Calibri" w:cs="Calibri"/>
                <w:b/>
                <w:bCs/>
                <w:color w:val="000000"/>
                <w:sz w:val="16"/>
                <w:szCs w:val="16"/>
                <w:lang w:val="sr-Cyrl-CS"/>
              </w:rPr>
              <w:t>16</w:t>
            </w:r>
            <w:r w:rsidR="008C730C" w:rsidRPr="00895819">
              <w:rPr>
                <w:rFonts w:ascii="Calibri" w:hAnsi="Calibri" w:cs="Calibri"/>
                <w:b/>
                <w:bCs/>
                <w:color w:val="000000"/>
                <w:sz w:val="16"/>
                <w:szCs w:val="16"/>
                <w:lang w:val="sr-Cyrl-CS"/>
              </w:rPr>
              <w:t>.</w:t>
            </w:r>
            <w:r w:rsidRPr="00895819">
              <w:rPr>
                <w:rFonts w:ascii="Calibri" w:hAnsi="Calibri" w:cs="Calibri"/>
                <w:b/>
                <w:bCs/>
                <w:color w:val="000000"/>
                <w:sz w:val="16"/>
                <w:szCs w:val="16"/>
                <w:lang w:val="sr-Cyrl-CS"/>
              </w:rPr>
              <w:t>000</w:t>
            </w:r>
            <w:r w:rsidR="008C730C" w:rsidRPr="00895819">
              <w:rPr>
                <w:rFonts w:ascii="Calibri" w:hAnsi="Calibri" w:cs="Calibri"/>
                <w:b/>
                <w:bCs/>
                <w:color w:val="000000"/>
                <w:sz w:val="16"/>
                <w:szCs w:val="16"/>
                <w:lang w:val="sr-Cyrl-CS"/>
              </w:rPr>
              <w:t>.</w:t>
            </w:r>
            <w:r w:rsidRPr="00895819">
              <w:rPr>
                <w:rFonts w:ascii="Calibri" w:hAnsi="Calibri" w:cs="Calibri"/>
                <w:b/>
                <w:bCs/>
                <w:color w:val="000000"/>
                <w:sz w:val="16"/>
                <w:szCs w:val="16"/>
                <w:lang w:val="sr-Cyrl-CS"/>
              </w:rPr>
              <w:t>000</w:t>
            </w:r>
          </w:p>
        </w:tc>
        <w:tc>
          <w:tcPr>
            <w:tcW w:w="1134" w:type="dxa"/>
            <w:tcBorders>
              <w:bottom w:val="single" w:sz="4" w:space="0" w:color="auto"/>
            </w:tcBorders>
            <w:shd w:val="clear" w:color="000000" w:fill="FFFFFF"/>
            <w:vAlign w:val="center"/>
            <w:hideMark/>
          </w:tcPr>
          <w:p w14:paraId="5D695538" w14:textId="77777777" w:rsidR="00082508" w:rsidRPr="00895819" w:rsidRDefault="00082508" w:rsidP="008C730C">
            <w:pPr>
              <w:jc w:val="right"/>
              <w:rPr>
                <w:rFonts w:ascii="Calibri" w:hAnsi="Calibri" w:cs="Calibri"/>
                <w:color w:val="000000"/>
                <w:sz w:val="16"/>
                <w:szCs w:val="16"/>
                <w:lang w:val="sr-Cyrl-CS"/>
              </w:rPr>
            </w:pPr>
            <w:r w:rsidRPr="00895819">
              <w:rPr>
                <w:rFonts w:ascii="Calibri" w:hAnsi="Calibri" w:cs="Calibri"/>
                <w:b/>
                <w:bCs/>
                <w:color w:val="000000"/>
                <w:sz w:val="16"/>
                <w:szCs w:val="16"/>
                <w:lang w:val="sr-Cyrl-CS"/>
              </w:rPr>
              <w:t>17</w:t>
            </w:r>
            <w:r w:rsidR="008C730C" w:rsidRPr="00895819">
              <w:rPr>
                <w:rFonts w:ascii="Calibri" w:hAnsi="Calibri" w:cs="Calibri"/>
                <w:b/>
                <w:bCs/>
                <w:color w:val="000000"/>
                <w:sz w:val="16"/>
                <w:szCs w:val="16"/>
                <w:lang w:val="sr-Cyrl-CS"/>
              </w:rPr>
              <w:t>.</w:t>
            </w:r>
            <w:r w:rsidRPr="00895819">
              <w:rPr>
                <w:rFonts w:ascii="Calibri" w:hAnsi="Calibri" w:cs="Calibri"/>
                <w:b/>
                <w:bCs/>
                <w:color w:val="000000"/>
                <w:sz w:val="16"/>
                <w:szCs w:val="16"/>
                <w:lang w:val="sr-Cyrl-CS"/>
              </w:rPr>
              <w:t>500</w:t>
            </w:r>
            <w:r w:rsidR="008C730C" w:rsidRPr="00895819">
              <w:rPr>
                <w:rFonts w:ascii="Calibri" w:hAnsi="Calibri" w:cs="Calibri"/>
                <w:b/>
                <w:bCs/>
                <w:color w:val="000000"/>
                <w:sz w:val="16"/>
                <w:szCs w:val="16"/>
                <w:lang w:val="sr-Cyrl-CS"/>
              </w:rPr>
              <w:t>.</w:t>
            </w:r>
            <w:r w:rsidRPr="00895819">
              <w:rPr>
                <w:rFonts w:ascii="Calibri" w:hAnsi="Calibri" w:cs="Calibri"/>
                <w:b/>
                <w:bCs/>
                <w:color w:val="000000"/>
                <w:sz w:val="16"/>
                <w:szCs w:val="16"/>
                <w:lang w:val="sr-Cyrl-CS"/>
              </w:rPr>
              <w:t>000</w:t>
            </w:r>
          </w:p>
        </w:tc>
        <w:tc>
          <w:tcPr>
            <w:tcW w:w="1134" w:type="dxa"/>
            <w:tcBorders>
              <w:bottom w:val="single" w:sz="4" w:space="0" w:color="auto"/>
            </w:tcBorders>
            <w:shd w:val="clear" w:color="000000" w:fill="FFFFFF"/>
            <w:vAlign w:val="center"/>
            <w:hideMark/>
          </w:tcPr>
          <w:p w14:paraId="2CF72268" w14:textId="77777777" w:rsidR="00082508" w:rsidRPr="00895819" w:rsidRDefault="00082508" w:rsidP="008C730C">
            <w:pPr>
              <w:jc w:val="right"/>
              <w:rPr>
                <w:rFonts w:ascii="Calibri" w:hAnsi="Calibri" w:cs="Calibri"/>
                <w:color w:val="000000"/>
                <w:sz w:val="16"/>
                <w:szCs w:val="16"/>
                <w:lang w:val="sr-Cyrl-CS"/>
              </w:rPr>
            </w:pPr>
            <w:r w:rsidRPr="00895819">
              <w:rPr>
                <w:rFonts w:ascii="Calibri" w:hAnsi="Calibri" w:cs="Calibri"/>
                <w:b/>
                <w:bCs/>
                <w:color w:val="000000"/>
                <w:sz w:val="16"/>
                <w:szCs w:val="16"/>
                <w:lang w:val="sr-Cyrl-CS"/>
              </w:rPr>
              <w:t>20</w:t>
            </w:r>
            <w:r w:rsidR="008C730C" w:rsidRPr="00895819">
              <w:rPr>
                <w:rFonts w:ascii="Calibri" w:hAnsi="Calibri" w:cs="Calibri"/>
                <w:b/>
                <w:bCs/>
                <w:color w:val="000000"/>
                <w:sz w:val="16"/>
                <w:szCs w:val="16"/>
                <w:lang w:val="sr-Cyrl-CS"/>
              </w:rPr>
              <w:t>.</w:t>
            </w:r>
            <w:r w:rsidRPr="00895819">
              <w:rPr>
                <w:rFonts w:ascii="Calibri" w:hAnsi="Calibri" w:cs="Calibri"/>
                <w:b/>
                <w:bCs/>
                <w:color w:val="000000"/>
                <w:sz w:val="16"/>
                <w:szCs w:val="16"/>
                <w:lang w:val="sr-Cyrl-CS"/>
              </w:rPr>
              <w:t>000</w:t>
            </w:r>
            <w:r w:rsidR="008C730C" w:rsidRPr="00895819">
              <w:rPr>
                <w:rFonts w:ascii="Calibri" w:hAnsi="Calibri" w:cs="Calibri"/>
                <w:b/>
                <w:bCs/>
                <w:color w:val="000000"/>
                <w:sz w:val="16"/>
                <w:szCs w:val="16"/>
                <w:lang w:val="sr-Cyrl-CS"/>
              </w:rPr>
              <w:t>.</w:t>
            </w:r>
            <w:r w:rsidRPr="00895819">
              <w:rPr>
                <w:rFonts w:ascii="Calibri" w:hAnsi="Calibri" w:cs="Calibri"/>
                <w:b/>
                <w:bCs/>
                <w:color w:val="000000"/>
                <w:sz w:val="16"/>
                <w:szCs w:val="16"/>
                <w:lang w:val="sr-Cyrl-CS"/>
              </w:rPr>
              <w:t>000</w:t>
            </w:r>
          </w:p>
        </w:tc>
        <w:tc>
          <w:tcPr>
            <w:tcW w:w="1134" w:type="dxa"/>
            <w:tcBorders>
              <w:bottom w:val="single" w:sz="4" w:space="0" w:color="auto"/>
            </w:tcBorders>
            <w:shd w:val="clear" w:color="000000" w:fill="FFFFFF"/>
            <w:vAlign w:val="center"/>
            <w:hideMark/>
          </w:tcPr>
          <w:p w14:paraId="1FEFBA30" w14:textId="77777777" w:rsidR="00082508" w:rsidRPr="00895819" w:rsidRDefault="00082508" w:rsidP="008C730C">
            <w:pPr>
              <w:ind w:firstLineChars="100" w:firstLine="161"/>
              <w:jc w:val="right"/>
              <w:rPr>
                <w:rFonts w:ascii="Calibri" w:hAnsi="Calibri" w:cs="Calibri"/>
                <w:b/>
                <w:bCs/>
                <w:color w:val="000000"/>
                <w:sz w:val="16"/>
                <w:szCs w:val="16"/>
                <w:lang w:val="sr-Cyrl-CS"/>
              </w:rPr>
            </w:pPr>
            <w:r w:rsidRPr="00895819">
              <w:rPr>
                <w:rFonts w:ascii="Calibri" w:hAnsi="Calibri" w:cs="Calibri"/>
                <w:b/>
                <w:bCs/>
                <w:color w:val="000000"/>
                <w:sz w:val="16"/>
                <w:szCs w:val="16"/>
                <w:lang w:val="sr-Cyrl-CS"/>
              </w:rPr>
              <w:t>68</w:t>
            </w:r>
            <w:r w:rsidR="008C730C" w:rsidRPr="00895819">
              <w:rPr>
                <w:rFonts w:ascii="Calibri" w:hAnsi="Calibri" w:cs="Calibri"/>
                <w:b/>
                <w:bCs/>
                <w:color w:val="000000"/>
                <w:sz w:val="16"/>
                <w:szCs w:val="16"/>
                <w:lang w:val="sr-Cyrl-CS"/>
              </w:rPr>
              <w:t>.</w:t>
            </w:r>
            <w:r w:rsidRPr="00895819">
              <w:rPr>
                <w:rFonts w:ascii="Calibri" w:hAnsi="Calibri" w:cs="Calibri"/>
                <w:b/>
                <w:bCs/>
                <w:color w:val="000000"/>
                <w:sz w:val="16"/>
                <w:szCs w:val="16"/>
                <w:lang w:val="sr-Cyrl-CS"/>
              </w:rPr>
              <w:t>430</w:t>
            </w:r>
            <w:r w:rsidR="008C730C" w:rsidRPr="00895819">
              <w:rPr>
                <w:rFonts w:ascii="Calibri" w:hAnsi="Calibri" w:cs="Calibri"/>
                <w:b/>
                <w:bCs/>
                <w:color w:val="000000"/>
                <w:sz w:val="16"/>
                <w:szCs w:val="16"/>
                <w:lang w:val="sr-Cyrl-CS"/>
              </w:rPr>
              <w:t>.</w:t>
            </w:r>
            <w:r w:rsidRPr="00895819">
              <w:rPr>
                <w:rFonts w:ascii="Calibri" w:hAnsi="Calibri" w:cs="Calibri"/>
                <w:b/>
                <w:bCs/>
                <w:color w:val="000000"/>
                <w:sz w:val="16"/>
                <w:szCs w:val="16"/>
                <w:lang w:val="sr-Cyrl-CS"/>
              </w:rPr>
              <w:t>000</w:t>
            </w:r>
          </w:p>
        </w:tc>
      </w:tr>
      <w:tr w:rsidR="00082508" w:rsidRPr="00895819" w14:paraId="147CCF12" w14:textId="77777777" w:rsidTr="00082508">
        <w:trPr>
          <w:trHeight w:val="630"/>
        </w:trPr>
        <w:tc>
          <w:tcPr>
            <w:tcW w:w="7567" w:type="dxa"/>
            <w:tcBorders>
              <w:left w:val="nil"/>
              <w:bottom w:val="nil"/>
              <w:right w:val="nil"/>
            </w:tcBorders>
            <w:shd w:val="clear" w:color="auto" w:fill="FFFFFF" w:themeFill="background1"/>
            <w:vAlign w:val="center"/>
          </w:tcPr>
          <w:p w14:paraId="3CEC083D" w14:textId="77777777" w:rsidR="00082508" w:rsidRPr="00895819" w:rsidRDefault="00082508" w:rsidP="00082508">
            <w:pPr>
              <w:jc w:val="right"/>
              <w:rPr>
                <w:rFonts w:ascii="Calibri" w:hAnsi="Calibri" w:cs="Calibri"/>
                <w:b/>
                <w:color w:val="FFFFFF" w:themeColor="background1"/>
                <w:szCs w:val="16"/>
                <w:lang w:val="sr-Cyrl-CS"/>
              </w:rPr>
            </w:pPr>
          </w:p>
        </w:tc>
        <w:tc>
          <w:tcPr>
            <w:tcW w:w="1134" w:type="dxa"/>
            <w:tcBorders>
              <w:left w:val="nil"/>
              <w:bottom w:val="nil"/>
              <w:right w:val="nil"/>
            </w:tcBorders>
            <w:shd w:val="clear" w:color="000000" w:fill="FFFFFF"/>
          </w:tcPr>
          <w:p w14:paraId="4604D9F0" w14:textId="77777777" w:rsidR="00082508" w:rsidRPr="00895819" w:rsidRDefault="00082508" w:rsidP="00082508">
            <w:pPr>
              <w:spacing w:before="120"/>
              <w:jc w:val="center"/>
              <w:rPr>
                <w:rFonts w:asciiTheme="minorHAnsi" w:hAnsiTheme="minorHAnsi" w:cstheme="minorHAnsi"/>
                <w:b/>
                <w:bCs/>
                <w:color w:val="000000"/>
                <w:szCs w:val="16"/>
                <w:lang w:val="sr-Cyrl-CS"/>
              </w:rPr>
            </w:pPr>
          </w:p>
        </w:tc>
        <w:tc>
          <w:tcPr>
            <w:tcW w:w="1134" w:type="dxa"/>
            <w:tcBorders>
              <w:left w:val="nil"/>
              <w:bottom w:val="nil"/>
              <w:right w:val="nil"/>
            </w:tcBorders>
            <w:shd w:val="clear" w:color="000000" w:fill="FFFFFF"/>
          </w:tcPr>
          <w:p w14:paraId="4329947E" w14:textId="77777777" w:rsidR="00082508" w:rsidRPr="00895819" w:rsidRDefault="00082508" w:rsidP="00082508">
            <w:pPr>
              <w:spacing w:before="120"/>
              <w:jc w:val="center"/>
              <w:rPr>
                <w:rFonts w:asciiTheme="minorHAnsi" w:hAnsiTheme="minorHAnsi" w:cstheme="minorHAnsi"/>
                <w:b/>
                <w:bCs/>
                <w:color w:val="000000"/>
                <w:szCs w:val="16"/>
                <w:lang w:val="sr-Cyrl-CS"/>
              </w:rPr>
            </w:pPr>
          </w:p>
        </w:tc>
        <w:tc>
          <w:tcPr>
            <w:tcW w:w="1134" w:type="dxa"/>
            <w:tcBorders>
              <w:left w:val="nil"/>
              <w:bottom w:val="nil"/>
              <w:right w:val="nil"/>
            </w:tcBorders>
            <w:shd w:val="clear" w:color="000000" w:fill="FFFFFF"/>
          </w:tcPr>
          <w:p w14:paraId="2D328A7B" w14:textId="77777777" w:rsidR="00082508" w:rsidRPr="00895819" w:rsidRDefault="00082508" w:rsidP="00082508">
            <w:pPr>
              <w:spacing w:before="120"/>
              <w:jc w:val="center"/>
              <w:rPr>
                <w:rFonts w:asciiTheme="minorHAnsi" w:hAnsiTheme="minorHAnsi" w:cstheme="minorHAnsi"/>
                <w:b/>
                <w:bCs/>
                <w:color w:val="000000"/>
                <w:szCs w:val="16"/>
                <w:lang w:val="sr-Cyrl-CS"/>
              </w:rPr>
            </w:pPr>
          </w:p>
        </w:tc>
        <w:tc>
          <w:tcPr>
            <w:tcW w:w="1134" w:type="dxa"/>
            <w:tcBorders>
              <w:left w:val="nil"/>
              <w:bottom w:val="nil"/>
              <w:right w:val="nil"/>
            </w:tcBorders>
            <w:shd w:val="clear" w:color="000000" w:fill="FFFFFF"/>
          </w:tcPr>
          <w:p w14:paraId="06F748F5" w14:textId="77777777" w:rsidR="00082508" w:rsidRPr="00895819" w:rsidRDefault="00082508" w:rsidP="00082508">
            <w:pPr>
              <w:spacing w:before="120"/>
              <w:jc w:val="center"/>
              <w:rPr>
                <w:rFonts w:asciiTheme="minorHAnsi" w:hAnsiTheme="minorHAnsi" w:cstheme="minorHAnsi"/>
                <w:b/>
                <w:bCs/>
                <w:color w:val="000000"/>
                <w:szCs w:val="16"/>
                <w:lang w:val="sr-Cyrl-CS"/>
              </w:rPr>
            </w:pPr>
          </w:p>
        </w:tc>
        <w:tc>
          <w:tcPr>
            <w:tcW w:w="1134" w:type="dxa"/>
            <w:tcBorders>
              <w:left w:val="nil"/>
              <w:bottom w:val="nil"/>
              <w:right w:val="nil"/>
            </w:tcBorders>
            <w:shd w:val="clear" w:color="000000" w:fill="FFFFFF"/>
          </w:tcPr>
          <w:p w14:paraId="57B6A24A" w14:textId="77777777" w:rsidR="00082508" w:rsidRPr="00895819" w:rsidRDefault="00082508" w:rsidP="00082508">
            <w:pPr>
              <w:spacing w:before="120"/>
              <w:ind w:firstLineChars="100" w:firstLine="221"/>
              <w:jc w:val="center"/>
              <w:rPr>
                <w:rFonts w:asciiTheme="minorHAnsi" w:hAnsiTheme="minorHAnsi" w:cstheme="minorHAnsi"/>
                <w:b/>
                <w:bCs/>
                <w:color w:val="000000"/>
                <w:szCs w:val="16"/>
                <w:lang w:val="sr-Cyrl-CS"/>
              </w:rPr>
            </w:pPr>
            <w:r w:rsidRPr="00895819">
              <w:rPr>
                <w:rFonts w:asciiTheme="minorHAnsi" w:hAnsiTheme="minorHAnsi" w:cstheme="minorHAnsi"/>
                <w:b/>
                <w:lang w:val="sr-Cyrl-CS"/>
              </w:rPr>
              <w:t>41%</w:t>
            </w:r>
          </w:p>
        </w:tc>
      </w:tr>
    </w:tbl>
    <w:p w14:paraId="1320A562" w14:textId="77777777" w:rsidR="00B16F8D" w:rsidRPr="00895819" w:rsidRDefault="00B16F8D" w:rsidP="00B16F8D">
      <w:pPr>
        <w:tabs>
          <w:tab w:val="left" w:pos="2260"/>
        </w:tabs>
        <w:rPr>
          <w:lang w:val="sr-Cyrl-CS"/>
        </w:rPr>
        <w:sectPr w:rsidR="00B16F8D" w:rsidRPr="00895819" w:rsidSect="00485361">
          <w:pgSz w:w="16838" w:h="11906" w:orient="landscape"/>
          <w:pgMar w:top="1417" w:right="1417" w:bottom="1417" w:left="1417" w:header="708" w:footer="400" w:gutter="0"/>
          <w:cols w:space="708"/>
          <w:formProt w:val="0"/>
          <w:titlePg/>
          <w:docGrid w:linePitch="360"/>
        </w:sectPr>
      </w:pPr>
    </w:p>
    <w:p w14:paraId="66754AC9" w14:textId="77777777" w:rsidR="00B16F8D" w:rsidRPr="00895819" w:rsidRDefault="0087654E" w:rsidP="00B16F8D">
      <w:pPr>
        <w:pStyle w:val="Schhead"/>
        <w:outlineLvl w:val="0"/>
        <w:rPr>
          <w:rFonts w:ascii="Times New Roman" w:hAnsi="Times New Roman"/>
          <w:lang w:val="sr-Cyrl-CS"/>
        </w:rPr>
      </w:pPr>
      <w:bookmarkStart w:id="171" w:name="_Toc129873704"/>
      <w:r w:rsidRPr="00895819">
        <w:rPr>
          <w:rFonts w:ascii="Times New Roman" w:hAnsi="Times New Roman"/>
          <w:lang w:val="sr-Cyrl-CS"/>
        </w:rPr>
        <w:lastRenderedPageBreak/>
        <w:t>ПРИЛОГ</w:t>
      </w:r>
      <w:r w:rsidR="00B16F8D" w:rsidRPr="00895819">
        <w:rPr>
          <w:rFonts w:ascii="Times New Roman" w:hAnsi="Times New Roman"/>
          <w:lang w:val="sr-Cyrl-CS"/>
        </w:rPr>
        <w:t xml:space="preserve"> 3</w:t>
      </w:r>
      <w:r w:rsidRPr="00895819">
        <w:rPr>
          <w:rFonts w:ascii="Times New Roman" w:hAnsi="Times New Roman"/>
          <w:lang w:val="sr-Cyrl-CS"/>
        </w:rPr>
        <w:t>Ц</w:t>
      </w:r>
      <w:r w:rsidR="00B16F8D" w:rsidRPr="00895819">
        <w:rPr>
          <w:rFonts w:ascii="Times New Roman" w:hAnsi="Times New Roman"/>
          <w:lang w:val="sr-Cyrl-CS"/>
        </w:rPr>
        <w:t xml:space="preserve"> – </w:t>
      </w:r>
      <w:r w:rsidRPr="00895819">
        <w:rPr>
          <w:rFonts w:ascii="Times New Roman" w:hAnsi="Times New Roman"/>
          <w:lang w:val="sr-Cyrl-CS"/>
        </w:rPr>
        <w:t>ОКВИР РЕЗУЛТАТА</w:t>
      </w:r>
      <w:bookmarkEnd w:id="171"/>
    </w:p>
    <w:tbl>
      <w:tblPr>
        <w:tblStyle w:val="TableGrid"/>
        <w:tblW w:w="0" w:type="auto"/>
        <w:tblLook w:val="04A0" w:firstRow="1" w:lastRow="0" w:firstColumn="1" w:lastColumn="0" w:noHBand="0" w:noVBand="1"/>
      </w:tblPr>
      <w:tblGrid>
        <w:gridCol w:w="1171"/>
        <w:gridCol w:w="9030"/>
        <w:gridCol w:w="2694"/>
        <w:gridCol w:w="2409"/>
      </w:tblGrid>
      <w:tr w:rsidR="00B16F8D" w:rsidRPr="00895819" w14:paraId="1BD70A23" w14:textId="77777777" w:rsidTr="00485361">
        <w:tc>
          <w:tcPr>
            <w:tcW w:w="15304" w:type="dxa"/>
            <w:gridSpan w:val="4"/>
            <w:shd w:val="clear" w:color="auto" w:fill="002060"/>
            <w:vAlign w:val="center"/>
          </w:tcPr>
          <w:p w14:paraId="3CC2E4F9" w14:textId="77777777" w:rsidR="00B16F8D" w:rsidRPr="00895819" w:rsidRDefault="00BE691D" w:rsidP="00485361">
            <w:pPr>
              <w:spacing w:before="120" w:after="120"/>
              <w:jc w:val="center"/>
              <w:rPr>
                <w:sz w:val="22"/>
                <w:lang w:val="sr-Cyrl-CS"/>
              </w:rPr>
            </w:pPr>
            <w:r w:rsidRPr="00895819">
              <w:rPr>
                <w:sz w:val="22"/>
                <w:lang w:val="sr-Cyrl-CS"/>
              </w:rPr>
              <w:t>ДЛИ</w:t>
            </w:r>
            <w:r w:rsidR="00B16F8D" w:rsidRPr="00895819">
              <w:rPr>
                <w:sz w:val="22"/>
                <w:lang w:val="sr-Cyrl-CS"/>
              </w:rPr>
              <w:t xml:space="preserve"> 1 – </w:t>
            </w:r>
            <w:r w:rsidRPr="00895819">
              <w:rPr>
                <w:sz w:val="22"/>
                <w:lang w:val="sr-Cyrl-CS"/>
              </w:rPr>
              <w:t xml:space="preserve">Интегрисање зелених и климатских аспеката у Документа јавних политика и јачање везе између планирања и извршења буџета </w:t>
            </w:r>
          </w:p>
        </w:tc>
      </w:tr>
      <w:tr w:rsidR="00B16F8D" w:rsidRPr="00895819" w14:paraId="58EA7C95" w14:textId="77777777" w:rsidTr="00485361">
        <w:tc>
          <w:tcPr>
            <w:tcW w:w="1171" w:type="dxa"/>
            <w:shd w:val="clear" w:color="auto" w:fill="002060"/>
            <w:vAlign w:val="center"/>
          </w:tcPr>
          <w:p w14:paraId="23ACA6DA" w14:textId="77777777" w:rsidR="00B16F8D" w:rsidRPr="00895819" w:rsidRDefault="00BE691D" w:rsidP="00485361">
            <w:pPr>
              <w:spacing w:before="120" w:after="120"/>
              <w:jc w:val="center"/>
              <w:rPr>
                <w:sz w:val="22"/>
                <w:lang w:val="sr-Cyrl-CS"/>
              </w:rPr>
            </w:pPr>
            <w:r w:rsidRPr="00895819">
              <w:rPr>
                <w:sz w:val="22"/>
                <w:lang w:val="sr-Cyrl-CS"/>
              </w:rPr>
              <w:t>Период</w:t>
            </w:r>
          </w:p>
        </w:tc>
        <w:tc>
          <w:tcPr>
            <w:tcW w:w="9030" w:type="dxa"/>
            <w:shd w:val="clear" w:color="auto" w:fill="002060"/>
            <w:vAlign w:val="center"/>
          </w:tcPr>
          <w:p w14:paraId="3189AD46" w14:textId="77777777" w:rsidR="00B16F8D" w:rsidRPr="00895819" w:rsidRDefault="00BE691D" w:rsidP="00485361">
            <w:pPr>
              <w:spacing w:before="120" w:after="120"/>
              <w:jc w:val="center"/>
              <w:rPr>
                <w:sz w:val="22"/>
                <w:lang w:val="sr-Cyrl-CS"/>
              </w:rPr>
            </w:pPr>
            <w:r w:rsidRPr="00895819">
              <w:rPr>
                <w:sz w:val="22"/>
                <w:lang w:val="sr-Cyrl-CS"/>
              </w:rPr>
              <w:t>Вредност</w:t>
            </w:r>
          </w:p>
        </w:tc>
        <w:tc>
          <w:tcPr>
            <w:tcW w:w="2694" w:type="dxa"/>
            <w:shd w:val="clear" w:color="auto" w:fill="002060"/>
          </w:tcPr>
          <w:p w14:paraId="09C91320" w14:textId="77777777" w:rsidR="00B16F8D" w:rsidRPr="00895819" w:rsidRDefault="00BE691D" w:rsidP="00485361">
            <w:pPr>
              <w:spacing w:before="120" w:after="120"/>
              <w:jc w:val="center"/>
              <w:rPr>
                <w:sz w:val="22"/>
                <w:lang w:val="sr-Cyrl-CS"/>
              </w:rPr>
            </w:pPr>
            <w:r w:rsidRPr="00895819">
              <w:rPr>
                <w:sz w:val="22"/>
                <w:lang w:val="sr-Cyrl-CS"/>
              </w:rPr>
              <w:t>Износ који обезбеђује АФД</w:t>
            </w:r>
          </w:p>
        </w:tc>
        <w:tc>
          <w:tcPr>
            <w:tcW w:w="2409" w:type="dxa"/>
            <w:shd w:val="clear" w:color="auto" w:fill="002060"/>
            <w:vAlign w:val="center"/>
          </w:tcPr>
          <w:p w14:paraId="01EF6B0D" w14:textId="77777777" w:rsidR="00B16F8D" w:rsidRPr="00895819" w:rsidRDefault="00BE691D" w:rsidP="00485361">
            <w:pPr>
              <w:spacing w:before="120" w:after="120"/>
              <w:jc w:val="center"/>
              <w:rPr>
                <w:sz w:val="22"/>
                <w:lang w:val="sr-Cyrl-CS"/>
              </w:rPr>
            </w:pPr>
            <w:r w:rsidRPr="00895819">
              <w:rPr>
                <w:sz w:val="22"/>
                <w:lang w:val="sr-Cyrl-CS"/>
              </w:rPr>
              <w:t>Формула за алокацију</w:t>
            </w:r>
          </w:p>
        </w:tc>
      </w:tr>
      <w:tr w:rsidR="00B16F8D" w:rsidRPr="00895819" w14:paraId="00051E94" w14:textId="77777777" w:rsidTr="00485361">
        <w:tc>
          <w:tcPr>
            <w:tcW w:w="1171" w:type="dxa"/>
            <w:vAlign w:val="center"/>
          </w:tcPr>
          <w:p w14:paraId="36BA3613" w14:textId="77777777" w:rsidR="00B16F8D" w:rsidRPr="00895819" w:rsidRDefault="00BE691D" w:rsidP="00485361">
            <w:pPr>
              <w:spacing w:before="120" w:after="120"/>
              <w:rPr>
                <w:sz w:val="22"/>
                <w:lang w:val="sr-Cyrl-CS"/>
              </w:rPr>
            </w:pPr>
            <w:r w:rsidRPr="00895819">
              <w:rPr>
                <w:sz w:val="22"/>
                <w:lang w:val="sr-Cyrl-CS"/>
              </w:rPr>
              <w:t>Полазна основа</w:t>
            </w:r>
          </w:p>
        </w:tc>
        <w:tc>
          <w:tcPr>
            <w:tcW w:w="14133" w:type="dxa"/>
            <w:gridSpan w:val="3"/>
          </w:tcPr>
          <w:p w14:paraId="20B94E7F" w14:textId="53454955" w:rsidR="00B16F8D" w:rsidRPr="00895819" w:rsidRDefault="00BE691D" w:rsidP="00485361">
            <w:pPr>
              <w:spacing w:before="120" w:after="120"/>
              <w:rPr>
                <w:sz w:val="22"/>
                <w:lang w:val="sr-Cyrl-CS"/>
              </w:rPr>
            </w:pPr>
            <w:r w:rsidRPr="00895819">
              <w:rPr>
                <w:sz w:val="22"/>
                <w:lang w:val="sr-Cyrl-CS"/>
              </w:rPr>
              <w:t xml:space="preserve">Само </w:t>
            </w:r>
            <w:r w:rsidR="00B16F8D" w:rsidRPr="00895819">
              <w:rPr>
                <w:sz w:val="22"/>
                <w:lang w:val="sr-Cyrl-CS"/>
              </w:rPr>
              <w:t xml:space="preserve">60% </w:t>
            </w:r>
            <w:r w:rsidRPr="00895819">
              <w:rPr>
                <w:sz w:val="22"/>
                <w:lang w:val="sr-Cyrl-CS"/>
              </w:rPr>
              <w:t xml:space="preserve">докумената </w:t>
            </w:r>
            <w:r w:rsidR="001F0255" w:rsidRPr="00895819">
              <w:rPr>
                <w:sz w:val="22"/>
                <w:lang w:val="sr-Cyrl-CS"/>
              </w:rPr>
              <w:t xml:space="preserve">јавних политика </w:t>
            </w:r>
            <w:r w:rsidRPr="00895819">
              <w:rPr>
                <w:sz w:val="22"/>
                <w:lang w:val="sr-Cyrl-CS"/>
              </w:rPr>
              <w:t>које је Влада усвојила садрже грубу процену трошкова</w:t>
            </w:r>
            <w:r w:rsidR="00B16F8D" w:rsidRPr="00895819">
              <w:rPr>
                <w:sz w:val="22"/>
                <w:lang w:val="sr-Cyrl-CS"/>
              </w:rPr>
              <w:t xml:space="preserve">. </w:t>
            </w:r>
            <w:r w:rsidR="00220124" w:rsidRPr="00895819">
              <w:rPr>
                <w:sz w:val="22"/>
                <w:lang w:val="sr-Cyrl-CS"/>
              </w:rPr>
              <w:t>Само се Д</w:t>
            </w:r>
            <w:r w:rsidRPr="00895819">
              <w:rPr>
                <w:sz w:val="22"/>
                <w:lang w:val="sr-Cyrl-CS"/>
              </w:rPr>
              <w:t xml:space="preserve">окумента јавних политика </w:t>
            </w:r>
            <w:r w:rsidR="000E6BBD" w:rsidRPr="00895819">
              <w:rPr>
                <w:sz w:val="22"/>
                <w:lang w:val="sr-Cyrl-CS"/>
              </w:rPr>
              <w:t>Министарств</w:t>
            </w:r>
            <w:r w:rsidRPr="00895819">
              <w:rPr>
                <w:sz w:val="22"/>
                <w:lang w:val="sr-Cyrl-CS"/>
              </w:rPr>
              <w:t>а</w:t>
            </w:r>
            <w:r w:rsidR="000E6BBD" w:rsidRPr="00895819">
              <w:rPr>
                <w:sz w:val="22"/>
                <w:lang w:val="sr-Cyrl-CS"/>
              </w:rPr>
              <w:t xml:space="preserve"> заштите животне средине</w:t>
            </w:r>
            <w:r w:rsidR="00B16F8D" w:rsidRPr="00895819">
              <w:rPr>
                <w:sz w:val="22"/>
                <w:lang w:val="sr-Cyrl-CS"/>
              </w:rPr>
              <w:t xml:space="preserve"> </w:t>
            </w:r>
            <w:r w:rsidRPr="00895819">
              <w:rPr>
                <w:sz w:val="22"/>
                <w:lang w:val="sr-Cyrl-CS"/>
              </w:rPr>
              <w:t xml:space="preserve">директно односе на циљеве </w:t>
            </w:r>
            <w:r w:rsidR="00D86FD2" w:rsidRPr="00895819">
              <w:rPr>
                <w:sz w:val="22"/>
                <w:lang w:val="sr-Cyrl-CS"/>
              </w:rPr>
              <w:t>Зелена агенда</w:t>
            </w:r>
            <w:r w:rsidR="00B16F8D" w:rsidRPr="00895819">
              <w:rPr>
                <w:sz w:val="22"/>
                <w:lang w:val="sr-Cyrl-CS"/>
              </w:rPr>
              <w:t xml:space="preserve">. </w:t>
            </w:r>
          </w:p>
        </w:tc>
      </w:tr>
      <w:tr w:rsidR="00B16F8D" w:rsidRPr="00895819" w14:paraId="0EB04BF1" w14:textId="77777777" w:rsidTr="00485361">
        <w:tc>
          <w:tcPr>
            <w:tcW w:w="1171" w:type="dxa"/>
            <w:vAlign w:val="center"/>
          </w:tcPr>
          <w:p w14:paraId="5F72CF55" w14:textId="77777777" w:rsidR="00B16F8D" w:rsidRPr="00895819" w:rsidRDefault="00B16F8D" w:rsidP="00485361">
            <w:pPr>
              <w:spacing w:before="120" w:after="120"/>
              <w:rPr>
                <w:sz w:val="22"/>
                <w:lang w:val="sr-Cyrl-CS"/>
              </w:rPr>
            </w:pPr>
            <w:r w:rsidRPr="00895819">
              <w:rPr>
                <w:sz w:val="22"/>
                <w:lang w:val="sr-Cyrl-CS"/>
              </w:rPr>
              <w:t>2023</w:t>
            </w:r>
          </w:p>
        </w:tc>
        <w:tc>
          <w:tcPr>
            <w:tcW w:w="9030" w:type="dxa"/>
          </w:tcPr>
          <w:p w14:paraId="5288D93B" w14:textId="77777777" w:rsidR="00B16F8D" w:rsidRPr="00895819" w:rsidRDefault="00BE691D" w:rsidP="00DB4656">
            <w:pPr>
              <w:spacing w:before="120" w:after="120"/>
              <w:rPr>
                <w:sz w:val="22"/>
                <w:lang w:val="sr-Cyrl-CS"/>
              </w:rPr>
            </w:pPr>
            <w:r w:rsidRPr="00895819">
              <w:rPr>
                <w:b/>
                <w:sz w:val="22"/>
                <w:lang w:val="sr-Cyrl-CS"/>
              </w:rPr>
              <w:t>ДЛР</w:t>
            </w:r>
            <w:r w:rsidR="00B16F8D" w:rsidRPr="00895819">
              <w:rPr>
                <w:b/>
                <w:sz w:val="22"/>
                <w:lang w:val="sr-Cyrl-CS"/>
              </w:rPr>
              <w:t xml:space="preserve"> 1.1</w:t>
            </w:r>
            <w:r w:rsidR="00B16F8D" w:rsidRPr="00895819">
              <w:rPr>
                <w:sz w:val="22"/>
                <w:lang w:val="sr-Cyrl-CS"/>
              </w:rPr>
              <w:t xml:space="preserve">. </w:t>
            </w:r>
            <w:r w:rsidRPr="00895819">
              <w:rPr>
                <w:sz w:val="22"/>
                <w:lang w:val="sr-Cyrl-CS"/>
              </w:rPr>
              <w:t xml:space="preserve">РСЈП </w:t>
            </w:r>
            <w:r w:rsidR="002D55B2" w:rsidRPr="00895819">
              <w:rPr>
                <w:sz w:val="22"/>
                <w:lang w:val="sr-Cyrl-CS"/>
              </w:rPr>
              <w:t xml:space="preserve">(i) </w:t>
            </w:r>
            <w:r w:rsidRPr="00895819">
              <w:rPr>
                <w:sz w:val="22"/>
                <w:lang w:val="sr-Cyrl-CS"/>
              </w:rPr>
              <w:t>припрема и одобрава Смернице за укључивање зелених аспеката у Документа јавних политика</w:t>
            </w:r>
            <w:r w:rsidR="002D55B2" w:rsidRPr="00895819">
              <w:rPr>
                <w:sz w:val="22"/>
                <w:lang w:val="sr-Cyrl-CS"/>
              </w:rPr>
              <w:t xml:space="preserve">; </w:t>
            </w:r>
            <w:r w:rsidRPr="00895819">
              <w:rPr>
                <w:sz w:val="22"/>
                <w:lang w:val="sr-Cyrl-CS"/>
              </w:rPr>
              <w:t>и</w:t>
            </w:r>
            <w:r w:rsidR="002D55B2" w:rsidRPr="00895819">
              <w:rPr>
                <w:sz w:val="22"/>
                <w:lang w:val="sr-Cyrl-CS"/>
              </w:rPr>
              <w:t xml:space="preserve"> (ii) </w:t>
            </w:r>
            <w:r w:rsidRPr="00895819">
              <w:rPr>
                <w:sz w:val="22"/>
                <w:lang w:val="sr-Cyrl-CS"/>
              </w:rPr>
              <w:t>објављује наведене Смернице на интернет страници РСЈП</w:t>
            </w:r>
            <w:r w:rsidR="002D55B2" w:rsidRPr="00895819">
              <w:rPr>
                <w:sz w:val="22"/>
                <w:lang w:val="sr-Cyrl-CS"/>
              </w:rPr>
              <w:t>.</w:t>
            </w:r>
          </w:p>
        </w:tc>
        <w:tc>
          <w:tcPr>
            <w:tcW w:w="2694" w:type="dxa"/>
            <w:vAlign w:val="center"/>
          </w:tcPr>
          <w:p w14:paraId="67027C9B" w14:textId="77777777" w:rsidR="00B16F8D" w:rsidRPr="00895819" w:rsidRDefault="00B16F8D" w:rsidP="00082508">
            <w:pPr>
              <w:spacing w:before="120" w:after="120"/>
              <w:jc w:val="center"/>
              <w:rPr>
                <w:sz w:val="22"/>
                <w:lang w:val="sr-Cyrl-CS"/>
              </w:rPr>
            </w:pPr>
            <w:r w:rsidRPr="00895819">
              <w:rPr>
                <w:sz w:val="22"/>
                <w:lang w:val="sr-Cyrl-CS"/>
              </w:rPr>
              <w:t>3</w:t>
            </w:r>
            <w:r w:rsidR="005759DB" w:rsidRPr="00895819">
              <w:rPr>
                <w:sz w:val="22"/>
                <w:lang w:val="sr-Cyrl-CS"/>
              </w:rPr>
              <w:t>,</w:t>
            </w:r>
            <w:r w:rsidR="00082508" w:rsidRPr="00895819">
              <w:rPr>
                <w:sz w:val="22"/>
                <w:lang w:val="sr-Cyrl-CS"/>
              </w:rPr>
              <w:t>8</w:t>
            </w:r>
            <w:r w:rsidRPr="00895819">
              <w:rPr>
                <w:sz w:val="22"/>
                <w:lang w:val="sr-Cyrl-CS"/>
              </w:rPr>
              <w:t xml:space="preserve"> </w:t>
            </w:r>
            <w:r w:rsidR="005759DB" w:rsidRPr="00895819">
              <w:rPr>
                <w:sz w:val="22"/>
                <w:lang w:val="sr-Cyrl-CS"/>
              </w:rPr>
              <w:t>мил. ЕУР</w:t>
            </w:r>
          </w:p>
        </w:tc>
        <w:tc>
          <w:tcPr>
            <w:tcW w:w="2409" w:type="dxa"/>
            <w:vAlign w:val="center"/>
          </w:tcPr>
          <w:p w14:paraId="65732DC8" w14:textId="77777777" w:rsidR="00B16F8D" w:rsidRPr="00895819" w:rsidRDefault="005759DB" w:rsidP="00485361">
            <w:pPr>
              <w:spacing w:before="120" w:after="120"/>
              <w:jc w:val="center"/>
              <w:rPr>
                <w:sz w:val="22"/>
                <w:lang w:val="sr-Cyrl-CS"/>
              </w:rPr>
            </w:pPr>
            <w:r w:rsidRPr="00895819">
              <w:rPr>
                <w:sz w:val="22"/>
                <w:lang w:val="sr-Cyrl-CS"/>
              </w:rPr>
              <w:t>Када се постигне</w:t>
            </w:r>
          </w:p>
        </w:tc>
      </w:tr>
      <w:tr w:rsidR="00B16F8D" w:rsidRPr="00895819" w14:paraId="1AAEA812" w14:textId="77777777" w:rsidTr="00485361">
        <w:tc>
          <w:tcPr>
            <w:tcW w:w="1171" w:type="dxa"/>
            <w:vAlign w:val="center"/>
          </w:tcPr>
          <w:p w14:paraId="1C5E20D0" w14:textId="77777777" w:rsidR="00B16F8D" w:rsidRPr="00895819" w:rsidRDefault="00B16F8D" w:rsidP="00485361">
            <w:pPr>
              <w:spacing w:before="120" w:after="120"/>
              <w:rPr>
                <w:sz w:val="22"/>
                <w:lang w:val="sr-Cyrl-CS"/>
              </w:rPr>
            </w:pPr>
            <w:r w:rsidRPr="00895819">
              <w:rPr>
                <w:sz w:val="22"/>
                <w:lang w:val="sr-Cyrl-CS"/>
              </w:rPr>
              <w:t>2024</w:t>
            </w:r>
          </w:p>
        </w:tc>
        <w:tc>
          <w:tcPr>
            <w:tcW w:w="9030" w:type="dxa"/>
          </w:tcPr>
          <w:p w14:paraId="621D913E" w14:textId="77777777" w:rsidR="00B16F8D" w:rsidRPr="00895819" w:rsidRDefault="00BE691D" w:rsidP="00485361">
            <w:pPr>
              <w:spacing w:before="120" w:after="120"/>
              <w:rPr>
                <w:sz w:val="22"/>
                <w:lang w:val="sr-Cyrl-CS"/>
              </w:rPr>
            </w:pPr>
            <w:r w:rsidRPr="00895819">
              <w:rPr>
                <w:b/>
                <w:sz w:val="22"/>
                <w:lang w:val="sr-Cyrl-CS"/>
              </w:rPr>
              <w:t>ИРИ</w:t>
            </w:r>
            <w:r w:rsidR="00B16F8D" w:rsidRPr="00895819">
              <w:rPr>
                <w:b/>
                <w:sz w:val="22"/>
                <w:lang w:val="sr-Cyrl-CS"/>
              </w:rPr>
              <w:t xml:space="preserve"> 1.1</w:t>
            </w:r>
            <w:r w:rsidR="00B16F8D" w:rsidRPr="00895819">
              <w:rPr>
                <w:sz w:val="22"/>
                <w:lang w:val="sr-Cyrl-CS"/>
              </w:rPr>
              <w:t xml:space="preserve">. </w:t>
            </w:r>
            <w:r w:rsidR="005759DB" w:rsidRPr="00895819">
              <w:rPr>
                <w:sz w:val="22"/>
                <w:lang w:val="sr-Cyrl-CS"/>
              </w:rPr>
              <w:t xml:space="preserve">Приручник </w:t>
            </w:r>
            <w:r w:rsidR="001F0255" w:rsidRPr="00895819">
              <w:rPr>
                <w:sz w:val="22"/>
                <w:lang w:val="sr-Cyrl-CS"/>
              </w:rPr>
              <w:t>за</w:t>
            </w:r>
            <w:r w:rsidR="005759DB" w:rsidRPr="00895819">
              <w:rPr>
                <w:sz w:val="22"/>
                <w:lang w:val="sr-Cyrl-CS"/>
              </w:rPr>
              <w:t xml:space="preserve"> обрачун трошкова је измењен укључивањем зелених и климатских аспеката и развијен је калкулатор/алат (софтверско решење или надоградња и дигитализација текуће табеле трошкова) за обрачун трошкова</w:t>
            </w:r>
          </w:p>
        </w:tc>
        <w:tc>
          <w:tcPr>
            <w:tcW w:w="2694" w:type="dxa"/>
            <w:vAlign w:val="center"/>
          </w:tcPr>
          <w:p w14:paraId="2359F4E1" w14:textId="77777777" w:rsidR="00B16F8D" w:rsidRPr="00895819" w:rsidRDefault="00B16F8D" w:rsidP="00485361">
            <w:pPr>
              <w:spacing w:before="120" w:after="120"/>
              <w:jc w:val="center"/>
              <w:rPr>
                <w:sz w:val="22"/>
                <w:lang w:val="sr-Cyrl-CS"/>
              </w:rPr>
            </w:pPr>
            <w:r w:rsidRPr="00895819">
              <w:rPr>
                <w:sz w:val="22"/>
                <w:lang w:val="sr-Cyrl-CS"/>
              </w:rPr>
              <w:t>-</w:t>
            </w:r>
          </w:p>
        </w:tc>
        <w:tc>
          <w:tcPr>
            <w:tcW w:w="2409" w:type="dxa"/>
            <w:vAlign w:val="center"/>
          </w:tcPr>
          <w:p w14:paraId="4D143128" w14:textId="77777777" w:rsidR="00B16F8D" w:rsidRPr="00895819" w:rsidRDefault="005759DB" w:rsidP="00485361">
            <w:pPr>
              <w:spacing w:before="120" w:after="120"/>
              <w:jc w:val="center"/>
              <w:rPr>
                <w:sz w:val="22"/>
                <w:lang w:val="sr-Cyrl-CS"/>
              </w:rPr>
            </w:pPr>
            <w:r w:rsidRPr="00895819">
              <w:rPr>
                <w:sz w:val="22"/>
                <w:lang w:val="sr-Cyrl-CS"/>
              </w:rPr>
              <w:t xml:space="preserve">Само праћење </w:t>
            </w:r>
          </w:p>
        </w:tc>
      </w:tr>
      <w:tr w:rsidR="00B16F8D" w:rsidRPr="00895819" w14:paraId="06703A97" w14:textId="77777777" w:rsidTr="00485361">
        <w:tc>
          <w:tcPr>
            <w:tcW w:w="1171" w:type="dxa"/>
            <w:vAlign w:val="center"/>
          </w:tcPr>
          <w:p w14:paraId="39727A87" w14:textId="77777777" w:rsidR="00B16F8D" w:rsidRPr="00895819" w:rsidRDefault="00B16F8D" w:rsidP="00485361">
            <w:pPr>
              <w:spacing w:before="120" w:after="120"/>
              <w:rPr>
                <w:sz w:val="22"/>
                <w:lang w:val="sr-Cyrl-CS"/>
              </w:rPr>
            </w:pPr>
            <w:r w:rsidRPr="00895819">
              <w:rPr>
                <w:sz w:val="22"/>
                <w:lang w:val="sr-Cyrl-CS"/>
              </w:rPr>
              <w:t>2025</w:t>
            </w:r>
          </w:p>
        </w:tc>
        <w:tc>
          <w:tcPr>
            <w:tcW w:w="9030" w:type="dxa"/>
          </w:tcPr>
          <w:p w14:paraId="77D36B86" w14:textId="77777777" w:rsidR="00B16F8D" w:rsidRPr="00895819" w:rsidRDefault="00BE691D" w:rsidP="002D55B2">
            <w:pPr>
              <w:spacing w:before="120" w:after="120"/>
              <w:rPr>
                <w:sz w:val="22"/>
                <w:lang w:val="sr-Cyrl-CS"/>
              </w:rPr>
            </w:pPr>
            <w:r w:rsidRPr="00895819">
              <w:rPr>
                <w:b/>
                <w:sz w:val="22"/>
                <w:lang w:val="sr-Cyrl-CS"/>
              </w:rPr>
              <w:t>ДЛР</w:t>
            </w:r>
            <w:r w:rsidR="00B16F8D" w:rsidRPr="00895819">
              <w:rPr>
                <w:b/>
                <w:sz w:val="22"/>
                <w:lang w:val="sr-Cyrl-CS"/>
              </w:rPr>
              <w:t xml:space="preserve"> 1.2</w:t>
            </w:r>
            <w:r w:rsidR="00B16F8D" w:rsidRPr="00895819">
              <w:rPr>
                <w:sz w:val="22"/>
                <w:lang w:val="sr-Cyrl-CS"/>
              </w:rPr>
              <w:t xml:space="preserve">. </w:t>
            </w:r>
            <w:r w:rsidR="005759DB" w:rsidRPr="00895819">
              <w:rPr>
                <w:sz w:val="22"/>
                <w:lang w:val="sr-Cyrl-CS"/>
              </w:rPr>
              <w:t>Најмање 50% новоусвојених докумената јавних политика (током 2025. године) припремљено је применом зелених смерница</w:t>
            </w:r>
            <w:r w:rsidR="00B16F8D" w:rsidRPr="00895819">
              <w:rPr>
                <w:sz w:val="22"/>
                <w:lang w:val="sr-Cyrl-CS"/>
              </w:rPr>
              <w:t xml:space="preserve"> (</w:t>
            </w:r>
            <w:r w:rsidR="005759DB" w:rsidRPr="00895819">
              <w:rPr>
                <w:sz w:val="22"/>
                <w:lang w:val="sr-Cyrl-CS"/>
              </w:rPr>
              <w:t>у складу са ДЛР</w:t>
            </w:r>
            <w:r w:rsidR="00B16F8D" w:rsidRPr="00895819">
              <w:rPr>
                <w:sz w:val="22"/>
                <w:lang w:val="sr-Cyrl-CS"/>
              </w:rPr>
              <w:t xml:space="preserve"> 1.1) </w:t>
            </w:r>
            <w:r w:rsidR="005759DB" w:rsidRPr="00895819">
              <w:rPr>
                <w:sz w:val="22"/>
                <w:lang w:val="sr-Cyrl-CS"/>
              </w:rPr>
              <w:t>и методологије обрачуна трошкова система планирања</w:t>
            </w:r>
            <w:r w:rsidR="00B16F8D" w:rsidRPr="00895819">
              <w:rPr>
                <w:sz w:val="22"/>
                <w:lang w:val="sr-Cyrl-CS"/>
              </w:rPr>
              <w:t>.</w:t>
            </w:r>
          </w:p>
        </w:tc>
        <w:tc>
          <w:tcPr>
            <w:tcW w:w="2694" w:type="dxa"/>
            <w:vAlign w:val="center"/>
          </w:tcPr>
          <w:p w14:paraId="04D0F5C2" w14:textId="77777777" w:rsidR="00B16F8D" w:rsidRPr="00895819" w:rsidRDefault="00B16F8D" w:rsidP="00485361">
            <w:pPr>
              <w:spacing w:before="120" w:after="120"/>
              <w:jc w:val="center"/>
              <w:rPr>
                <w:sz w:val="22"/>
                <w:lang w:val="sr-Cyrl-CS"/>
              </w:rPr>
            </w:pPr>
            <w:r w:rsidRPr="00895819">
              <w:rPr>
                <w:sz w:val="22"/>
                <w:lang w:val="sr-Cyrl-CS"/>
              </w:rPr>
              <w:t>2</w:t>
            </w:r>
            <w:r w:rsidR="005759DB" w:rsidRPr="00895819">
              <w:rPr>
                <w:sz w:val="22"/>
                <w:lang w:val="sr-Cyrl-CS"/>
              </w:rPr>
              <w:t>,</w:t>
            </w:r>
            <w:r w:rsidRPr="00895819">
              <w:rPr>
                <w:sz w:val="22"/>
                <w:lang w:val="sr-Cyrl-CS"/>
              </w:rPr>
              <w:t xml:space="preserve">5 </w:t>
            </w:r>
            <w:r w:rsidR="005759DB" w:rsidRPr="00895819">
              <w:rPr>
                <w:sz w:val="22"/>
                <w:lang w:val="sr-Cyrl-CS"/>
              </w:rPr>
              <w:t>мил. ЕУР</w:t>
            </w:r>
          </w:p>
        </w:tc>
        <w:tc>
          <w:tcPr>
            <w:tcW w:w="2409" w:type="dxa"/>
            <w:vAlign w:val="center"/>
          </w:tcPr>
          <w:p w14:paraId="5F70D38A" w14:textId="77777777" w:rsidR="00B16F8D" w:rsidRPr="00895819" w:rsidRDefault="00B16F8D" w:rsidP="00485361">
            <w:pPr>
              <w:spacing w:before="120" w:after="120"/>
              <w:jc w:val="center"/>
              <w:rPr>
                <w:sz w:val="22"/>
                <w:lang w:val="sr-Cyrl-CS"/>
              </w:rPr>
            </w:pPr>
            <w:r w:rsidRPr="00895819">
              <w:rPr>
                <w:sz w:val="22"/>
                <w:lang w:val="sr-Cyrl-CS"/>
              </w:rPr>
              <w:t>0</w:t>
            </w:r>
            <w:r w:rsidR="005759DB" w:rsidRPr="00895819">
              <w:rPr>
                <w:sz w:val="22"/>
                <w:lang w:val="sr-Cyrl-CS"/>
              </w:rPr>
              <w:t>,</w:t>
            </w:r>
            <w:r w:rsidRPr="00895819">
              <w:rPr>
                <w:sz w:val="22"/>
                <w:lang w:val="sr-Cyrl-CS"/>
              </w:rPr>
              <w:t xml:space="preserve">5 </w:t>
            </w:r>
            <w:r w:rsidR="005759DB" w:rsidRPr="00895819">
              <w:rPr>
                <w:sz w:val="22"/>
                <w:lang w:val="sr-Cyrl-CS"/>
              </w:rPr>
              <w:t xml:space="preserve">мил. ЕУР </w:t>
            </w:r>
            <w:r w:rsidR="001F0255" w:rsidRPr="00895819">
              <w:rPr>
                <w:sz w:val="22"/>
                <w:lang w:val="sr-Cyrl-CS"/>
              </w:rPr>
              <w:t>за</w:t>
            </w:r>
            <w:r w:rsidR="005759DB" w:rsidRPr="00895819">
              <w:rPr>
                <w:sz w:val="22"/>
                <w:lang w:val="sr-Cyrl-CS"/>
              </w:rPr>
              <w:t xml:space="preserve"> 10пп</w:t>
            </w:r>
            <w:r w:rsidR="009B06F6" w:rsidRPr="00895819">
              <w:rPr>
                <w:rStyle w:val="FootnoteReference"/>
                <w:sz w:val="22"/>
                <w:lang w:val="sr-Cyrl-CS"/>
              </w:rPr>
              <w:footnoteReference w:id="8"/>
            </w:r>
            <w:r w:rsidR="009B06F6" w:rsidRPr="00895819">
              <w:rPr>
                <w:sz w:val="22"/>
                <w:lang w:val="sr-Cyrl-CS"/>
              </w:rPr>
              <w:t>.</w:t>
            </w:r>
            <w:r w:rsidRPr="00895819">
              <w:rPr>
                <w:sz w:val="22"/>
                <w:lang w:val="sr-Cyrl-CS"/>
              </w:rPr>
              <w:t xml:space="preserve"> </w:t>
            </w:r>
            <w:r w:rsidR="005759DB" w:rsidRPr="00895819">
              <w:rPr>
                <w:sz w:val="22"/>
                <w:lang w:val="sr-Cyrl-CS"/>
              </w:rPr>
              <w:t>транше</w:t>
            </w:r>
          </w:p>
        </w:tc>
      </w:tr>
      <w:tr w:rsidR="00B16F8D" w:rsidRPr="00895819" w14:paraId="31DED02C" w14:textId="77777777" w:rsidTr="00485361">
        <w:tc>
          <w:tcPr>
            <w:tcW w:w="1171" w:type="dxa"/>
            <w:vAlign w:val="center"/>
          </w:tcPr>
          <w:p w14:paraId="1A846416" w14:textId="77777777" w:rsidR="00B16F8D" w:rsidRPr="00895819" w:rsidRDefault="00B16F8D" w:rsidP="00485361">
            <w:pPr>
              <w:spacing w:before="120" w:after="120"/>
              <w:rPr>
                <w:sz w:val="22"/>
                <w:lang w:val="sr-Cyrl-CS"/>
              </w:rPr>
            </w:pPr>
            <w:r w:rsidRPr="00895819">
              <w:rPr>
                <w:sz w:val="22"/>
                <w:lang w:val="sr-Cyrl-CS"/>
              </w:rPr>
              <w:t>2026</w:t>
            </w:r>
          </w:p>
        </w:tc>
        <w:tc>
          <w:tcPr>
            <w:tcW w:w="9030" w:type="dxa"/>
          </w:tcPr>
          <w:p w14:paraId="6400606E" w14:textId="603F930B" w:rsidR="00B16F8D" w:rsidRPr="00895819" w:rsidRDefault="00BE691D" w:rsidP="00485361">
            <w:pPr>
              <w:spacing w:before="120" w:after="120"/>
              <w:rPr>
                <w:sz w:val="22"/>
                <w:lang w:val="sr-Cyrl-CS"/>
              </w:rPr>
            </w:pPr>
            <w:r w:rsidRPr="00895819">
              <w:rPr>
                <w:b/>
                <w:sz w:val="22"/>
                <w:lang w:val="sr-Cyrl-CS"/>
              </w:rPr>
              <w:t>ИРИ</w:t>
            </w:r>
            <w:r w:rsidR="00B16F8D" w:rsidRPr="00895819">
              <w:rPr>
                <w:b/>
                <w:sz w:val="22"/>
                <w:lang w:val="sr-Cyrl-CS"/>
              </w:rPr>
              <w:t xml:space="preserve"> 1.2</w:t>
            </w:r>
            <w:r w:rsidR="00B16F8D" w:rsidRPr="00895819">
              <w:rPr>
                <w:sz w:val="22"/>
                <w:lang w:val="sr-Cyrl-CS"/>
              </w:rPr>
              <w:t xml:space="preserve">. </w:t>
            </w:r>
            <w:r w:rsidR="005759DB" w:rsidRPr="00895819">
              <w:rPr>
                <w:sz w:val="22"/>
                <w:lang w:val="sr-Cyrl-CS"/>
              </w:rPr>
              <w:t xml:space="preserve">Урађена је </w:t>
            </w:r>
            <w:r w:rsidR="005759DB" w:rsidRPr="00895819">
              <w:rPr>
                <w:i/>
                <w:iCs/>
                <w:sz w:val="22"/>
                <w:lang w:val="sr-Cyrl-CS"/>
              </w:rPr>
              <w:t>е</w:t>
            </w:r>
            <w:r w:rsidR="00B16F8D" w:rsidRPr="00895819">
              <w:rPr>
                <w:i/>
                <w:iCs/>
                <w:sz w:val="22"/>
                <w:lang w:val="sr-Cyrl-CS"/>
              </w:rPr>
              <w:t>x-post</w:t>
            </w:r>
            <w:r w:rsidR="00B16F8D" w:rsidRPr="00895819">
              <w:rPr>
                <w:sz w:val="22"/>
                <w:lang w:val="sr-Cyrl-CS"/>
              </w:rPr>
              <w:t xml:space="preserve"> </w:t>
            </w:r>
            <w:r w:rsidR="005759DB" w:rsidRPr="00895819">
              <w:rPr>
                <w:sz w:val="22"/>
                <w:lang w:val="sr-Cyrl-CS"/>
              </w:rPr>
              <w:t xml:space="preserve">анализа минимум </w:t>
            </w:r>
            <w:r w:rsidR="00B16F8D" w:rsidRPr="00895819">
              <w:rPr>
                <w:sz w:val="22"/>
                <w:lang w:val="sr-Cyrl-CS"/>
              </w:rPr>
              <w:t xml:space="preserve">2 </w:t>
            </w:r>
            <w:r w:rsidR="00220124" w:rsidRPr="00895819">
              <w:rPr>
                <w:sz w:val="22"/>
                <w:lang w:val="sr-Cyrl-CS"/>
              </w:rPr>
              <w:t>Д</w:t>
            </w:r>
            <w:r w:rsidR="005759DB" w:rsidRPr="00895819">
              <w:rPr>
                <w:sz w:val="22"/>
                <w:lang w:val="sr-Cyrl-CS"/>
              </w:rPr>
              <w:t xml:space="preserve">окумента јавних политика кључних министарстава за </w:t>
            </w:r>
            <w:r w:rsidR="00D86FD2" w:rsidRPr="00895819">
              <w:rPr>
                <w:sz w:val="22"/>
                <w:lang w:val="sr-Cyrl-CS"/>
              </w:rPr>
              <w:t>Зелен</w:t>
            </w:r>
            <w:r w:rsidR="005759DB" w:rsidRPr="00895819">
              <w:rPr>
                <w:sz w:val="22"/>
                <w:lang w:val="sr-Cyrl-CS"/>
              </w:rPr>
              <w:t>у</w:t>
            </w:r>
            <w:r w:rsidR="00D86FD2" w:rsidRPr="00895819">
              <w:rPr>
                <w:sz w:val="22"/>
                <w:lang w:val="sr-Cyrl-CS"/>
              </w:rPr>
              <w:t xml:space="preserve"> агенд</w:t>
            </w:r>
            <w:r w:rsidR="005759DB" w:rsidRPr="00895819">
              <w:rPr>
                <w:sz w:val="22"/>
                <w:lang w:val="sr-Cyrl-CS"/>
              </w:rPr>
              <w:t>у и њиховог утицаја, како би се оценило на који начин унапредити зелено планирање у будућности.</w:t>
            </w:r>
          </w:p>
        </w:tc>
        <w:tc>
          <w:tcPr>
            <w:tcW w:w="2694" w:type="dxa"/>
            <w:vAlign w:val="center"/>
          </w:tcPr>
          <w:p w14:paraId="7D803DE4" w14:textId="77777777" w:rsidR="00B16F8D" w:rsidRPr="00895819" w:rsidRDefault="00B16F8D" w:rsidP="00485361">
            <w:pPr>
              <w:spacing w:before="120" w:after="120"/>
              <w:jc w:val="center"/>
              <w:rPr>
                <w:sz w:val="22"/>
                <w:lang w:val="sr-Cyrl-CS"/>
              </w:rPr>
            </w:pPr>
            <w:r w:rsidRPr="00895819">
              <w:rPr>
                <w:sz w:val="22"/>
                <w:lang w:val="sr-Cyrl-CS"/>
              </w:rPr>
              <w:t>-</w:t>
            </w:r>
          </w:p>
        </w:tc>
        <w:tc>
          <w:tcPr>
            <w:tcW w:w="2409" w:type="dxa"/>
            <w:vAlign w:val="center"/>
          </w:tcPr>
          <w:p w14:paraId="3BD33D2E" w14:textId="77777777" w:rsidR="00B16F8D" w:rsidRPr="00895819" w:rsidRDefault="005759DB" w:rsidP="00485361">
            <w:pPr>
              <w:spacing w:before="120" w:after="120"/>
              <w:jc w:val="center"/>
              <w:rPr>
                <w:sz w:val="22"/>
                <w:lang w:val="sr-Cyrl-CS"/>
              </w:rPr>
            </w:pPr>
            <w:r w:rsidRPr="00895819">
              <w:rPr>
                <w:sz w:val="22"/>
                <w:lang w:val="sr-Cyrl-CS"/>
              </w:rPr>
              <w:t>Само праћење</w:t>
            </w:r>
          </w:p>
        </w:tc>
      </w:tr>
    </w:tbl>
    <w:p w14:paraId="4BE5063E" w14:textId="77777777" w:rsidR="00B16F8D" w:rsidRPr="00895819" w:rsidRDefault="00B16F8D" w:rsidP="00B16F8D">
      <w:pPr>
        <w:pStyle w:val="BodyText"/>
        <w:jc w:val="left"/>
        <w:rPr>
          <w:rFonts w:cs="Times New Roman"/>
          <w:b/>
          <w:iCs/>
          <w:color w:val="000000"/>
          <w:lang w:val="sr-Cyrl-CS"/>
        </w:rPr>
      </w:pPr>
    </w:p>
    <w:tbl>
      <w:tblPr>
        <w:tblStyle w:val="Grilledutableau1"/>
        <w:tblW w:w="0" w:type="auto"/>
        <w:tblLook w:val="04A0" w:firstRow="1" w:lastRow="0" w:firstColumn="1" w:lastColumn="0" w:noHBand="0" w:noVBand="1"/>
      </w:tblPr>
      <w:tblGrid>
        <w:gridCol w:w="1353"/>
        <w:gridCol w:w="8848"/>
        <w:gridCol w:w="2694"/>
        <w:gridCol w:w="2409"/>
      </w:tblGrid>
      <w:tr w:rsidR="00B16F8D" w:rsidRPr="00895819" w14:paraId="64A32A17" w14:textId="77777777" w:rsidTr="00485361">
        <w:tc>
          <w:tcPr>
            <w:tcW w:w="15304" w:type="dxa"/>
            <w:gridSpan w:val="4"/>
            <w:shd w:val="clear" w:color="auto" w:fill="002060"/>
            <w:vAlign w:val="center"/>
          </w:tcPr>
          <w:p w14:paraId="2C2D65B2" w14:textId="77777777" w:rsidR="00B16F8D" w:rsidRPr="00895819" w:rsidRDefault="005759DB" w:rsidP="00485361">
            <w:pPr>
              <w:spacing w:before="120" w:after="120"/>
              <w:jc w:val="center"/>
              <w:rPr>
                <w:szCs w:val="22"/>
                <w:lang w:val="sr-Cyrl-CS"/>
              </w:rPr>
            </w:pPr>
            <w:r w:rsidRPr="00895819">
              <w:rPr>
                <w:szCs w:val="22"/>
                <w:lang w:val="sr-Cyrl-CS"/>
              </w:rPr>
              <w:t>ДЛИ</w:t>
            </w:r>
            <w:r w:rsidR="00B16F8D" w:rsidRPr="00895819">
              <w:rPr>
                <w:szCs w:val="22"/>
                <w:lang w:val="sr-Cyrl-CS"/>
              </w:rPr>
              <w:t xml:space="preserve"> 2 – </w:t>
            </w:r>
            <w:r w:rsidRPr="00895819">
              <w:rPr>
                <w:szCs w:val="22"/>
                <w:lang w:val="sr-Cyrl-CS"/>
              </w:rPr>
              <w:t xml:space="preserve">Имплементација идентификације зелених расхода </w:t>
            </w:r>
          </w:p>
        </w:tc>
      </w:tr>
      <w:tr w:rsidR="005759DB" w:rsidRPr="00895819" w14:paraId="40664B2E" w14:textId="77777777" w:rsidTr="00485361">
        <w:tc>
          <w:tcPr>
            <w:tcW w:w="1353" w:type="dxa"/>
            <w:shd w:val="clear" w:color="auto" w:fill="002060"/>
            <w:vAlign w:val="center"/>
          </w:tcPr>
          <w:p w14:paraId="629298AF" w14:textId="77777777" w:rsidR="005759DB" w:rsidRPr="00895819" w:rsidRDefault="005759DB" w:rsidP="005759DB">
            <w:pPr>
              <w:spacing w:before="120" w:after="120"/>
              <w:jc w:val="center"/>
              <w:rPr>
                <w:szCs w:val="22"/>
                <w:lang w:val="sr-Cyrl-CS"/>
              </w:rPr>
            </w:pPr>
            <w:r w:rsidRPr="00895819">
              <w:rPr>
                <w:lang w:val="sr-Cyrl-CS"/>
              </w:rPr>
              <w:t>Период</w:t>
            </w:r>
          </w:p>
        </w:tc>
        <w:tc>
          <w:tcPr>
            <w:tcW w:w="8848" w:type="dxa"/>
            <w:shd w:val="clear" w:color="auto" w:fill="002060"/>
            <w:vAlign w:val="center"/>
          </w:tcPr>
          <w:p w14:paraId="2CF853BB" w14:textId="77777777" w:rsidR="005759DB" w:rsidRPr="00895819" w:rsidRDefault="005759DB" w:rsidP="005759DB">
            <w:pPr>
              <w:spacing w:before="120" w:after="120"/>
              <w:jc w:val="center"/>
              <w:rPr>
                <w:szCs w:val="22"/>
                <w:lang w:val="sr-Cyrl-CS"/>
              </w:rPr>
            </w:pPr>
            <w:r w:rsidRPr="00895819">
              <w:rPr>
                <w:lang w:val="sr-Cyrl-CS"/>
              </w:rPr>
              <w:t>Вредност</w:t>
            </w:r>
          </w:p>
        </w:tc>
        <w:tc>
          <w:tcPr>
            <w:tcW w:w="2694" w:type="dxa"/>
            <w:shd w:val="clear" w:color="auto" w:fill="002060"/>
          </w:tcPr>
          <w:p w14:paraId="4DB104D3" w14:textId="77777777" w:rsidR="005759DB" w:rsidRPr="00895819" w:rsidRDefault="005759DB" w:rsidP="005759DB">
            <w:pPr>
              <w:spacing w:before="120" w:after="120"/>
              <w:jc w:val="center"/>
              <w:rPr>
                <w:szCs w:val="22"/>
                <w:lang w:val="sr-Cyrl-CS"/>
              </w:rPr>
            </w:pPr>
            <w:r w:rsidRPr="00895819">
              <w:rPr>
                <w:lang w:val="sr-Cyrl-CS"/>
              </w:rPr>
              <w:t>Износ који обезбеђује АФД</w:t>
            </w:r>
          </w:p>
        </w:tc>
        <w:tc>
          <w:tcPr>
            <w:tcW w:w="2409" w:type="dxa"/>
            <w:shd w:val="clear" w:color="auto" w:fill="002060"/>
            <w:vAlign w:val="center"/>
          </w:tcPr>
          <w:p w14:paraId="1B12EEF7" w14:textId="77777777" w:rsidR="005759DB" w:rsidRPr="00895819" w:rsidRDefault="005759DB" w:rsidP="005759DB">
            <w:pPr>
              <w:spacing w:before="120" w:after="120"/>
              <w:jc w:val="center"/>
              <w:rPr>
                <w:szCs w:val="22"/>
                <w:lang w:val="sr-Cyrl-CS"/>
              </w:rPr>
            </w:pPr>
            <w:r w:rsidRPr="00895819">
              <w:rPr>
                <w:lang w:val="sr-Cyrl-CS"/>
              </w:rPr>
              <w:t>Формула за алокацију</w:t>
            </w:r>
          </w:p>
        </w:tc>
      </w:tr>
      <w:tr w:rsidR="00B16F8D" w:rsidRPr="00895819" w14:paraId="5169D6BE" w14:textId="77777777" w:rsidTr="002D55B2">
        <w:tc>
          <w:tcPr>
            <w:tcW w:w="1353" w:type="dxa"/>
            <w:vAlign w:val="center"/>
          </w:tcPr>
          <w:p w14:paraId="2F5EE832" w14:textId="77777777" w:rsidR="00B16F8D" w:rsidRPr="00895819" w:rsidRDefault="005759DB" w:rsidP="00485361">
            <w:pPr>
              <w:spacing w:before="120" w:after="120"/>
              <w:rPr>
                <w:szCs w:val="22"/>
                <w:lang w:val="sr-Cyrl-CS"/>
              </w:rPr>
            </w:pPr>
            <w:r w:rsidRPr="00895819">
              <w:rPr>
                <w:szCs w:val="22"/>
                <w:lang w:val="sr-Cyrl-CS"/>
              </w:rPr>
              <w:t>Полазна основа</w:t>
            </w:r>
          </w:p>
        </w:tc>
        <w:tc>
          <w:tcPr>
            <w:tcW w:w="13951" w:type="dxa"/>
            <w:gridSpan w:val="3"/>
            <w:vAlign w:val="center"/>
          </w:tcPr>
          <w:p w14:paraId="66FEA0C0" w14:textId="77777777" w:rsidR="00B16F8D" w:rsidRPr="00895819" w:rsidRDefault="005759DB" w:rsidP="002D55B2">
            <w:pPr>
              <w:spacing w:before="120" w:after="120"/>
              <w:jc w:val="left"/>
              <w:rPr>
                <w:szCs w:val="22"/>
                <w:lang w:val="sr-Cyrl-CS"/>
              </w:rPr>
            </w:pPr>
            <w:r w:rsidRPr="00895819">
              <w:rPr>
                <w:szCs w:val="22"/>
                <w:lang w:val="sr-Cyrl-CS"/>
              </w:rPr>
              <w:t>Идентификација зелених буџетских расхода се не спроводи у складу са кохерентном методологијом и односи се само на расходе који имају позитиван утицај на животну средину</w:t>
            </w:r>
            <w:r w:rsidR="00B16F8D" w:rsidRPr="00895819">
              <w:rPr>
                <w:szCs w:val="22"/>
                <w:lang w:val="sr-Cyrl-CS"/>
              </w:rPr>
              <w:t>.</w:t>
            </w:r>
          </w:p>
        </w:tc>
      </w:tr>
      <w:tr w:rsidR="00B16F8D" w:rsidRPr="00895819" w14:paraId="5805F9E3" w14:textId="77777777" w:rsidTr="00485361">
        <w:tc>
          <w:tcPr>
            <w:tcW w:w="1353" w:type="dxa"/>
            <w:vAlign w:val="center"/>
          </w:tcPr>
          <w:p w14:paraId="64600D90" w14:textId="77777777" w:rsidR="00B16F8D" w:rsidRPr="00895819" w:rsidRDefault="00B16F8D" w:rsidP="00485361">
            <w:pPr>
              <w:spacing w:before="120" w:after="120"/>
              <w:rPr>
                <w:szCs w:val="22"/>
                <w:lang w:val="sr-Cyrl-CS"/>
              </w:rPr>
            </w:pPr>
            <w:r w:rsidRPr="00895819">
              <w:rPr>
                <w:szCs w:val="22"/>
                <w:lang w:val="sr-Cyrl-CS"/>
              </w:rPr>
              <w:t>2023</w:t>
            </w:r>
          </w:p>
        </w:tc>
        <w:tc>
          <w:tcPr>
            <w:tcW w:w="8848" w:type="dxa"/>
          </w:tcPr>
          <w:p w14:paraId="53F545A5" w14:textId="2F4F38DA" w:rsidR="00B16F8D" w:rsidRPr="00895819" w:rsidRDefault="001F0255" w:rsidP="002D55B2">
            <w:pPr>
              <w:spacing w:before="120" w:after="120"/>
              <w:rPr>
                <w:szCs w:val="22"/>
                <w:lang w:val="sr-Cyrl-CS"/>
              </w:rPr>
            </w:pPr>
            <w:r w:rsidRPr="00895819">
              <w:rPr>
                <w:b/>
                <w:szCs w:val="22"/>
                <w:lang w:val="sr-Cyrl-CS"/>
              </w:rPr>
              <w:t>ДЛР</w:t>
            </w:r>
            <w:r w:rsidR="00B16F8D" w:rsidRPr="00895819">
              <w:rPr>
                <w:b/>
                <w:szCs w:val="22"/>
                <w:lang w:val="sr-Cyrl-CS"/>
              </w:rPr>
              <w:t xml:space="preserve"> 2.1</w:t>
            </w:r>
            <w:r w:rsidR="00B16F8D" w:rsidRPr="00895819">
              <w:rPr>
                <w:szCs w:val="22"/>
                <w:lang w:val="sr-Cyrl-CS"/>
              </w:rPr>
              <w:t xml:space="preserve">. </w:t>
            </w:r>
            <w:r w:rsidR="002D55B2" w:rsidRPr="00895819">
              <w:rPr>
                <w:szCs w:val="22"/>
                <w:lang w:val="sr-Cyrl-CS"/>
              </w:rPr>
              <w:t xml:space="preserve">(i) </w:t>
            </w:r>
            <w:r w:rsidR="00F76D97" w:rsidRPr="00895819">
              <w:rPr>
                <w:szCs w:val="22"/>
                <w:lang w:val="sr-Cyrl-CS"/>
              </w:rPr>
              <w:t>Министарство финансија</w:t>
            </w:r>
            <w:r w:rsidR="002D55B2" w:rsidRPr="00895819">
              <w:rPr>
                <w:szCs w:val="22"/>
                <w:lang w:val="sr-Cyrl-CS"/>
              </w:rPr>
              <w:t xml:space="preserve"> </w:t>
            </w:r>
            <w:r w:rsidR="00611820" w:rsidRPr="00895819">
              <w:rPr>
                <w:szCs w:val="22"/>
                <w:lang w:val="sr-Cyrl-CS"/>
              </w:rPr>
              <w:t xml:space="preserve">је до краја 2023. године увело обавезу примене методологије идентификације зелених расхода и план имплементације </w:t>
            </w:r>
            <w:r w:rsidR="002D55B2" w:rsidRPr="00895819">
              <w:rPr>
                <w:szCs w:val="22"/>
                <w:lang w:val="sr-Cyrl-CS"/>
              </w:rPr>
              <w:t>(</w:t>
            </w:r>
            <w:r w:rsidR="00611820" w:rsidRPr="00895819">
              <w:rPr>
                <w:szCs w:val="22"/>
                <w:lang w:val="sr-Cyrl-CS"/>
              </w:rPr>
              <w:t>„Мапу пута</w:t>
            </w:r>
            <w:r w:rsidR="007C25D7" w:rsidRPr="00895819">
              <w:rPr>
                <w:lang w:val="sr-Cyrl-CS"/>
              </w:rPr>
              <w:t>”</w:t>
            </w:r>
            <w:r w:rsidR="002D55B2" w:rsidRPr="00895819">
              <w:rPr>
                <w:szCs w:val="22"/>
                <w:lang w:val="sr-Cyrl-CS"/>
              </w:rPr>
              <w:t xml:space="preserve">), (ii) </w:t>
            </w:r>
            <w:r w:rsidR="00611820" w:rsidRPr="00895819">
              <w:rPr>
                <w:szCs w:val="22"/>
                <w:lang w:val="sr-Cyrl-CS"/>
              </w:rPr>
              <w:t xml:space="preserve">Међуресорна радна група одобрила је Мапу пута; и </w:t>
            </w:r>
            <w:r w:rsidR="002D55B2" w:rsidRPr="00895819">
              <w:rPr>
                <w:szCs w:val="22"/>
                <w:lang w:val="sr-Cyrl-CS"/>
              </w:rPr>
              <w:t xml:space="preserve">(iii) </w:t>
            </w:r>
            <w:r w:rsidR="00611820" w:rsidRPr="00895819">
              <w:rPr>
                <w:szCs w:val="22"/>
                <w:lang w:val="sr-Cyrl-CS"/>
              </w:rPr>
              <w:t xml:space="preserve">Министарство финансија објављује </w:t>
            </w:r>
            <w:r w:rsidR="00611820" w:rsidRPr="00895819">
              <w:rPr>
                <w:szCs w:val="22"/>
                <w:lang w:val="sr-Cyrl-CS"/>
              </w:rPr>
              <w:lastRenderedPageBreak/>
              <w:t>методологију за идентификацију зелених расхода на својој интернет страници и уноси је у упутство за припрему буџета за 2025. годину.</w:t>
            </w:r>
          </w:p>
        </w:tc>
        <w:tc>
          <w:tcPr>
            <w:tcW w:w="2694" w:type="dxa"/>
            <w:vAlign w:val="center"/>
          </w:tcPr>
          <w:p w14:paraId="037DC035" w14:textId="77777777" w:rsidR="00B16F8D" w:rsidRPr="00895819" w:rsidRDefault="00B16F8D" w:rsidP="00485361">
            <w:pPr>
              <w:spacing w:before="120" w:after="120"/>
              <w:jc w:val="center"/>
              <w:rPr>
                <w:szCs w:val="22"/>
                <w:lang w:val="sr-Cyrl-CS"/>
              </w:rPr>
            </w:pPr>
            <w:r w:rsidRPr="00895819">
              <w:rPr>
                <w:szCs w:val="22"/>
                <w:lang w:val="sr-Cyrl-CS"/>
              </w:rPr>
              <w:lastRenderedPageBreak/>
              <w:t xml:space="preserve">2.5 </w:t>
            </w:r>
            <w:r w:rsidR="005759DB" w:rsidRPr="00895819">
              <w:rPr>
                <w:szCs w:val="22"/>
                <w:lang w:val="sr-Cyrl-CS"/>
              </w:rPr>
              <w:t>мил. ЕУР</w:t>
            </w:r>
          </w:p>
        </w:tc>
        <w:tc>
          <w:tcPr>
            <w:tcW w:w="2409" w:type="dxa"/>
            <w:vAlign w:val="center"/>
          </w:tcPr>
          <w:p w14:paraId="0A436F00" w14:textId="77777777" w:rsidR="00B16F8D" w:rsidRPr="00895819" w:rsidRDefault="005759DB" w:rsidP="00485361">
            <w:pPr>
              <w:spacing w:before="120" w:after="120"/>
              <w:jc w:val="center"/>
              <w:rPr>
                <w:szCs w:val="22"/>
                <w:lang w:val="sr-Cyrl-CS"/>
              </w:rPr>
            </w:pPr>
            <w:r w:rsidRPr="00895819">
              <w:rPr>
                <w:szCs w:val="22"/>
                <w:lang w:val="sr-Cyrl-CS"/>
              </w:rPr>
              <w:t>Када се постигне</w:t>
            </w:r>
          </w:p>
        </w:tc>
      </w:tr>
      <w:tr w:rsidR="00B16F8D" w:rsidRPr="00895819" w14:paraId="13C80D90" w14:textId="77777777" w:rsidTr="00485361">
        <w:tc>
          <w:tcPr>
            <w:tcW w:w="1353" w:type="dxa"/>
            <w:vAlign w:val="center"/>
          </w:tcPr>
          <w:p w14:paraId="78505DB7" w14:textId="77777777" w:rsidR="00B16F8D" w:rsidRPr="00895819" w:rsidRDefault="00B16F8D" w:rsidP="00485361">
            <w:pPr>
              <w:spacing w:before="120" w:after="120"/>
              <w:rPr>
                <w:szCs w:val="22"/>
                <w:lang w:val="sr-Cyrl-CS"/>
              </w:rPr>
            </w:pPr>
            <w:r w:rsidRPr="00895819">
              <w:rPr>
                <w:szCs w:val="22"/>
                <w:lang w:val="sr-Cyrl-CS"/>
              </w:rPr>
              <w:t>2024</w:t>
            </w:r>
          </w:p>
        </w:tc>
        <w:tc>
          <w:tcPr>
            <w:tcW w:w="8848" w:type="dxa"/>
          </w:tcPr>
          <w:p w14:paraId="3E283708" w14:textId="77777777" w:rsidR="00B16F8D" w:rsidRPr="00895819" w:rsidRDefault="00611820" w:rsidP="00485361">
            <w:pPr>
              <w:spacing w:before="120" w:after="120"/>
              <w:rPr>
                <w:szCs w:val="22"/>
                <w:lang w:val="sr-Cyrl-CS"/>
              </w:rPr>
            </w:pPr>
            <w:r w:rsidRPr="00895819">
              <w:rPr>
                <w:b/>
                <w:szCs w:val="22"/>
                <w:lang w:val="sr-Cyrl-CS"/>
              </w:rPr>
              <w:t>ДЛР</w:t>
            </w:r>
            <w:r w:rsidR="00B16F8D" w:rsidRPr="00895819">
              <w:rPr>
                <w:b/>
                <w:szCs w:val="22"/>
                <w:lang w:val="sr-Cyrl-CS"/>
              </w:rPr>
              <w:t xml:space="preserve"> 2.2</w:t>
            </w:r>
            <w:r w:rsidR="00B16F8D" w:rsidRPr="00895819">
              <w:rPr>
                <w:szCs w:val="22"/>
                <w:lang w:val="sr-Cyrl-CS"/>
              </w:rPr>
              <w:t xml:space="preserve">. </w:t>
            </w:r>
            <w:r w:rsidRPr="00895819">
              <w:rPr>
                <w:szCs w:val="22"/>
                <w:lang w:val="sr-Cyrl-CS"/>
              </w:rPr>
              <w:t xml:space="preserve">Усвојена методологије за идентификацију зелених расхода </w:t>
            </w:r>
            <w:r w:rsidR="002D55B2" w:rsidRPr="00895819">
              <w:rPr>
                <w:szCs w:val="22"/>
                <w:lang w:val="sr-Cyrl-CS"/>
              </w:rPr>
              <w:t xml:space="preserve">(i) </w:t>
            </w:r>
            <w:r w:rsidRPr="00895819">
              <w:rPr>
                <w:szCs w:val="22"/>
                <w:lang w:val="sr-Cyrl-CS"/>
              </w:rPr>
              <w:t xml:space="preserve">се користи за припрему буџета за </w:t>
            </w:r>
            <w:r w:rsidR="002D55B2" w:rsidRPr="00895819">
              <w:rPr>
                <w:szCs w:val="22"/>
                <w:lang w:val="sr-Cyrl-CS"/>
              </w:rPr>
              <w:t>2025</w:t>
            </w:r>
            <w:r w:rsidRPr="00895819">
              <w:rPr>
                <w:szCs w:val="22"/>
                <w:lang w:val="sr-Cyrl-CS"/>
              </w:rPr>
              <w:t>. годину</w:t>
            </w:r>
            <w:r w:rsidR="002D55B2" w:rsidRPr="00895819">
              <w:rPr>
                <w:szCs w:val="22"/>
                <w:lang w:val="sr-Cyrl-CS"/>
              </w:rPr>
              <w:t xml:space="preserve"> (</w:t>
            </w:r>
            <w:r w:rsidRPr="00895819">
              <w:rPr>
                <w:szCs w:val="22"/>
                <w:lang w:val="sr-Cyrl-CS"/>
              </w:rPr>
              <w:t xml:space="preserve">усваја се до децембра </w:t>
            </w:r>
            <w:r w:rsidR="002D55B2" w:rsidRPr="00895819">
              <w:rPr>
                <w:szCs w:val="22"/>
                <w:lang w:val="sr-Cyrl-CS"/>
              </w:rPr>
              <w:t>2024</w:t>
            </w:r>
            <w:r w:rsidRPr="00895819">
              <w:rPr>
                <w:szCs w:val="22"/>
                <w:lang w:val="sr-Cyrl-CS"/>
              </w:rPr>
              <w:t>.</w:t>
            </w:r>
            <w:r w:rsidR="002D55B2" w:rsidRPr="00895819">
              <w:rPr>
                <w:szCs w:val="22"/>
                <w:lang w:val="sr-Cyrl-CS"/>
              </w:rPr>
              <w:t>)</w:t>
            </w:r>
            <w:r w:rsidRPr="00895819">
              <w:rPr>
                <w:szCs w:val="22"/>
                <w:lang w:val="sr-Cyrl-CS"/>
              </w:rPr>
              <w:t>; и</w:t>
            </w:r>
            <w:r w:rsidR="002D55B2" w:rsidRPr="00895819">
              <w:rPr>
                <w:szCs w:val="22"/>
                <w:lang w:val="sr-Cyrl-CS"/>
              </w:rPr>
              <w:t xml:space="preserve"> (ii) </w:t>
            </w:r>
            <w:r w:rsidR="001F0255" w:rsidRPr="00895819">
              <w:rPr>
                <w:szCs w:val="22"/>
                <w:lang w:val="sr-Cyrl-CS"/>
              </w:rPr>
              <w:t xml:space="preserve">идентификовани су зелени расходи </w:t>
            </w:r>
            <w:r w:rsidR="002B462A" w:rsidRPr="00895819">
              <w:rPr>
                <w:szCs w:val="22"/>
                <w:lang w:val="sr-Cyrl-CS"/>
              </w:rPr>
              <w:t xml:space="preserve">у Закону о буџету за </w:t>
            </w:r>
            <w:r w:rsidR="002D55B2" w:rsidRPr="00895819">
              <w:rPr>
                <w:szCs w:val="22"/>
                <w:lang w:val="sr-Cyrl-CS"/>
              </w:rPr>
              <w:t>2025</w:t>
            </w:r>
            <w:r w:rsidR="002B462A" w:rsidRPr="00895819">
              <w:rPr>
                <w:szCs w:val="22"/>
                <w:lang w:val="sr-Cyrl-CS"/>
              </w:rPr>
              <w:t>. годину</w:t>
            </w:r>
            <w:r w:rsidR="002D55B2" w:rsidRPr="00895819">
              <w:rPr>
                <w:szCs w:val="22"/>
                <w:lang w:val="sr-Cyrl-CS"/>
              </w:rPr>
              <w:t>.</w:t>
            </w:r>
          </w:p>
        </w:tc>
        <w:tc>
          <w:tcPr>
            <w:tcW w:w="2694" w:type="dxa"/>
            <w:vAlign w:val="center"/>
          </w:tcPr>
          <w:p w14:paraId="27D409FF" w14:textId="77777777" w:rsidR="00B16F8D" w:rsidRPr="00895819" w:rsidRDefault="00B16F8D" w:rsidP="00485361">
            <w:pPr>
              <w:spacing w:before="120" w:after="120"/>
              <w:jc w:val="center"/>
              <w:rPr>
                <w:szCs w:val="22"/>
                <w:lang w:val="sr-Cyrl-CS"/>
              </w:rPr>
            </w:pPr>
            <w:r w:rsidRPr="00895819">
              <w:rPr>
                <w:szCs w:val="22"/>
                <w:lang w:val="sr-Cyrl-CS"/>
              </w:rPr>
              <w:t>2</w:t>
            </w:r>
            <w:r w:rsidR="002B462A" w:rsidRPr="00895819">
              <w:rPr>
                <w:szCs w:val="22"/>
                <w:lang w:val="sr-Cyrl-CS"/>
              </w:rPr>
              <w:t>,</w:t>
            </w:r>
            <w:r w:rsidRPr="00895819">
              <w:rPr>
                <w:szCs w:val="22"/>
                <w:lang w:val="sr-Cyrl-CS"/>
              </w:rPr>
              <w:t xml:space="preserve">5 </w:t>
            </w:r>
            <w:r w:rsidR="002B462A" w:rsidRPr="00895819">
              <w:rPr>
                <w:szCs w:val="22"/>
                <w:lang w:val="sr-Cyrl-CS"/>
              </w:rPr>
              <w:t>мил. ЕУР</w:t>
            </w:r>
          </w:p>
        </w:tc>
        <w:tc>
          <w:tcPr>
            <w:tcW w:w="2409" w:type="dxa"/>
            <w:vAlign w:val="center"/>
          </w:tcPr>
          <w:p w14:paraId="0C90382F" w14:textId="77777777" w:rsidR="00B16F8D" w:rsidRPr="00895819" w:rsidRDefault="00611820" w:rsidP="00485361">
            <w:pPr>
              <w:spacing w:before="120" w:after="120"/>
              <w:jc w:val="center"/>
              <w:rPr>
                <w:szCs w:val="22"/>
                <w:lang w:val="sr-Cyrl-CS"/>
              </w:rPr>
            </w:pPr>
            <w:r w:rsidRPr="00895819">
              <w:rPr>
                <w:szCs w:val="22"/>
                <w:lang w:val="sr-Cyrl-CS"/>
              </w:rPr>
              <w:t>Када се постигне</w:t>
            </w:r>
          </w:p>
        </w:tc>
      </w:tr>
      <w:tr w:rsidR="00B16F8D" w:rsidRPr="00895819" w14:paraId="3D584E87" w14:textId="77777777" w:rsidTr="00485361">
        <w:tc>
          <w:tcPr>
            <w:tcW w:w="1353" w:type="dxa"/>
            <w:vAlign w:val="center"/>
          </w:tcPr>
          <w:p w14:paraId="7CBD0069" w14:textId="77777777" w:rsidR="00B16F8D" w:rsidRPr="00895819" w:rsidRDefault="00B16F8D" w:rsidP="00485361">
            <w:pPr>
              <w:spacing w:before="120" w:after="120"/>
              <w:rPr>
                <w:szCs w:val="22"/>
                <w:lang w:val="sr-Cyrl-CS"/>
              </w:rPr>
            </w:pPr>
            <w:r w:rsidRPr="00895819">
              <w:rPr>
                <w:szCs w:val="22"/>
                <w:lang w:val="sr-Cyrl-CS"/>
              </w:rPr>
              <w:t>2025</w:t>
            </w:r>
          </w:p>
        </w:tc>
        <w:tc>
          <w:tcPr>
            <w:tcW w:w="8848" w:type="dxa"/>
          </w:tcPr>
          <w:p w14:paraId="79C5B7B3" w14:textId="77777777" w:rsidR="00B16F8D" w:rsidRPr="00895819" w:rsidRDefault="00611820" w:rsidP="00485361">
            <w:pPr>
              <w:spacing w:before="120" w:after="120"/>
              <w:rPr>
                <w:szCs w:val="22"/>
                <w:lang w:val="sr-Cyrl-CS"/>
              </w:rPr>
            </w:pPr>
            <w:r w:rsidRPr="00895819">
              <w:rPr>
                <w:b/>
                <w:szCs w:val="22"/>
                <w:lang w:val="sr-Cyrl-CS"/>
              </w:rPr>
              <w:t>ИРИ</w:t>
            </w:r>
            <w:r w:rsidR="00B16F8D" w:rsidRPr="00895819">
              <w:rPr>
                <w:b/>
                <w:szCs w:val="22"/>
                <w:lang w:val="sr-Cyrl-CS"/>
              </w:rPr>
              <w:t xml:space="preserve"> 2.1</w:t>
            </w:r>
            <w:r w:rsidR="00B16F8D" w:rsidRPr="00895819">
              <w:rPr>
                <w:szCs w:val="22"/>
                <w:lang w:val="sr-Cyrl-CS"/>
              </w:rPr>
              <w:t xml:space="preserve">. </w:t>
            </w:r>
            <w:r w:rsidR="002B462A" w:rsidRPr="00895819">
              <w:rPr>
                <w:szCs w:val="22"/>
                <w:lang w:val="sr-Cyrl-CS"/>
              </w:rPr>
              <w:t xml:space="preserve">Минимум </w:t>
            </w:r>
            <w:r w:rsidR="00B16F8D" w:rsidRPr="00895819">
              <w:rPr>
                <w:szCs w:val="22"/>
                <w:lang w:val="sr-Cyrl-CS"/>
              </w:rPr>
              <w:t xml:space="preserve">75% </w:t>
            </w:r>
            <w:r w:rsidR="002B462A" w:rsidRPr="00895819">
              <w:rPr>
                <w:szCs w:val="22"/>
                <w:lang w:val="sr-Cyrl-CS"/>
              </w:rPr>
              <w:t xml:space="preserve">идентификованих зелених расхода </w:t>
            </w:r>
            <w:r w:rsidR="00B16F8D" w:rsidRPr="00895819">
              <w:rPr>
                <w:szCs w:val="22"/>
                <w:lang w:val="sr-Cyrl-CS"/>
              </w:rPr>
              <w:t>(</w:t>
            </w:r>
            <w:r w:rsidR="002B462A" w:rsidRPr="00895819">
              <w:rPr>
                <w:szCs w:val="22"/>
                <w:lang w:val="sr-Cyrl-CS"/>
              </w:rPr>
              <w:t>текућих и капиталних</w:t>
            </w:r>
            <w:r w:rsidR="00B16F8D" w:rsidRPr="00895819">
              <w:rPr>
                <w:szCs w:val="22"/>
                <w:lang w:val="sr-Cyrl-CS"/>
              </w:rPr>
              <w:t xml:space="preserve">) </w:t>
            </w:r>
            <w:r w:rsidR="002B462A" w:rsidRPr="00895819">
              <w:rPr>
                <w:szCs w:val="22"/>
                <w:lang w:val="sr-Cyrl-CS"/>
              </w:rPr>
              <w:t xml:space="preserve">реализовано је до краја </w:t>
            </w:r>
            <w:r w:rsidR="00B16F8D" w:rsidRPr="00895819">
              <w:rPr>
                <w:szCs w:val="22"/>
                <w:lang w:val="sr-Cyrl-CS"/>
              </w:rPr>
              <w:t>2025</w:t>
            </w:r>
            <w:r w:rsidR="002B462A" w:rsidRPr="00895819">
              <w:rPr>
                <w:szCs w:val="22"/>
                <w:lang w:val="sr-Cyrl-CS"/>
              </w:rPr>
              <w:t>. године.</w:t>
            </w:r>
          </w:p>
        </w:tc>
        <w:tc>
          <w:tcPr>
            <w:tcW w:w="2694" w:type="dxa"/>
            <w:vAlign w:val="center"/>
          </w:tcPr>
          <w:p w14:paraId="31253C19" w14:textId="77777777" w:rsidR="00B16F8D" w:rsidRPr="00895819" w:rsidRDefault="00B16F8D" w:rsidP="00485361">
            <w:pPr>
              <w:spacing w:before="120" w:after="120"/>
              <w:jc w:val="center"/>
              <w:rPr>
                <w:szCs w:val="22"/>
                <w:lang w:val="sr-Cyrl-CS"/>
              </w:rPr>
            </w:pPr>
            <w:r w:rsidRPr="00895819">
              <w:rPr>
                <w:szCs w:val="22"/>
                <w:lang w:val="sr-Cyrl-CS"/>
              </w:rPr>
              <w:t>-</w:t>
            </w:r>
          </w:p>
        </w:tc>
        <w:tc>
          <w:tcPr>
            <w:tcW w:w="2409" w:type="dxa"/>
            <w:vAlign w:val="center"/>
          </w:tcPr>
          <w:p w14:paraId="7C7F5E79" w14:textId="77777777" w:rsidR="00B16F8D" w:rsidRPr="00895819" w:rsidRDefault="00611820" w:rsidP="00485361">
            <w:pPr>
              <w:spacing w:before="120" w:after="120"/>
              <w:jc w:val="center"/>
              <w:rPr>
                <w:szCs w:val="22"/>
                <w:lang w:val="sr-Cyrl-CS"/>
              </w:rPr>
            </w:pPr>
            <w:r w:rsidRPr="00895819">
              <w:rPr>
                <w:szCs w:val="22"/>
                <w:lang w:val="sr-Cyrl-CS"/>
              </w:rPr>
              <w:t>Само праћење</w:t>
            </w:r>
          </w:p>
        </w:tc>
      </w:tr>
      <w:tr w:rsidR="00B16F8D" w:rsidRPr="00895819" w14:paraId="5876C9BC" w14:textId="77777777" w:rsidTr="00485361">
        <w:tc>
          <w:tcPr>
            <w:tcW w:w="1353" w:type="dxa"/>
            <w:vAlign w:val="center"/>
          </w:tcPr>
          <w:p w14:paraId="7FC97392" w14:textId="77777777" w:rsidR="00B16F8D" w:rsidRPr="00895819" w:rsidRDefault="00B16F8D" w:rsidP="00485361">
            <w:pPr>
              <w:spacing w:before="120" w:after="120"/>
              <w:rPr>
                <w:szCs w:val="22"/>
                <w:lang w:val="sr-Cyrl-CS"/>
              </w:rPr>
            </w:pPr>
            <w:r w:rsidRPr="00895819">
              <w:rPr>
                <w:szCs w:val="22"/>
                <w:lang w:val="sr-Cyrl-CS"/>
              </w:rPr>
              <w:t>2026</w:t>
            </w:r>
          </w:p>
        </w:tc>
        <w:tc>
          <w:tcPr>
            <w:tcW w:w="8848" w:type="dxa"/>
          </w:tcPr>
          <w:p w14:paraId="6E63A2C5" w14:textId="77777777" w:rsidR="00B16F8D" w:rsidRPr="00895819" w:rsidRDefault="00611820" w:rsidP="004445C0">
            <w:pPr>
              <w:spacing w:before="120" w:after="120"/>
              <w:rPr>
                <w:szCs w:val="22"/>
                <w:lang w:val="sr-Cyrl-CS"/>
              </w:rPr>
            </w:pPr>
            <w:r w:rsidRPr="00895819">
              <w:rPr>
                <w:b/>
                <w:szCs w:val="22"/>
                <w:lang w:val="sr-Cyrl-CS"/>
              </w:rPr>
              <w:t>ДЛР</w:t>
            </w:r>
            <w:r w:rsidR="00B16F8D" w:rsidRPr="00895819">
              <w:rPr>
                <w:b/>
                <w:szCs w:val="22"/>
                <w:lang w:val="sr-Cyrl-CS"/>
              </w:rPr>
              <w:t xml:space="preserve"> 2.3</w:t>
            </w:r>
            <w:r w:rsidR="00B16F8D" w:rsidRPr="00895819">
              <w:rPr>
                <w:szCs w:val="22"/>
                <w:lang w:val="sr-Cyrl-CS"/>
              </w:rPr>
              <w:t>.</w:t>
            </w:r>
            <w:r w:rsidR="002D55B2" w:rsidRPr="00895819">
              <w:rPr>
                <w:szCs w:val="22"/>
                <w:lang w:val="sr-Cyrl-CS"/>
              </w:rPr>
              <w:t xml:space="preserve"> (i) </w:t>
            </w:r>
            <w:r w:rsidR="00F76D97" w:rsidRPr="00895819">
              <w:rPr>
                <w:szCs w:val="22"/>
                <w:lang w:val="sr-Cyrl-CS"/>
              </w:rPr>
              <w:t>Министарство финансија</w:t>
            </w:r>
            <w:r w:rsidR="002D55B2" w:rsidRPr="00895819">
              <w:rPr>
                <w:szCs w:val="22"/>
                <w:lang w:val="sr-Cyrl-CS"/>
              </w:rPr>
              <w:t xml:space="preserve"> </w:t>
            </w:r>
            <w:r w:rsidR="002B462A" w:rsidRPr="00895819">
              <w:rPr>
                <w:szCs w:val="22"/>
                <w:lang w:val="sr-Cyrl-CS"/>
              </w:rPr>
              <w:t>је унапредило методологију за идентификацију зелених расхода како би се</w:t>
            </w:r>
            <w:r w:rsidR="002D55B2" w:rsidRPr="00895819">
              <w:rPr>
                <w:szCs w:val="22"/>
                <w:lang w:val="sr-Cyrl-CS"/>
              </w:rPr>
              <w:t xml:space="preserve"> (a) </w:t>
            </w:r>
            <w:r w:rsidR="002B462A" w:rsidRPr="00895819">
              <w:rPr>
                <w:szCs w:val="22"/>
                <w:lang w:val="sr-Cyrl-CS"/>
              </w:rPr>
              <w:t xml:space="preserve">обухватили Браон расходи; </w:t>
            </w:r>
            <w:r w:rsidR="002D55B2" w:rsidRPr="00895819">
              <w:rPr>
                <w:szCs w:val="22"/>
                <w:lang w:val="sr-Cyrl-CS"/>
              </w:rPr>
              <w:t xml:space="preserve">(ii) </w:t>
            </w:r>
            <w:r w:rsidR="00F76D97" w:rsidRPr="00895819">
              <w:rPr>
                <w:szCs w:val="22"/>
                <w:lang w:val="sr-Cyrl-CS"/>
              </w:rPr>
              <w:t>Министарство финансија</w:t>
            </w:r>
            <w:r w:rsidR="002D55B2" w:rsidRPr="00895819">
              <w:rPr>
                <w:szCs w:val="22"/>
                <w:lang w:val="sr-Cyrl-CS"/>
              </w:rPr>
              <w:t xml:space="preserve"> </w:t>
            </w:r>
            <w:r w:rsidR="002B462A" w:rsidRPr="00895819">
              <w:rPr>
                <w:szCs w:val="22"/>
                <w:lang w:val="sr-Cyrl-CS"/>
              </w:rPr>
              <w:t>објављује унапређену методологију идентификације зелених расхода на својој интернет страници</w:t>
            </w:r>
            <w:r w:rsidR="002D55B2" w:rsidRPr="00895819">
              <w:rPr>
                <w:szCs w:val="22"/>
                <w:lang w:val="sr-Cyrl-CS"/>
              </w:rPr>
              <w:t xml:space="preserve"> (</w:t>
            </w:r>
            <w:r w:rsidR="002B462A" w:rsidRPr="00895819">
              <w:rPr>
                <w:szCs w:val="22"/>
                <w:lang w:val="sr-Cyrl-CS"/>
              </w:rPr>
              <w:t xml:space="preserve">и упутства за припрему буџета за </w:t>
            </w:r>
            <w:r w:rsidR="002D55B2" w:rsidRPr="00895819">
              <w:rPr>
                <w:szCs w:val="22"/>
                <w:lang w:val="sr-Cyrl-CS"/>
              </w:rPr>
              <w:t>2028</w:t>
            </w:r>
            <w:r w:rsidR="002B462A" w:rsidRPr="00895819">
              <w:rPr>
                <w:szCs w:val="22"/>
                <w:lang w:val="sr-Cyrl-CS"/>
              </w:rPr>
              <w:t>. годину</w:t>
            </w:r>
            <w:r w:rsidR="002D55B2" w:rsidRPr="00895819">
              <w:rPr>
                <w:szCs w:val="22"/>
                <w:lang w:val="sr-Cyrl-CS"/>
              </w:rPr>
              <w:t>)</w:t>
            </w:r>
            <w:r w:rsidR="002B462A" w:rsidRPr="00895819">
              <w:rPr>
                <w:szCs w:val="22"/>
                <w:lang w:val="sr-Cyrl-CS"/>
              </w:rPr>
              <w:t>.</w:t>
            </w:r>
          </w:p>
        </w:tc>
        <w:tc>
          <w:tcPr>
            <w:tcW w:w="2694" w:type="dxa"/>
            <w:vAlign w:val="center"/>
          </w:tcPr>
          <w:p w14:paraId="7F684DC8" w14:textId="77777777" w:rsidR="00B16F8D" w:rsidRPr="00895819" w:rsidRDefault="00B16F8D" w:rsidP="00485361">
            <w:pPr>
              <w:spacing w:before="120" w:after="120"/>
              <w:jc w:val="center"/>
              <w:rPr>
                <w:szCs w:val="22"/>
                <w:lang w:val="sr-Cyrl-CS"/>
              </w:rPr>
            </w:pPr>
            <w:r w:rsidRPr="00895819">
              <w:rPr>
                <w:szCs w:val="22"/>
                <w:lang w:val="sr-Cyrl-CS"/>
              </w:rPr>
              <w:t>3</w:t>
            </w:r>
            <w:r w:rsidR="002B462A" w:rsidRPr="00895819">
              <w:rPr>
                <w:szCs w:val="22"/>
                <w:lang w:val="sr-Cyrl-CS"/>
              </w:rPr>
              <w:t>,</w:t>
            </w:r>
            <w:r w:rsidRPr="00895819">
              <w:rPr>
                <w:szCs w:val="22"/>
                <w:lang w:val="sr-Cyrl-CS"/>
              </w:rPr>
              <w:t xml:space="preserve">0 </w:t>
            </w:r>
            <w:r w:rsidR="002B462A" w:rsidRPr="00895819">
              <w:rPr>
                <w:szCs w:val="22"/>
                <w:lang w:val="sr-Cyrl-CS"/>
              </w:rPr>
              <w:t>мил. ЕУР</w:t>
            </w:r>
          </w:p>
        </w:tc>
        <w:tc>
          <w:tcPr>
            <w:tcW w:w="2409" w:type="dxa"/>
            <w:vAlign w:val="center"/>
          </w:tcPr>
          <w:p w14:paraId="5F7CF95A" w14:textId="77777777" w:rsidR="00B16F8D" w:rsidRPr="00895819" w:rsidRDefault="00611820" w:rsidP="00485361">
            <w:pPr>
              <w:spacing w:before="120" w:after="120"/>
              <w:jc w:val="center"/>
              <w:rPr>
                <w:szCs w:val="22"/>
                <w:lang w:val="sr-Cyrl-CS"/>
              </w:rPr>
            </w:pPr>
            <w:r w:rsidRPr="00895819">
              <w:rPr>
                <w:szCs w:val="22"/>
                <w:lang w:val="sr-Cyrl-CS"/>
              </w:rPr>
              <w:t>Када се постигне</w:t>
            </w:r>
          </w:p>
        </w:tc>
      </w:tr>
    </w:tbl>
    <w:p w14:paraId="60261B8B" w14:textId="77777777" w:rsidR="00B16F8D" w:rsidRPr="00895819" w:rsidRDefault="00B16F8D" w:rsidP="00B16F8D">
      <w:pPr>
        <w:pStyle w:val="BodyText"/>
        <w:jc w:val="left"/>
        <w:rPr>
          <w:rFonts w:cs="Times New Roman"/>
          <w:b/>
          <w:iCs/>
          <w:color w:val="000000"/>
          <w:lang w:val="sr-Cyrl-CS"/>
        </w:rPr>
        <w:sectPr w:rsidR="00B16F8D" w:rsidRPr="00895819" w:rsidSect="00485361">
          <w:pgSz w:w="16838" w:h="11906" w:orient="landscape"/>
          <w:pgMar w:top="720" w:right="720" w:bottom="720" w:left="720" w:header="708" w:footer="400" w:gutter="0"/>
          <w:cols w:space="708"/>
          <w:formProt w:val="0"/>
          <w:titlePg/>
          <w:docGrid w:linePitch="360"/>
        </w:sectPr>
      </w:pPr>
    </w:p>
    <w:tbl>
      <w:tblPr>
        <w:tblStyle w:val="TableGrid"/>
        <w:tblW w:w="0" w:type="auto"/>
        <w:tblLook w:val="04A0" w:firstRow="1" w:lastRow="0" w:firstColumn="1" w:lastColumn="0" w:noHBand="0" w:noVBand="1"/>
      </w:tblPr>
      <w:tblGrid>
        <w:gridCol w:w="1171"/>
        <w:gridCol w:w="8605"/>
        <w:gridCol w:w="2693"/>
        <w:gridCol w:w="2835"/>
      </w:tblGrid>
      <w:tr w:rsidR="00B16F8D" w:rsidRPr="00895819" w14:paraId="3E45B869" w14:textId="77777777" w:rsidTr="00485361">
        <w:tc>
          <w:tcPr>
            <w:tcW w:w="15304" w:type="dxa"/>
            <w:gridSpan w:val="4"/>
            <w:shd w:val="clear" w:color="auto" w:fill="002060"/>
            <w:vAlign w:val="center"/>
          </w:tcPr>
          <w:p w14:paraId="30FB9311" w14:textId="77777777" w:rsidR="00B16F8D" w:rsidRPr="00895819" w:rsidRDefault="00962B6B" w:rsidP="00485361">
            <w:pPr>
              <w:spacing w:before="120" w:after="120"/>
              <w:jc w:val="center"/>
              <w:rPr>
                <w:sz w:val="22"/>
                <w:lang w:val="sr-Cyrl-CS"/>
              </w:rPr>
            </w:pPr>
            <w:r w:rsidRPr="00895819">
              <w:rPr>
                <w:sz w:val="22"/>
                <w:lang w:val="sr-Cyrl-CS"/>
              </w:rPr>
              <w:lastRenderedPageBreak/>
              <w:t>ДЛИ</w:t>
            </w:r>
            <w:r w:rsidR="00B16F8D" w:rsidRPr="00895819">
              <w:rPr>
                <w:sz w:val="22"/>
                <w:lang w:val="sr-Cyrl-CS"/>
              </w:rPr>
              <w:t xml:space="preserve"> 3 – </w:t>
            </w:r>
            <w:r w:rsidRPr="00895819">
              <w:rPr>
                <w:sz w:val="22"/>
                <w:lang w:val="sr-Cyrl-CS"/>
              </w:rPr>
              <w:t>Унапређење управљања јавним улагањима и имовином</w:t>
            </w:r>
          </w:p>
        </w:tc>
      </w:tr>
      <w:tr w:rsidR="002B462A" w:rsidRPr="00895819" w14:paraId="5D67D26F" w14:textId="77777777" w:rsidTr="00485361">
        <w:tc>
          <w:tcPr>
            <w:tcW w:w="1171" w:type="dxa"/>
            <w:shd w:val="clear" w:color="auto" w:fill="002060"/>
            <w:vAlign w:val="center"/>
          </w:tcPr>
          <w:p w14:paraId="13C067B1" w14:textId="77777777" w:rsidR="002B462A" w:rsidRPr="00895819" w:rsidRDefault="002B462A" w:rsidP="002B462A">
            <w:pPr>
              <w:spacing w:before="120" w:after="120"/>
              <w:jc w:val="center"/>
              <w:rPr>
                <w:sz w:val="22"/>
                <w:lang w:val="sr-Cyrl-CS"/>
              </w:rPr>
            </w:pPr>
            <w:r w:rsidRPr="00895819">
              <w:rPr>
                <w:sz w:val="22"/>
                <w:lang w:val="sr-Cyrl-CS"/>
              </w:rPr>
              <w:t>Период</w:t>
            </w:r>
          </w:p>
        </w:tc>
        <w:tc>
          <w:tcPr>
            <w:tcW w:w="8605" w:type="dxa"/>
            <w:shd w:val="clear" w:color="auto" w:fill="002060"/>
            <w:vAlign w:val="center"/>
          </w:tcPr>
          <w:p w14:paraId="5756B915" w14:textId="77777777" w:rsidR="002B462A" w:rsidRPr="00895819" w:rsidRDefault="002B462A" w:rsidP="002B462A">
            <w:pPr>
              <w:spacing w:before="120" w:after="120"/>
              <w:jc w:val="center"/>
              <w:rPr>
                <w:sz w:val="22"/>
                <w:lang w:val="sr-Cyrl-CS"/>
              </w:rPr>
            </w:pPr>
            <w:r w:rsidRPr="00895819">
              <w:rPr>
                <w:sz w:val="22"/>
                <w:lang w:val="sr-Cyrl-CS"/>
              </w:rPr>
              <w:t>Вредност</w:t>
            </w:r>
          </w:p>
        </w:tc>
        <w:tc>
          <w:tcPr>
            <w:tcW w:w="2693" w:type="dxa"/>
            <w:shd w:val="clear" w:color="auto" w:fill="002060"/>
          </w:tcPr>
          <w:p w14:paraId="350734EB" w14:textId="77777777" w:rsidR="002B462A" w:rsidRPr="00895819" w:rsidRDefault="002B462A" w:rsidP="002B462A">
            <w:pPr>
              <w:spacing w:before="120" w:after="120"/>
              <w:jc w:val="center"/>
              <w:rPr>
                <w:sz w:val="22"/>
                <w:lang w:val="sr-Cyrl-CS"/>
              </w:rPr>
            </w:pPr>
            <w:r w:rsidRPr="00895819">
              <w:rPr>
                <w:sz w:val="22"/>
                <w:lang w:val="sr-Cyrl-CS"/>
              </w:rPr>
              <w:t>Износ који обезбеђује АФД</w:t>
            </w:r>
          </w:p>
        </w:tc>
        <w:tc>
          <w:tcPr>
            <w:tcW w:w="2835" w:type="dxa"/>
            <w:shd w:val="clear" w:color="auto" w:fill="002060"/>
            <w:vAlign w:val="center"/>
          </w:tcPr>
          <w:p w14:paraId="7085F07D" w14:textId="77777777" w:rsidR="002B462A" w:rsidRPr="00895819" w:rsidRDefault="002B462A" w:rsidP="002B462A">
            <w:pPr>
              <w:spacing w:before="120" w:after="120"/>
              <w:jc w:val="center"/>
              <w:rPr>
                <w:sz w:val="22"/>
                <w:lang w:val="sr-Cyrl-CS"/>
              </w:rPr>
            </w:pPr>
            <w:r w:rsidRPr="00895819">
              <w:rPr>
                <w:sz w:val="22"/>
                <w:lang w:val="sr-Cyrl-CS"/>
              </w:rPr>
              <w:t>Формула за алокацију</w:t>
            </w:r>
          </w:p>
        </w:tc>
      </w:tr>
      <w:tr w:rsidR="00B16F8D" w:rsidRPr="00895819" w14:paraId="01CBA395" w14:textId="77777777" w:rsidTr="00485361">
        <w:tc>
          <w:tcPr>
            <w:tcW w:w="1171" w:type="dxa"/>
            <w:vAlign w:val="center"/>
          </w:tcPr>
          <w:p w14:paraId="7300E33C" w14:textId="77777777" w:rsidR="00B16F8D" w:rsidRPr="00895819" w:rsidRDefault="002B462A" w:rsidP="00485361">
            <w:pPr>
              <w:spacing w:before="120" w:after="120"/>
              <w:rPr>
                <w:sz w:val="22"/>
                <w:lang w:val="sr-Cyrl-CS"/>
              </w:rPr>
            </w:pPr>
            <w:r w:rsidRPr="00895819">
              <w:rPr>
                <w:sz w:val="22"/>
                <w:lang w:val="sr-Cyrl-CS"/>
              </w:rPr>
              <w:t>Полазна основа</w:t>
            </w:r>
          </w:p>
        </w:tc>
        <w:tc>
          <w:tcPr>
            <w:tcW w:w="14133" w:type="dxa"/>
            <w:gridSpan w:val="3"/>
          </w:tcPr>
          <w:p w14:paraId="041A58C1" w14:textId="77777777" w:rsidR="00B16F8D" w:rsidRPr="00895819" w:rsidRDefault="002B462A" w:rsidP="00485361">
            <w:pPr>
              <w:spacing w:before="120" w:after="120"/>
              <w:rPr>
                <w:sz w:val="22"/>
                <w:lang w:val="sr-Cyrl-CS"/>
              </w:rPr>
            </w:pPr>
            <w:r w:rsidRPr="00895819">
              <w:rPr>
                <w:sz w:val="22"/>
                <w:lang w:val="sr-Cyrl-CS"/>
              </w:rPr>
              <w:t xml:space="preserve">Одредбе Уредбе о управљању капиталним пројектима које се односе на све пројекте не примењују се уједначено. Предложени пројекти јавних улагања се не </w:t>
            </w:r>
            <w:r w:rsidR="001A3675" w:rsidRPr="00895819">
              <w:rPr>
                <w:sz w:val="22"/>
                <w:lang w:val="sr-Cyrl-CS"/>
              </w:rPr>
              <w:t>разматрају систематски</w:t>
            </w:r>
            <w:r w:rsidRPr="00895819">
              <w:rPr>
                <w:sz w:val="22"/>
                <w:lang w:val="sr-Cyrl-CS"/>
              </w:rPr>
              <w:t xml:space="preserve"> по питању спремности и финансијске </w:t>
            </w:r>
            <w:r w:rsidR="001A3675" w:rsidRPr="00895819">
              <w:rPr>
                <w:sz w:val="22"/>
                <w:lang w:val="sr-Cyrl-CS"/>
              </w:rPr>
              <w:t>изводљивости. Јавна непокретна имовина није консолидована у јединственом регистру</w:t>
            </w:r>
            <w:r w:rsidR="00B16F8D" w:rsidRPr="00895819">
              <w:rPr>
                <w:sz w:val="22"/>
                <w:lang w:val="sr-Cyrl-CS"/>
              </w:rPr>
              <w:t xml:space="preserve">. </w:t>
            </w:r>
          </w:p>
        </w:tc>
      </w:tr>
      <w:tr w:rsidR="00B16F8D" w:rsidRPr="00895819" w14:paraId="6826FD43" w14:textId="77777777" w:rsidTr="00485361">
        <w:tc>
          <w:tcPr>
            <w:tcW w:w="1171" w:type="dxa"/>
            <w:vAlign w:val="center"/>
          </w:tcPr>
          <w:p w14:paraId="7C4F38D5" w14:textId="77777777" w:rsidR="00B16F8D" w:rsidRPr="00895819" w:rsidRDefault="00B16F8D" w:rsidP="00485361">
            <w:pPr>
              <w:spacing w:before="120" w:after="120"/>
              <w:rPr>
                <w:sz w:val="22"/>
                <w:lang w:val="sr-Cyrl-CS"/>
              </w:rPr>
            </w:pPr>
            <w:r w:rsidRPr="00895819">
              <w:rPr>
                <w:sz w:val="22"/>
                <w:lang w:val="sr-Cyrl-CS"/>
              </w:rPr>
              <w:t>2023</w:t>
            </w:r>
          </w:p>
        </w:tc>
        <w:tc>
          <w:tcPr>
            <w:tcW w:w="8605" w:type="dxa"/>
          </w:tcPr>
          <w:p w14:paraId="06443BF2" w14:textId="77777777" w:rsidR="00B16F8D" w:rsidRPr="00895819" w:rsidRDefault="0013523C" w:rsidP="00485361">
            <w:pPr>
              <w:spacing w:before="120" w:after="120"/>
              <w:rPr>
                <w:sz w:val="22"/>
                <w:lang w:val="sr-Cyrl-CS"/>
              </w:rPr>
            </w:pPr>
            <w:r w:rsidRPr="00895819">
              <w:rPr>
                <w:b/>
                <w:sz w:val="22"/>
                <w:lang w:val="sr-Cyrl-CS"/>
              </w:rPr>
              <w:t>ИРИ</w:t>
            </w:r>
            <w:r w:rsidR="00B16F8D" w:rsidRPr="00895819">
              <w:rPr>
                <w:b/>
                <w:sz w:val="22"/>
                <w:lang w:val="sr-Cyrl-CS"/>
              </w:rPr>
              <w:t xml:space="preserve"> 3.1. </w:t>
            </w:r>
            <w:r w:rsidR="0049289C" w:rsidRPr="00895819">
              <w:rPr>
                <w:bCs/>
                <w:sz w:val="22"/>
                <w:lang w:val="sr-Cyrl-CS"/>
              </w:rPr>
              <w:t>За м</w:t>
            </w:r>
            <w:r w:rsidRPr="00895819">
              <w:rPr>
                <w:bCs/>
                <w:sz w:val="22"/>
                <w:lang w:val="sr-Cyrl-CS"/>
              </w:rPr>
              <w:t xml:space="preserve">инимум </w:t>
            </w:r>
            <w:r w:rsidR="00B16F8D" w:rsidRPr="00895819">
              <w:rPr>
                <w:sz w:val="22"/>
                <w:lang w:val="sr-Cyrl-CS"/>
              </w:rPr>
              <w:t xml:space="preserve">30 % </w:t>
            </w:r>
            <w:r w:rsidRPr="00895819">
              <w:rPr>
                <w:sz w:val="22"/>
                <w:lang w:val="sr-Cyrl-CS"/>
              </w:rPr>
              <w:t xml:space="preserve">текућих пројеката капиталних улагања на републичком нивоу који подлежу Уредби о управљању капиталним </w:t>
            </w:r>
            <w:r w:rsidR="00BD3EA0" w:rsidRPr="00895819">
              <w:rPr>
                <w:sz w:val="22"/>
                <w:lang w:val="sr-Cyrl-CS"/>
              </w:rPr>
              <w:t>пројектима</w:t>
            </w:r>
            <w:r w:rsidRPr="00895819">
              <w:rPr>
                <w:sz w:val="22"/>
                <w:lang w:val="sr-Cyrl-CS"/>
              </w:rPr>
              <w:t xml:space="preserve"> подне</w:t>
            </w:r>
            <w:r w:rsidR="0049289C" w:rsidRPr="00895819">
              <w:rPr>
                <w:sz w:val="22"/>
                <w:lang w:val="sr-Cyrl-CS"/>
              </w:rPr>
              <w:t>ти</w:t>
            </w:r>
            <w:r w:rsidRPr="00895819">
              <w:rPr>
                <w:sz w:val="22"/>
                <w:lang w:val="sr-Cyrl-CS"/>
              </w:rPr>
              <w:t xml:space="preserve"> су планове пројектне имплементације и св</w:t>
            </w:r>
            <w:r w:rsidR="0049289C" w:rsidRPr="00895819">
              <w:rPr>
                <w:sz w:val="22"/>
                <w:lang w:val="sr-Cyrl-CS"/>
              </w:rPr>
              <w:t>и</w:t>
            </w:r>
            <w:r w:rsidRPr="00895819">
              <w:rPr>
                <w:sz w:val="22"/>
                <w:lang w:val="sr-Cyrl-CS"/>
              </w:rPr>
              <w:t xml:space="preserve"> извештај</w:t>
            </w:r>
            <w:r w:rsidR="0049289C" w:rsidRPr="00895819">
              <w:rPr>
                <w:sz w:val="22"/>
                <w:lang w:val="sr-Cyrl-CS"/>
              </w:rPr>
              <w:t>и</w:t>
            </w:r>
            <w:r w:rsidRPr="00895819">
              <w:rPr>
                <w:sz w:val="22"/>
                <w:lang w:val="sr-Cyrl-CS"/>
              </w:rPr>
              <w:t xml:space="preserve"> о напретку за I годину преко ПИМИС-а </w:t>
            </w:r>
          </w:p>
        </w:tc>
        <w:tc>
          <w:tcPr>
            <w:tcW w:w="2693" w:type="dxa"/>
            <w:vAlign w:val="center"/>
          </w:tcPr>
          <w:p w14:paraId="02BC6100" w14:textId="77777777" w:rsidR="00B16F8D" w:rsidRPr="00895819" w:rsidRDefault="00B16F8D" w:rsidP="00485361">
            <w:pPr>
              <w:spacing w:before="120" w:after="120"/>
              <w:jc w:val="center"/>
              <w:rPr>
                <w:sz w:val="22"/>
                <w:lang w:val="sr-Cyrl-CS"/>
              </w:rPr>
            </w:pPr>
            <w:r w:rsidRPr="00895819">
              <w:rPr>
                <w:sz w:val="22"/>
                <w:lang w:val="sr-Cyrl-CS"/>
              </w:rPr>
              <w:t>-</w:t>
            </w:r>
          </w:p>
        </w:tc>
        <w:tc>
          <w:tcPr>
            <w:tcW w:w="2835" w:type="dxa"/>
            <w:vAlign w:val="center"/>
          </w:tcPr>
          <w:p w14:paraId="0FE1E551" w14:textId="77777777" w:rsidR="00B16F8D" w:rsidRPr="00895819" w:rsidRDefault="001A3675" w:rsidP="00485361">
            <w:pPr>
              <w:spacing w:before="120" w:after="120"/>
              <w:jc w:val="center"/>
              <w:rPr>
                <w:sz w:val="22"/>
                <w:lang w:val="sr-Cyrl-CS"/>
              </w:rPr>
            </w:pPr>
            <w:r w:rsidRPr="00895819">
              <w:rPr>
                <w:sz w:val="22"/>
                <w:lang w:val="sr-Cyrl-CS"/>
              </w:rPr>
              <w:t>Само праћење</w:t>
            </w:r>
          </w:p>
        </w:tc>
      </w:tr>
      <w:tr w:rsidR="00B16F8D" w:rsidRPr="00895819" w14:paraId="4377136D" w14:textId="77777777" w:rsidTr="00485361">
        <w:tc>
          <w:tcPr>
            <w:tcW w:w="1171" w:type="dxa"/>
            <w:vAlign w:val="center"/>
          </w:tcPr>
          <w:p w14:paraId="3ACEE3F5" w14:textId="77777777" w:rsidR="00B16F8D" w:rsidRPr="00895819" w:rsidRDefault="00B16F8D" w:rsidP="00485361">
            <w:pPr>
              <w:spacing w:before="120" w:after="120"/>
              <w:rPr>
                <w:sz w:val="22"/>
                <w:lang w:val="sr-Cyrl-CS"/>
              </w:rPr>
            </w:pPr>
            <w:r w:rsidRPr="00895819">
              <w:rPr>
                <w:sz w:val="22"/>
                <w:lang w:val="sr-Cyrl-CS"/>
              </w:rPr>
              <w:t>2024</w:t>
            </w:r>
          </w:p>
        </w:tc>
        <w:tc>
          <w:tcPr>
            <w:tcW w:w="8605" w:type="dxa"/>
          </w:tcPr>
          <w:p w14:paraId="2E0C0812" w14:textId="77777777" w:rsidR="006F71DF" w:rsidRPr="00895819" w:rsidRDefault="0013523C" w:rsidP="00DF65BF">
            <w:pPr>
              <w:spacing w:before="120" w:after="120"/>
              <w:rPr>
                <w:sz w:val="22"/>
                <w:lang w:val="sr-Cyrl-CS"/>
              </w:rPr>
            </w:pPr>
            <w:r w:rsidRPr="00895819">
              <w:rPr>
                <w:b/>
                <w:sz w:val="22"/>
                <w:lang w:val="sr-Cyrl-CS"/>
              </w:rPr>
              <w:t>ДЛР</w:t>
            </w:r>
            <w:r w:rsidR="00B16F8D" w:rsidRPr="00895819">
              <w:rPr>
                <w:b/>
                <w:sz w:val="22"/>
                <w:lang w:val="sr-Cyrl-CS"/>
              </w:rPr>
              <w:t xml:space="preserve"> 3.1. </w:t>
            </w:r>
            <w:r w:rsidR="006F71DF" w:rsidRPr="00895819">
              <w:rPr>
                <w:sz w:val="22"/>
                <w:lang w:val="sr-Cyrl-CS"/>
              </w:rPr>
              <w:t xml:space="preserve">(i) </w:t>
            </w:r>
            <w:r w:rsidRPr="00895819">
              <w:rPr>
                <w:sz w:val="22"/>
                <w:lang w:val="sr-Cyrl-CS"/>
              </w:rPr>
              <w:t>Републичка дирекција за имовину предлаже измене и допуне Уредбе о евиденцији непокретности у јавној својини којима се предвиђа измењена методологија за процену вредности јавне имовине;</w:t>
            </w:r>
            <w:r w:rsidR="006F71DF" w:rsidRPr="00895819">
              <w:rPr>
                <w:sz w:val="22"/>
                <w:lang w:val="sr-Cyrl-CS"/>
              </w:rPr>
              <w:t xml:space="preserve"> (ii) </w:t>
            </w:r>
            <w:r w:rsidRPr="00895819">
              <w:rPr>
                <w:sz w:val="22"/>
                <w:lang w:val="sr-Cyrl-CS"/>
              </w:rPr>
              <w:t xml:space="preserve">Зајмопримац </w:t>
            </w:r>
            <w:r w:rsidR="006F71DF" w:rsidRPr="00895819">
              <w:rPr>
                <w:sz w:val="22"/>
                <w:lang w:val="sr-Cyrl-CS"/>
              </w:rPr>
              <w:t xml:space="preserve">(a) </w:t>
            </w:r>
            <w:r w:rsidRPr="00895819">
              <w:rPr>
                <w:sz w:val="22"/>
                <w:lang w:val="sr-Cyrl-CS"/>
              </w:rPr>
              <w:t xml:space="preserve">усваја измене и допуне Уредбе која садржи ревидирану методологију; и </w:t>
            </w:r>
            <w:r w:rsidR="006F71DF" w:rsidRPr="00895819">
              <w:rPr>
                <w:sz w:val="22"/>
                <w:lang w:val="sr-Cyrl-CS"/>
              </w:rPr>
              <w:t>(b)</w:t>
            </w:r>
            <w:r w:rsidRPr="00895819">
              <w:rPr>
                <w:sz w:val="22"/>
                <w:lang w:val="sr-Cyrl-CS"/>
              </w:rPr>
              <w:t xml:space="preserve"> објављује измене и допуне Уредбе у Службеном гласнику; </w:t>
            </w:r>
            <w:r w:rsidR="006F71DF" w:rsidRPr="00895819">
              <w:rPr>
                <w:sz w:val="22"/>
                <w:lang w:val="sr-Cyrl-CS"/>
              </w:rPr>
              <w:t xml:space="preserve">(iii) </w:t>
            </w:r>
            <w:r w:rsidRPr="00895819">
              <w:rPr>
                <w:sz w:val="22"/>
                <w:lang w:val="sr-Cyrl-CS"/>
              </w:rPr>
              <w:t xml:space="preserve">Републичка дирекција за имовину </w:t>
            </w:r>
            <w:r w:rsidR="00404A60" w:rsidRPr="00895819">
              <w:rPr>
                <w:rStyle w:val="normaltextrun"/>
                <w:sz w:val="22"/>
                <w:szCs w:val="22"/>
                <w:lang w:val="sr-Cyrl-CS"/>
              </w:rPr>
              <w:t xml:space="preserve">(a) </w:t>
            </w:r>
            <w:r w:rsidRPr="00895819">
              <w:rPr>
                <w:rStyle w:val="normaltextrun"/>
                <w:sz w:val="22"/>
                <w:szCs w:val="22"/>
                <w:lang w:val="sr-Cyrl-CS"/>
              </w:rPr>
              <w:t xml:space="preserve">објављује </w:t>
            </w:r>
            <w:r w:rsidRPr="00895819">
              <w:rPr>
                <w:sz w:val="22"/>
                <w:szCs w:val="22"/>
                <w:lang w:val="sr-Cyrl-CS"/>
              </w:rPr>
              <w:t>измене и допуне Уредбе на својој интернет страници</w:t>
            </w:r>
            <w:r w:rsidR="00404A60" w:rsidRPr="00895819">
              <w:rPr>
                <w:rStyle w:val="normaltextrun"/>
                <w:sz w:val="22"/>
                <w:szCs w:val="22"/>
                <w:lang w:val="sr-Cyrl-CS"/>
              </w:rPr>
              <w:t xml:space="preserve">; </w:t>
            </w:r>
            <w:r w:rsidRPr="00895819">
              <w:rPr>
                <w:rStyle w:val="normaltextrun"/>
                <w:sz w:val="22"/>
                <w:szCs w:val="22"/>
                <w:lang w:val="sr-Cyrl-CS"/>
              </w:rPr>
              <w:t>и</w:t>
            </w:r>
            <w:r w:rsidR="00404A60" w:rsidRPr="00895819">
              <w:rPr>
                <w:rStyle w:val="normaltextrun"/>
                <w:sz w:val="22"/>
                <w:szCs w:val="22"/>
                <w:lang w:val="sr-Cyrl-CS"/>
              </w:rPr>
              <w:t xml:space="preserve"> (b) </w:t>
            </w:r>
            <w:r w:rsidRPr="00895819">
              <w:rPr>
                <w:rStyle w:val="normaltextrun"/>
                <w:sz w:val="22"/>
                <w:szCs w:val="22"/>
                <w:lang w:val="sr-Cyrl-CS"/>
              </w:rPr>
              <w:t xml:space="preserve">израђује мапу пута </w:t>
            </w:r>
            <w:r w:rsidR="004F3DA3" w:rsidRPr="00895819">
              <w:rPr>
                <w:rStyle w:val="normaltextrun"/>
                <w:sz w:val="22"/>
                <w:szCs w:val="22"/>
                <w:lang w:val="sr-Cyrl-CS"/>
              </w:rPr>
              <w:t xml:space="preserve">за потребе имплементације измењене методологије </w:t>
            </w:r>
            <w:r w:rsidR="00404A60" w:rsidRPr="00895819">
              <w:rPr>
                <w:rStyle w:val="normaltextrun"/>
                <w:sz w:val="22"/>
                <w:szCs w:val="22"/>
                <w:lang w:val="sr-Cyrl-CS"/>
              </w:rPr>
              <w:t>(</w:t>
            </w:r>
            <w:r w:rsidR="004F3DA3" w:rsidRPr="00895819">
              <w:rPr>
                <w:rStyle w:val="normaltextrun"/>
                <w:sz w:val="22"/>
                <w:szCs w:val="22"/>
                <w:lang w:val="sr-Cyrl-CS"/>
              </w:rPr>
              <w:t>са роковима и трошковима</w:t>
            </w:r>
            <w:r w:rsidR="00404A60" w:rsidRPr="00895819">
              <w:rPr>
                <w:rStyle w:val="normaltextrun"/>
                <w:sz w:val="22"/>
                <w:szCs w:val="22"/>
                <w:lang w:val="sr-Cyrl-CS"/>
              </w:rPr>
              <w:t>).</w:t>
            </w:r>
          </w:p>
        </w:tc>
        <w:tc>
          <w:tcPr>
            <w:tcW w:w="2693" w:type="dxa"/>
            <w:vAlign w:val="center"/>
          </w:tcPr>
          <w:p w14:paraId="1E9E5AC1" w14:textId="77777777" w:rsidR="00B16F8D" w:rsidRPr="00895819" w:rsidRDefault="00B16F8D" w:rsidP="00485361">
            <w:pPr>
              <w:spacing w:before="120" w:after="120"/>
              <w:jc w:val="center"/>
              <w:rPr>
                <w:sz w:val="22"/>
                <w:lang w:val="sr-Cyrl-CS"/>
              </w:rPr>
            </w:pPr>
            <w:r w:rsidRPr="00895819">
              <w:rPr>
                <w:sz w:val="22"/>
                <w:lang w:val="sr-Cyrl-CS"/>
              </w:rPr>
              <w:t xml:space="preserve">3.0 </w:t>
            </w:r>
            <w:r w:rsidR="001A3675" w:rsidRPr="00895819">
              <w:rPr>
                <w:sz w:val="22"/>
                <w:lang w:val="sr-Cyrl-CS"/>
              </w:rPr>
              <w:t>мил. ЕУР</w:t>
            </w:r>
          </w:p>
        </w:tc>
        <w:tc>
          <w:tcPr>
            <w:tcW w:w="2835" w:type="dxa"/>
            <w:vAlign w:val="center"/>
          </w:tcPr>
          <w:p w14:paraId="3C0C6B24" w14:textId="77777777" w:rsidR="00B16F8D" w:rsidRPr="00895819" w:rsidRDefault="001A3675" w:rsidP="00485361">
            <w:pPr>
              <w:spacing w:before="120" w:after="120"/>
              <w:jc w:val="center"/>
              <w:rPr>
                <w:sz w:val="22"/>
                <w:lang w:val="sr-Cyrl-CS"/>
              </w:rPr>
            </w:pPr>
            <w:r w:rsidRPr="00895819">
              <w:rPr>
                <w:sz w:val="22"/>
                <w:lang w:val="sr-Cyrl-CS"/>
              </w:rPr>
              <w:t>Када се постигне</w:t>
            </w:r>
          </w:p>
        </w:tc>
      </w:tr>
      <w:tr w:rsidR="00B16F8D" w:rsidRPr="00895819" w14:paraId="3568A4AA" w14:textId="77777777" w:rsidTr="00485361">
        <w:tc>
          <w:tcPr>
            <w:tcW w:w="1171" w:type="dxa"/>
            <w:vAlign w:val="center"/>
          </w:tcPr>
          <w:p w14:paraId="4A312426" w14:textId="77777777" w:rsidR="00B16F8D" w:rsidRPr="00895819" w:rsidRDefault="00B16F8D" w:rsidP="00485361">
            <w:pPr>
              <w:spacing w:before="120" w:after="120"/>
              <w:rPr>
                <w:sz w:val="22"/>
                <w:lang w:val="sr-Cyrl-CS"/>
              </w:rPr>
            </w:pPr>
            <w:r w:rsidRPr="00895819">
              <w:rPr>
                <w:sz w:val="22"/>
                <w:lang w:val="sr-Cyrl-CS"/>
              </w:rPr>
              <w:t>2025</w:t>
            </w:r>
          </w:p>
        </w:tc>
        <w:tc>
          <w:tcPr>
            <w:tcW w:w="8605" w:type="dxa"/>
          </w:tcPr>
          <w:p w14:paraId="5A44A0B1" w14:textId="77777777" w:rsidR="00B16F8D" w:rsidRPr="00895819" w:rsidRDefault="0013523C" w:rsidP="00485361">
            <w:pPr>
              <w:spacing w:before="120" w:after="120"/>
              <w:rPr>
                <w:sz w:val="22"/>
                <w:lang w:val="sr-Cyrl-CS"/>
              </w:rPr>
            </w:pPr>
            <w:r w:rsidRPr="00895819">
              <w:rPr>
                <w:b/>
                <w:sz w:val="22"/>
                <w:lang w:val="sr-Cyrl-CS"/>
              </w:rPr>
              <w:t>ИРИ</w:t>
            </w:r>
            <w:r w:rsidR="00B16F8D" w:rsidRPr="00895819">
              <w:rPr>
                <w:b/>
                <w:sz w:val="22"/>
                <w:lang w:val="sr-Cyrl-CS"/>
              </w:rPr>
              <w:t xml:space="preserve"> 3.2. </w:t>
            </w:r>
            <w:r w:rsidR="00607C96" w:rsidRPr="00895819">
              <w:rPr>
                <w:bCs/>
                <w:sz w:val="22"/>
                <w:szCs w:val="22"/>
                <w:lang w:val="sr-Cyrl-CS"/>
              </w:rPr>
              <w:t xml:space="preserve">Минимум </w:t>
            </w:r>
            <w:r w:rsidR="00B16F8D" w:rsidRPr="00895819">
              <w:rPr>
                <w:sz w:val="22"/>
                <w:lang w:val="sr-Cyrl-CS"/>
              </w:rPr>
              <w:t xml:space="preserve">40% </w:t>
            </w:r>
            <w:r w:rsidR="00607C96" w:rsidRPr="00895819">
              <w:rPr>
                <w:sz w:val="22"/>
                <w:lang w:val="sr-Cyrl-CS"/>
              </w:rPr>
              <w:t xml:space="preserve">студија изводљивости </w:t>
            </w:r>
            <w:r w:rsidR="00B16F8D" w:rsidRPr="00895819">
              <w:rPr>
                <w:sz w:val="22"/>
                <w:lang w:val="sr-Cyrl-CS"/>
              </w:rPr>
              <w:t>(</w:t>
            </w:r>
            <w:r w:rsidR="00607C96" w:rsidRPr="00895819">
              <w:rPr>
                <w:sz w:val="22"/>
                <w:lang w:val="sr-Cyrl-CS"/>
              </w:rPr>
              <w:t>за пројекте који не подразумевају грађевинске радове</w:t>
            </w:r>
            <w:r w:rsidR="00B16F8D" w:rsidRPr="00895819">
              <w:rPr>
                <w:sz w:val="22"/>
                <w:lang w:val="sr-Cyrl-CS"/>
              </w:rPr>
              <w:t xml:space="preserve">) </w:t>
            </w:r>
            <w:r w:rsidR="00607C96" w:rsidRPr="00895819">
              <w:rPr>
                <w:sz w:val="22"/>
                <w:lang w:val="sr-Cyrl-CS"/>
              </w:rPr>
              <w:t xml:space="preserve">поднетих током II и III године прошло је ревизију </w:t>
            </w:r>
            <w:r w:rsidR="00F76D97" w:rsidRPr="00895819">
              <w:rPr>
                <w:sz w:val="22"/>
                <w:lang w:val="sr-Cyrl-CS"/>
              </w:rPr>
              <w:t>Министарств</w:t>
            </w:r>
            <w:r w:rsidR="00607C96" w:rsidRPr="00895819">
              <w:rPr>
                <w:sz w:val="22"/>
                <w:lang w:val="sr-Cyrl-CS"/>
              </w:rPr>
              <w:t>а</w:t>
            </w:r>
            <w:r w:rsidR="00F76D97" w:rsidRPr="00895819">
              <w:rPr>
                <w:sz w:val="22"/>
                <w:lang w:val="sr-Cyrl-CS"/>
              </w:rPr>
              <w:t xml:space="preserve"> финансија</w:t>
            </w:r>
            <w:r w:rsidR="00B16F8D" w:rsidRPr="00895819">
              <w:rPr>
                <w:sz w:val="22"/>
                <w:lang w:val="sr-Cyrl-CS"/>
              </w:rPr>
              <w:t>.</w:t>
            </w:r>
          </w:p>
        </w:tc>
        <w:tc>
          <w:tcPr>
            <w:tcW w:w="2693" w:type="dxa"/>
            <w:vAlign w:val="center"/>
          </w:tcPr>
          <w:p w14:paraId="15D58CCE" w14:textId="77777777" w:rsidR="00B16F8D" w:rsidRPr="00895819" w:rsidRDefault="00B16F8D" w:rsidP="00485361">
            <w:pPr>
              <w:spacing w:before="120" w:after="120"/>
              <w:jc w:val="center"/>
              <w:rPr>
                <w:sz w:val="22"/>
                <w:lang w:val="sr-Cyrl-CS"/>
              </w:rPr>
            </w:pPr>
            <w:r w:rsidRPr="00895819">
              <w:rPr>
                <w:sz w:val="22"/>
                <w:lang w:val="sr-Cyrl-CS"/>
              </w:rPr>
              <w:t>-</w:t>
            </w:r>
          </w:p>
        </w:tc>
        <w:tc>
          <w:tcPr>
            <w:tcW w:w="2835" w:type="dxa"/>
            <w:vAlign w:val="center"/>
          </w:tcPr>
          <w:p w14:paraId="3C8780E5" w14:textId="77777777" w:rsidR="00B16F8D" w:rsidRPr="00895819" w:rsidRDefault="001A3675" w:rsidP="00485361">
            <w:pPr>
              <w:spacing w:before="120" w:after="120"/>
              <w:jc w:val="center"/>
              <w:rPr>
                <w:sz w:val="22"/>
                <w:lang w:val="sr-Cyrl-CS"/>
              </w:rPr>
            </w:pPr>
            <w:r w:rsidRPr="00895819">
              <w:rPr>
                <w:sz w:val="22"/>
                <w:lang w:val="sr-Cyrl-CS"/>
              </w:rPr>
              <w:t>Само праћење</w:t>
            </w:r>
          </w:p>
        </w:tc>
      </w:tr>
      <w:tr w:rsidR="00B16F8D" w:rsidRPr="00895819" w14:paraId="6A57F45C" w14:textId="77777777" w:rsidTr="00485361">
        <w:tc>
          <w:tcPr>
            <w:tcW w:w="1171" w:type="dxa"/>
            <w:vAlign w:val="center"/>
          </w:tcPr>
          <w:p w14:paraId="0A81CE93" w14:textId="77777777" w:rsidR="00B16F8D" w:rsidRPr="00895819" w:rsidRDefault="00B16F8D" w:rsidP="00485361">
            <w:pPr>
              <w:spacing w:before="120" w:after="120"/>
              <w:rPr>
                <w:sz w:val="22"/>
                <w:lang w:val="sr-Cyrl-CS"/>
              </w:rPr>
            </w:pPr>
            <w:r w:rsidRPr="00895819">
              <w:rPr>
                <w:sz w:val="22"/>
                <w:lang w:val="sr-Cyrl-CS"/>
              </w:rPr>
              <w:t>2026</w:t>
            </w:r>
          </w:p>
        </w:tc>
        <w:tc>
          <w:tcPr>
            <w:tcW w:w="8605" w:type="dxa"/>
          </w:tcPr>
          <w:p w14:paraId="30DE9573" w14:textId="77777777" w:rsidR="00B16F8D" w:rsidRPr="00895819" w:rsidRDefault="0013523C" w:rsidP="004445C0">
            <w:pPr>
              <w:spacing w:before="120" w:after="120"/>
              <w:rPr>
                <w:sz w:val="22"/>
                <w:lang w:val="sr-Cyrl-CS"/>
              </w:rPr>
            </w:pPr>
            <w:r w:rsidRPr="00895819">
              <w:rPr>
                <w:b/>
                <w:sz w:val="22"/>
                <w:lang w:val="sr-Cyrl-CS"/>
              </w:rPr>
              <w:t>ДЛР</w:t>
            </w:r>
            <w:r w:rsidR="00B16F8D" w:rsidRPr="00895819">
              <w:rPr>
                <w:b/>
                <w:sz w:val="22"/>
                <w:lang w:val="sr-Cyrl-CS"/>
              </w:rPr>
              <w:t xml:space="preserve"> 3.2. </w:t>
            </w:r>
            <w:r w:rsidR="004445C0" w:rsidRPr="00895819">
              <w:rPr>
                <w:sz w:val="22"/>
                <w:lang w:val="sr-Cyrl-CS"/>
              </w:rPr>
              <w:t>(i)</w:t>
            </w:r>
            <w:r w:rsidR="00B80C03" w:rsidRPr="00895819">
              <w:rPr>
                <w:sz w:val="22"/>
                <w:lang w:val="sr-Cyrl-CS"/>
              </w:rPr>
              <w:t xml:space="preserve"> </w:t>
            </w:r>
            <w:r w:rsidR="00F76D97" w:rsidRPr="00895819">
              <w:rPr>
                <w:sz w:val="22"/>
                <w:lang w:val="sr-Cyrl-CS"/>
              </w:rPr>
              <w:t>Министарство финансија</w:t>
            </w:r>
            <w:r w:rsidR="004445C0" w:rsidRPr="00895819">
              <w:rPr>
                <w:sz w:val="22"/>
                <w:lang w:val="sr-Cyrl-CS"/>
              </w:rPr>
              <w:t xml:space="preserve"> (a) </w:t>
            </w:r>
            <w:r w:rsidR="00B80C03" w:rsidRPr="00895819">
              <w:rPr>
                <w:sz w:val="22"/>
                <w:lang w:val="sr-Cyrl-CS"/>
              </w:rPr>
              <w:t>даје мишљење на финансијске и имплементационе аспекте капиталних пројеката поднетих током 2026. године</w:t>
            </w:r>
            <w:r w:rsidR="004445C0" w:rsidRPr="00895819">
              <w:rPr>
                <w:sz w:val="22"/>
                <w:lang w:val="sr-Cyrl-CS"/>
              </w:rPr>
              <w:t xml:space="preserve">; </w:t>
            </w:r>
            <w:r w:rsidR="00B80C03" w:rsidRPr="00895819">
              <w:rPr>
                <w:sz w:val="22"/>
                <w:lang w:val="sr-Cyrl-CS"/>
              </w:rPr>
              <w:t>и</w:t>
            </w:r>
            <w:r w:rsidR="004445C0" w:rsidRPr="00895819">
              <w:rPr>
                <w:sz w:val="22"/>
                <w:lang w:val="sr-Cyrl-CS"/>
              </w:rPr>
              <w:t xml:space="preserve"> (b) </w:t>
            </w:r>
            <w:r w:rsidR="00B80C03" w:rsidRPr="00895819">
              <w:rPr>
                <w:sz w:val="22"/>
                <w:lang w:val="sr-Cyrl-CS"/>
              </w:rPr>
              <w:t>препоручује Листу приоритетних пројеката на основу критеријума које је дефинисао Зајмопримац;</w:t>
            </w:r>
            <w:r w:rsidR="004445C0" w:rsidRPr="00895819">
              <w:rPr>
                <w:sz w:val="22"/>
                <w:lang w:val="sr-Cyrl-CS"/>
              </w:rPr>
              <w:t xml:space="preserve"> (ii) </w:t>
            </w:r>
            <w:r w:rsidR="00B80C03" w:rsidRPr="00895819">
              <w:rPr>
                <w:sz w:val="22"/>
                <w:lang w:val="sr-Cyrl-CS"/>
              </w:rPr>
              <w:t xml:space="preserve">Зајмопримац бира минимум </w:t>
            </w:r>
            <w:r w:rsidR="004445C0" w:rsidRPr="00895819">
              <w:rPr>
                <w:sz w:val="22"/>
                <w:lang w:val="sr-Cyrl-CS"/>
              </w:rPr>
              <w:t xml:space="preserve">80% </w:t>
            </w:r>
            <w:r w:rsidR="00B80C03" w:rsidRPr="00895819">
              <w:rPr>
                <w:sz w:val="22"/>
                <w:lang w:val="sr-Cyrl-CS"/>
              </w:rPr>
              <w:t>или више пројеката који ће се финансирати на основу препорука Ми</w:t>
            </w:r>
            <w:r w:rsidR="00F76D97" w:rsidRPr="00895819">
              <w:rPr>
                <w:sz w:val="22"/>
                <w:lang w:val="sr-Cyrl-CS"/>
              </w:rPr>
              <w:t>нистарств</w:t>
            </w:r>
            <w:r w:rsidR="00B80C03" w:rsidRPr="00895819">
              <w:rPr>
                <w:sz w:val="22"/>
                <w:lang w:val="sr-Cyrl-CS"/>
              </w:rPr>
              <w:t>а</w:t>
            </w:r>
            <w:r w:rsidR="00F76D97" w:rsidRPr="00895819">
              <w:rPr>
                <w:sz w:val="22"/>
                <w:lang w:val="sr-Cyrl-CS"/>
              </w:rPr>
              <w:t xml:space="preserve"> финансија</w:t>
            </w:r>
            <w:r w:rsidR="00B80C03" w:rsidRPr="00895819">
              <w:rPr>
                <w:sz w:val="22"/>
                <w:lang w:val="sr-Cyrl-CS"/>
              </w:rPr>
              <w:t>.</w:t>
            </w:r>
          </w:p>
        </w:tc>
        <w:tc>
          <w:tcPr>
            <w:tcW w:w="2693" w:type="dxa"/>
            <w:vAlign w:val="center"/>
          </w:tcPr>
          <w:p w14:paraId="66183185" w14:textId="77777777" w:rsidR="00B16F8D" w:rsidRPr="00895819" w:rsidRDefault="00B16F8D" w:rsidP="00485361">
            <w:pPr>
              <w:spacing w:before="120" w:after="120"/>
              <w:jc w:val="center"/>
              <w:rPr>
                <w:sz w:val="22"/>
                <w:lang w:val="sr-Cyrl-CS"/>
              </w:rPr>
            </w:pPr>
            <w:r w:rsidRPr="00895819">
              <w:rPr>
                <w:sz w:val="22"/>
                <w:lang w:val="sr-Cyrl-CS"/>
              </w:rPr>
              <w:t xml:space="preserve">4.0 </w:t>
            </w:r>
            <w:r w:rsidR="00B80C03" w:rsidRPr="00895819">
              <w:rPr>
                <w:sz w:val="22"/>
                <w:lang w:val="sr-Cyrl-CS"/>
              </w:rPr>
              <w:t>мил. ЕУР</w:t>
            </w:r>
          </w:p>
        </w:tc>
        <w:tc>
          <w:tcPr>
            <w:tcW w:w="2835" w:type="dxa"/>
            <w:vAlign w:val="center"/>
          </w:tcPr>
          <w:p w14:paraId="4930A5DD" w14:textId="77777777" w:rsidR="00B16F8D" w:rsidRPr="00895819" w:rsidRDefault="00B16F8D" w:rsidP="001F5579">
            <w:pPr>
              <w:spacing w:before="120" w:after="120"/>
              <w:jc w:val="center"/>
              <w:rPr>
                <w:sz w:val="22"/>
                <w:lang w:val="sr-Cyrl-CS"/>
              </w:rPr>
            </w:pPr>
            <w:r w:rsidRPr="00895819">
              <w:rPr>
                <w:sz w:val="22"/>
                <w:lang w:val="sr-Cyrl-CS"/>
              </w:rPr>
              <w:t>1</w:t>
            </w:r>
            <w:r w:rsidR="000C17AA" w:rsidRPr="00895819">
              <w:rPr>
                <w:sz w:val="22"/>
                <w:lang w:val="sr-Cyrl-CS"/>
              </w:rPr>
              <w:t>,</w:t>
            </w:r>
            <w:r w:rsidRPr="00895819">
              <w:rPr>
                <w:sz w:val="22"/>
                <w:lang w:val="sr-Cyrl-CS"/>
              </w:rPr>
              <w:t>33</w:t>
            </w:r>
            <w:r w:rsidR="00D86BEA" w:rsidRPr="00895819">
              <w:rPr>
                <w:sz w:val="22"/>
                <w:lang w:val="sr-Cyrl-CS"/>
              </w:rPr>
              <w:t>3</w:t>
            </w:r>
            <w:r w:rsidRPr="00895819">
              <w:rPr>
                <w:sz w:val="22"/>
                <w:lang w:val="sr-Cyrl-CS"/>
              </w:rPr>
              <w:t xml:space="preserve"> </w:t>
            </w:r>
            <w:r w:rsidR="000C17AA" w:rsidRPr="00895819">
              <w:rPr>
                <w:sz w:val="22"/>
                <w:lang w:val="sr-Cyrl-CS"/>
              </w:rPr>
              <w:t xml:space="preserve">мил. ЕУР за сваких </w:t>
            </w:r>
            <w:r w:rsidRPr="00895819">
              <w:rPr>
                <w:sz w:val="22"/>
                <w:lang w:val="sr-Cyrl-CS"/>
              </w:rPr>
              <w:t>5</w:t>
            </w:r>
            <w:r w:rsidR="000C17AA" w:rsidRPr="00895819">
              <w:rPr>
                <w:sz w:val="22"/>
                <w:lang w:val="sr-Cyrl-CS"/>
              </w:rPr>
              <w:t>пп</w:t>
            </w:r>
            <w:r w:rsidR="001F5579" w:rsidRPr="00895819">
              <w:rPr>
                <w:sz w:val="22"/>
                <w:lang w:val="sr-Cyrl-CS"/>
              </w:rPr>
              <w:t>.</w:t>
            </w:r>
            <w:r w:rsidRPr="00895819">
              <w:rPr>
                <w:sz w:val="22"/>
                <w:lang w:val="sr-Cyrl-CS"/>
              </w:rPr>
              <w:t xml:space="preserve"> </w:t>
            </w:r>
            <w:r w:rsidR="000C17AA" w:rsidRPr="00895819">
              <w:rPr>
                <w:sz w:val="22"/>
                <w:lang w:val="sr-Cyrl-CS"/>
              </w:rPr>
              <w:t xml:space="preserve">изнад </w:t>
            </w:r>
            <w:r w:rsidRPr="00895819">
              <w:rPr>
                <w:sz w:val="22"/>
                <w:lang w:val="sr-Cyrl-CS"/>
              </w:rPr>
              <w:t xml:space="preserve">65% </w:t>
            </w:r>
            <w:r w:rsidR="000C17AA" w:rsidRPr="00895819">
              <w:rPr>
                <w:sz w:val="22"/>
                <w:lang w:val="sr-Cyrl-CS"/>
              </w:rPr>
              <w:t>усклађености са листом приоритета</w:t>
            </w:r>
          </w:p>
        </w:tc>
      </w:tr>
    </w:tbl>
    <w:p w14:paraId="4B466EE6" w14:textId="77777777" w:rsidR="00B16F8D" w:rsidRPr="00895819" w:rsidRDefault="00B16F8D" w:rsidP="00B16F8D">
      <w:pPr>
        <w:pStyle w:val="BodyText"/>
        <w:jc w:val="left"/>
        <w:rPr>
          <w:rFonts w:cs="Times New Roman"/>
          <w:b/>
          <w:iCs/>
          <w:color w:val="000000"/>
          <w:lang w:val="sr-Cyrl-CS"/>
        </w:rPr>
        <w:sectPr w:rsidR="00B16F8D" w:rsidRPr="00895819" w:rsidSect="00485361">
          <w:pgSz w:w="16838" w:h="11906" w:orient="landscape"/>
          <w:pgMar w:top="720" w:right="720" w:bottom="720" w:left="720" w:header="708" w:footer="400" w:gutter="0"/>
          <w:cols w:space="708"/>
          <w:formProt w:val="0"/>
          <w:titlePg/>
          <w:docGrid w:linePitch="360"/>
        </w:sectPr>
      </w:pPr>
    </w:p>
    <w:tbl>
      <w:tblPr>
        <w:tblStyle w:val="TableGrid"/>
        <w:tblW w:w="0" w:type="auto"/>
        <w:tblLook w:val="04A0" w:firstRow="1" w:lastRow="0" w:firstColumn="1" w:lastColumn="0" w:noHBand="0" w:noVBand="1"/>
      </w:tblPr>
      <w:tblGrid>
        <w:gridCol w:w="1171"/>
        <w:gridCol w:w="8889"/>
        <w:gridCol w:w="2693"/>
        <w:gridCol w:w="2551"/>
      </w:tblGrid>
      <w:tr w:rsidR="00B16F8D" w:rsidRPr="00895819" w14:paraId="2C1CC7A4" w14:textId="77777777" w:rsidTr="00485361">
        <w:tc>
          <w:tcPr>
            <w:tcW w:w="15304" w:type="dxa"/>
            <w:gridSpan w:val="4"/>
            <w:shd w:val="clear" w:color="auto" w:fill="002060"/>
            <w:vAlign w:val="center"/>
          </w:tcPr>
          <w:p w14:paraId="68194299" w14:textId="77777777" w:rsidR="00B16F8D" w:rsidRPr="00895819" w:rsidRDefault="00C671B4" w:rsidP="00485361">
            <w:pPr>
              <w:spacing w:before="120" w:after="120"/>
              <w:jc w:val="center"/>
              <w:rPr>
                <w:sz w:val="22"/>
                <w:lang w:val="sr-Cyrl-CS"/>
              </w:rPr>
            </w:pPr>
            <w:r w:rsidRPr="00895819">
              <w:rPr>
                <w:sz w:val="22"/>
                <w:lang w:val="sr-Cyrl-CS"/>
              </w:rPr>
              <w:lastRenderedPageBreak/>
              <w:t>ДЛИ</w:t>
            </w:r>
            <w:r w:rsidR="00B16F8D" w:rsidRPr="00895819">
              <w:rPr>
                <w:sz w:val="22"/>
                <w:lang w:val="sr-Cyrl-CS"/>
              </w:rPr>
              <w:t xml:space="preserve">4 – </w:t>
            </w:r>
            <w:r w:rsidRPr="00895819">
              <w:rPr>
                <w:sz w:val="22"/>
                <w:lang w:val="sr-Cyrl-CS"/>
              </w:rPr>
              <w:t xml:space="preserve">Повећање удела зелених и климатски одговорних јавних улагања </w:t>
            </w:r>
          </w:p>
        </w:tc>
      </w:tr>
      <w:tr w:rsidR="00C671B4" w:rsidRPr="00895819" w14:paraId="2E96073A" w14:textId="77777777" w:rsidTr="00485361">
        <w:tc>
          <w:tcPr>
            <w:tcW w:w="1171" w:type="dxa"/>
            <w:shd w:val="clear" w:color="auto" w:fill="002060"/>
            <w:vAlign w:val="center"/>
          </w:tcPr>
          <w:p w14:paraId="6723B32C" w14:textId="77777777" w:rsidR="00C671B4" w:rsidRPr="00895819" w:rsidRDefault="00C671B4" w:rsidP="00C671B4">
            <w:pPr>
              <w:spacing w:before="120" w:after="120"/>
              <w:jc w:val="center"/>
              <w:rPr>
                <w:sz w:val="22"/>
                <w:lang w:val="sr-Cyrl-CS"/>
              </w:rPr>
            </w:pPr>
            <w:r w:rsidRPr="00895819">
              <w:rPr>
                <w:sz w:val="22"/>
                <w:lang w:val="sr-Cyrl-CS"/>
              </w:rPr>
              <w:t>Период</w:t>
            </w:r>
          </w:p>
        </w:tc>
        <w:tc>
          <w:tcPr>
            <w:tcW w:w="8889" w:type="dxa"/>
            <w:shd w:val="clear" w:color="auto" w:fill="002060"/>
            <w:vAlign w:val="center"/>
          </w:tcPr>
          <w:p w14:paraId="5F9D7B98" w14:textId="77777777" w:rsidR="00C671B4" w:rsidRPr="00895819" w:rsidRDefault="00C671B4" w:rsidP="00C671B4">
            <w:pPr>
              <w:spacing w:before="120" w:after="120"/>
              <w:jc w:val="center"/>
              <w:rPr>
                <w:sz w:val="22"/>
                <w:lang w:val="sr-Cyrl-CS"/>
              </w:rPr>
            </w:pPr>
            <w:r w:rsidRPr="00895819">
              <w:rPr>
                <w:sz w:val="22"/>
                <w:lang w:val="sr-Cyrl-CS"/>
              </w:rPr>
              <w:t>Вредност</w:t>
            </w:r>
          </w:p>
        </w:tc>
        <w:tc>
          <w:tcPr>
            <w:tcW w:w="2693" w:type="dxa"/>
            <w:shd w:val="clear" w:color="auto" w:fill="002060"/>
          </w:tcPr>
          <w:p w14:paraId="379B638A" w14:textId="77777777" w:rsidR="00C671B4" w:rsidRPr="00895819" w:rsidRDefault="00C671B4" w:rsidP="00C671B4">
            <w:pPr>
              <w:spacing w:before="120" w:after="120"/>
              <w:jc w:val="center"/>
              <w:rPr>
                <w:sz w:val="22"/>
                <w:lang w:val="sr-Cyrl-CS"/>
              </w:rPr>
            </w:pPr>
            <w:r w:rsidRPr="00895819">
              <w:rPr>
                <w:sz w:val="22"/>
                <w:lang w:val="sr-Cyrl-CS"/>
              </w:rPr>
              <w:t>Износ који обезбеђује АФД</w:t>
            </w:r>
          </w:p>
        </w:tc>
        <w:tc>
          <w:tcPr>
            <w:tcW w:w="2551" w:type="dxa"/>
            <w:shd w:val="clear" w:color="auto" w:fill="002060"/>
            <w:vAlign w:val="center"/>
          </w:tcPr>
          <w:p w14:paraId="5F467F7F" w14:textId="77777777" w:rsidR="00C671B4" w:rsidRPr="00895819" w:rsidRDefault="00C671B4" w:rsidP="00C671B4">
            <w:pPr>
              <w:spacing w:before="120" w:after="120"/>
              <w:jc w:val="center"/>
              <w:rPr>
                <w:sz w:val="22"/>
                <w:lang w:val="sr-Cyrl-CS"/>
              </w:rPr>
            </w:pPr>
            <w:r w:rsidRPr="00895819">
              <w:rPr>
                <w:sz w:val="22"/>
                <w:lang w:val="sr-Cyrl-CS"/>
              </w:rPr>
              <w:t>Формула за алокацију</w:t>
            </w:r>
          </w:p>
        </w:tc>
      </w:tr>
      <w:tr w:rsidR="00B16F8D" w:rsidRPr="00895819" w14:paraId="27FE0A91" w14:textId="77777777" w:rsidTr="00485361">
        <w:tc>
          <w:tcPr>
            <w:tcW w:w="1171" w:type="dxa"/>
            <w:vAlign w:val="center"/>
          </w:tcPr>
          <w:p w14:paraId="4C9FF89D" w14:textId="77777777" w:rsidR="00B16F8D" w:rsidRPr="00895819" w:rsidRDefault="00223065" w:rsidP="00485361">
            <w:pPr>
              <w:spacing w:before="120" w:after="120"/>
              <w:rPr>
                <w:sz w:val="22"/>
                <w:lang w:val="sr-Cyrl-CS"/>
              </w:rPr>
            </w:pPr>
            <w:r w:rsidRPr="00895819">
              <w:rPr>
                <w:sz w:val="22"/>
                <w:lang w:val="sr-Cyrl-CS"/>
              </w:rPr>
              <w:t>Полазна основа</w:t>
            </w:r>
          </w:p>
        </w:tc>
        <w:tc>
          <w:tcPr>
            <w:tcW w:w="14133" w:type="dxa"/>
            <w:gridSpan w:val="3"/>
          </w:tcPr>
          <w:p w14:paraId="30116FE2" w14:textId="3BDB75DC" w:rsidR="00B16F8D" w:rsidRPr="00895819" w:rsidRDefault="008B022F" w:rsidP="00485361">
            <w:pPr>
              <w:spacing w:before="120" w:after="120"/>
              <w:rPr>
                <w:sz w:val="22"/>
                <w:lang w:val="sr-Cyrl-CS"/>
              </w:rPr>
            </w:pPr>
            <w:r w:rsidRPr="00895819">
              <w:rPr>
                <w:sz w:val="22"/>
                <w:lang w:val="sr-Cyrl-CS"/>
              </w:rPr>
              <w:t>Члан</w:t>
            </w:r>
            <w:r w:rsidR="00832C76" w:rsidRPr="00895819">
              <w:rPr>
                <w:sz w:val="22"/>
                <w:lang w:val="sr-Cyrl-CS"/>
              </w:rPr>
              <w:t>ови</w:t>
            </w:r>
            <w:r w:rsidRPr="00895819">
              <w:rPr>
                <w:sz w:val="22"/>
                <w:lang w:val="sr-Cyrl-CS"/>
              </w:rPr>
              <w:t xml:space="preserve"> 13-15 </w:t>
            </w:r>
            <w:r w:rsidR="00BD3EA0" w:rsidRPr="00895819">
              <w:rPr>
                <w:sz w:val="22"/>
                <w:lang w:val="sr-Cyrl-CS"/>
              </w:rPr>
              <w:t xml:space="preserve">Уредбе о управљању капиталним пројектима </w:t>
            </w:r>
            <w:r w:rsidRPr="00895819">
              <w:rPr>
                <w:sz w:val="22"/>
                <w:lang w:val="sr-Cyrl-CS"/>
              </w:rPr>
              <w:t xml:space="preserve">измењени су 2022. године како би се омогућила процена климатских користи пројеката и утврђивање приоритета на основу тих резултата. Систем се још увек не имплементира. Удео зелених јавних улагања се не прати систематски нити се о њима извештава систематски, тако да их није могуће адекватно проценити у недостатку методологије и критеријума </w:t>
            </w:r>
            <w:r w:rsidR="00B16F8D" w:rsidRPr="00895819">
              <w:rPr>
                <w:sz w:val="22"/>
                <w:lang w:val="sr-Cyrl-CS"/>
              </w:rPr>
              <w:t>(</w:t>
            </w:r>
            <w:r w:rsidRPr="00895819">
              <w:rPr>
                <w:sz w:val="22"/>
                <w:lang w:val="sr-Cyrl-CS"/>
              </w:rPr>
              <w:t xml:space="preserve">нпр. процена да ли су капитални пројекти потпуно или делимично зелени и да ли </w:t>
            </w:r>
            <w:r w:rsidR="004A53CB" w:rsidRPr="00895819">
              <w:rPr>
                <w:sz w:val="22"/>
                <w:lang w:val="sr-Cyrl-CS"/>
              </w:rPr>
              <w:t>јачају отпорност на климатске промене</w:t>
            </w:r>
            <w:r w:rsidR="00B16F8D" w:rsidRPr="00895819">
              <w:rPr>
                <w:sz w:val="22"/>
                <w:lang w:val="sr-Cyrl-CS"/>
              </w:rPr>
              <w:t xml:space="preserve">). </w:t>
            </w:r>
          </w:p>
        </w:tc>
      </w:tr>
      <w:tr w:rsidR="00B16F8D" w:rsidRPr="00895819" w14:paraId="2A63DA97" w14:textId="77777777" w:rsidTr="00485361">
        <w:tc>
          <w:tcPr>
            <w:tcW w:w="1171" w:type="dxa"/>
            <w:vAlign w:val="center"/>
          </w:tcPr>
          <w:p w14:paraId="57E831DE" w14:textId="77777777" w:rsidR="00B16F8D" w:rsidRPr="00895819" w:rsidRDefault="00B16F8D" w:rsidP="00485361">
            <w:pPr>
              <w:spacing w:before="120" w:after="120"/>
              <w:rPr>
                <w:sz w:val="22"/>
                <w:lang w:val="sr-Cyrl-CS"/>
              </w:rPr>
            </w:pPr>
            <w:r w:rsidRPr="00895819">
              <w:rPr>
                <w:sz w:val="22"/>
                <w:lang w:val="sr-Cyrl-CS"/>
              </w:rPr>
              <w:t>2023</w:t>
            </w:r>
          </w:p>
        </w:tc>
        <w:tc>
          <w:tcPr>
            <w:tcW w:w="8889" w:type="dxa"/>
          </w:tcPr>
          <w:p w14:paraId="01CDFFA6" w14:textId="77777777" w:rsidR="00B16F8D" w:rsidRPr="00895819" w:rsidRDefault="004A53CB" w:rsidP="00485361">
            <w:pPr>
              <w:spacing w:before="120" w:after="120"/>
              <w:rPr>
                <w:sz w:val="22"/>
                <w:lang w:val="sr-Cyrl-CS"/>
              </w:rPr>
            </w:pPr>
            <w:r w:rsidRPr="00895819">
              <w:rPr>
                <w:b/>
                <w:sz w:val="22"/>
                <w:lang w:val="sr-Cyrl-CS"/>
              </w:rPr>
              <w:t>ИРИ</w:t>
            </w:r>
            <w:r w:rsidR="00B16F8D" w:rsidRPr="00895819">
              <w:rPr>
                <w:b/>
                <w:sz w:val="22"/>
                <w:lang w:val="sr-Cyrl-CS"/>
              </w:rPr>
              <w:t xml:space="preserve"> 4.1. </w:t>
            </w:r>
            <w:r w:rsidRPr="00895819">
              <w:rPr>
                <w:bCs/>
                <w:sz w:val="22"/>
                <w:lang w:val="sr-Cyrl-CS"/>
              </w:rPr>
              <w:t xml:space="preserve">Усвојени су критеријуми за при-скрининг, процену, ревизију процене и одабир пројеката према еколошкој/климатској релевантности </w:t>
            </w:r>
            <w:r w:rsidR="00E94E5B" w:rsidRPr="00895819">
              <w:rPr>
                <w:sz w:val="22"/>
                <w:lang w:val="sr-Cyrl-CS"/>
              </w:rPr>
              <w:t xml:space="preserve">– </w:t>
            </w:r>
            <w:r w:rsidRPr="00895819">
              <w:rPr>
                <w:sz w:val="22"/>
                <w:lang w:val="sr-Cyrl-CS"/>
              </w:rPr>
              <w:t>као што се тражи изменама и допунама Уредбе о управљању капиталним пројектима</w:t>
            </w:r>
            <w:r w:rsidR="00E94E5B" w:rsidRPr="00895819">
              <w:rPr>
                <w:sz w:val="22"/>
                <w:lang w:val="sr-Cyrl-CS"/>
              </w:rPr>
              <w:t>.</w:t>
            </w:r>
          </w:p>
        </w:tc>
        <w:tc>
          <w:tcPr>
            <w:tcW w:w="2693" w:type="dxa"/>
            <w:vAlign w:val="center"/>
          </w:tcPr>
          <w:p w14:paraId="56D5294B" w14:textId="77777777" w:rsidR="00B16F8D" w:rsidRPr="00895819" w:rsidRDefault="00B16F8D" w:rsidP="00485361">
            <w:pPr>
              <w:spacing w:before="120" w:after="120"/>
              <w:jc w:val="center"/>
              <w:rPr>
                <w:sz w:val="22"/>
                <w:lang w:val="sr-Cyrl-CS"/>
              </w:rPr>
            </w:pPr>
            <w:r w:rsidRPr="00895819">
              <w:rPr>
                <w:sz w:val="22"/>
                <w:lang w:val="sr-Cyrl-CS"/>
              </w:rPr>
              <w:t>-</w:t>
            </w:r>
          </w:p>
        </w:tc>
        <w:tc>
          <w:tcPr>
            <w:tcW w:w="2551" w:type="dxa"/>
            <w:vAlign w:val="center"/>
          </w:tcPr>
          <w:p w14:paraId="4A9DFF9C" w14:textId="77777777" w:rsidR="00B16F8D" w:rsidRPr="00895819" w:rsidRDefault="00223065" w:rsidP="00485361">
            <w:pPr>
              <w:spacing w:before="120" w:after="120"/>
              <w:jc w:val="center"/>
              <w:rPr>
                <w:sz w:val="22"/>
                <w:lang w:val="sr-Cyrl-CS"/>
              </w:rPr>
            </w:pPr>
            <w:r w:rsidRPr="00895819">
              <w:rPr>
                <w:sz w:val="22"/>
                <w:lang w:val="sr-Cyrl-CS"/>
              </w:rPr>
              <w:t>Само праћење</w:t>
            </w:r>
          </w:p>
        </w:tc>
      </w:tr>
      <w:tr w:rsidR="00B16F8D" w:rsidRPr="00895819" w14:paraId="3CF209EE" w14:textId="77777777" w:rsidTr="00485361">
        <w:trPr>
          <w:trHeight w:val="737"/>
        </w:trPr>
        <w:tc>
          <w:tcPr>
            <w:tcW w:w="1171" w:type="dxa"/>
            <w:vAlign w:val="center"/>
          </w:tcPr>
          <w:p w14:paraId="53C5A14E" w14:textId="77777777" w:rsidR="00B16F8D" w:rsidRPr="00895819" w:rsidRDefault="00B16F8D" w:rsidP="00485361">
            <w:pPr>
              <w:spacing w:before="120" w:after="120"/>
              <w:rPr>
                <w:sz w:val="22"/>
                <w:lang w:val="sr-Cyrl-CS"/>
              </w:rPr>
            </w:pPr>
            <w:r w:rsidRPr="00895819">
              <w:rPr>
                <w:sz w:val="22"/>
                <w:lang w:val="sr-Cyrl-CS"/>
              </w:rPr>
              <w:t>2024</w:t>
            </w:r>
          </w:p>
        </w:tc>
        <w:tc>
          <w:tcPr>
            <w:tcW w:w="8889" w:type="dxa"/>
            <w:tcMar>
              <w:right w:w="28" w:type="dxa"/>
            </w:tcMar>
            <w:vAlign w:val="center"/>
          </w:tcPr>
          <w:p w14:paraId="5FCA0DFE" w14:textId="77777777" w:rsidR="00B16F8D" w:rsidRPr="00895819" w:rsidRDefault="009B3A8D" w:rsidP="00485361">
            <w:pPr>
              <w:spacing w:before="120" w:after="120"/>
              <w:jc w:val="left"/>
              <w:rPr>
                <w:sz w:val="22"/>
                <w:lang w:val="sr-Cyrl-CS"/>
              </w:rPr>
            </w:pPr>
            <w:r w:rsidRPr="00895819">
              <w:rPr>
                <w:b/>
                <w:sz w:val="22"/>
                <w:lang w:val="sr-Cyrl-CS"/>
              </w:rPr>
              <w:t>ИРИ</w:t>
            </w:r>
            <w:r w:rsidR="00B16F8D" w:rsidRPr="00895819">
              <w:rPr>
                <w:b/>
                <w:sz w:val="22"/>
                <w:lang w:val="sr-Cyrl-CS"/>
              </w:rPr>
              <w:t xml:space="preserve"> 4.2. </w:t>
            </w:r>
            <w:r w:rsidR="004A53CB" w:rsidRPr="00895819">
              <w:rPr>
                <w:bCs/>
                <w:sz w:val="22"/>
                <w:lang w:val="sr-Cyrl-CS"/>
              </w:rPr>
              <w:t xml:space="preserve">Минимум </w:t>
            </w:r>
            <w:r w:rsidR="00B16F8D" w:rsidRPr="00895819">
              <w:rPr>
                <w:bCs/>
                <w:sz w:val="22"/>
                <w:lang w:val="sr-Cyrl-CS"/>
              </w:rPr>
              <w:t xml:space="preserve">70% </w:t>
            </w:r>
            <w:r w:rsidR="004A53CB" w:rsidRPr="00895819">
              <w:rPr>
                <w:bCs/>
                <w:sz w:val="22"/>
                <w:lang w:val="sr-Cyrl-CS"/>
              </w:rPr>
              <w:t xml:space="preserve">ресорних министарстава је обучено за имплементацију критеријума у складу са ИРИ </w:t>
            </w:r>
            <w:r w:rsidR="00B16F8D" w:rsidRPr="00895819">
              <w:rPr>
                <w:sz w:val="22"/>
                <w:lang w:val="sr-Cyrl-CS"/>
              </w:rPr>
              <w:t>4.1</w:t>
            </w:r>
          </w:p>
        </w:tc>
        <w:tc>
          <w:tcPr>
            <w:tcW w:w="2693" w:type="dxa"/>
            <w:vAlign w:val="center"/>
          </w:tcPr>
          <w:p w14:paraId="6587AF40" w14:textId="77777777" w:rsidR="00B16F8D" w:rsidRPr="00895819" w:rsidRDefault="00B16F8D" w:rsidP="00485361">
            <w:pPr>
              <w:spacing w:before="120" w:after="120"/>
              <w:jc w:val="center"/>
              <w:rPr>
                <w:sz w:val="22"/>
                <w:lang w:val="sr-Cyrl-CS"/>
              </w:rPr>
            </w:pPr>
            <w:r w:rsidRPr="00895819">
              <w:rPr>
                <w:sz w:val="22"/>
                <w:lang w:val="sr-Cyrl-CS"/>
              </w:rPr>
              <w:t>-</w:t>
            </w:r>
          </w:p>
        </w:tc>
        <w:tc>
          <w:tcPr>
            <w:tcW w:w="2551" w:type="dxa"/>
            <w:vAlign w:val="center"/>
          </w:tcPr>
          <w:p w14:paraId="215B0C42" w14:textId="77777777" w:rsidR="00B16F8D" w:rsidRPr="00895819" w:rsidRDefault="00223065" w:rsidP="00485361">
            <w:pPr>
              <w:spacing w:before="120" w:after="120"/>
              <w:jc w:val="center"/>
              <w:rPr>
                <w:sz w:val="22"/>
                <w:lang w:val="sr-Cyrl-CS"/>
              </w:rPr>
            </w:pPr>
            <w:r w:rsidRPr="00895819">
              <w:rPr>
                <w:sz w:val="22"/>
                <w:lang w:val="sr-Cyrl-CS"/>
              </w:rPr>
              <w:t>Само праћење</w:t>
            </w:r>
          </w:p>
        </w:tc>
      </w:tr>
      <w:tr w:rsidR="00B16F8D" w:rsidRPr="00895819" w14:paraId="3CD1EF55" w14:textId="77777777" w:rsidTr="00485361">
        <w:tc>
          <w:tcPr>
            <w:tcW w:w="1171" w:type="dxa"/>
            <w:vAlign w:val="center"/>
          </w:tcPr>
          <w:p w14:paraId="2C73D404" w14:textId="77777777" w:rsidR="00B16F8D" w:rsidRPr="00895819" w:rsidRDefault="00B16F8D" w:rsidP="00485361">
            <w:pPr>
              <w:spacing w:before="120" w:after="120"/>
              <w:rPr>
                <w:sz w:val="22"/>
                <w:lang w:val="sr-Cyrl-CS"/>
              </w:rPr>
            </w:pPr>
            <w:r w:rsidRPr="00895819">
              <w:rPr>
                <w:sz w:val="22"/>
                <w:lang w:val="sr-Cyrl-CS"/>
              </w:rPr>
              <w:t>2025</w:t>
            </w:r>
          </w:p>
        </w:tc>
        <w:tc>
          <w:tcPr>
            <w:tcW w:w="8889" w:type="dxa"/>
            <w:vAlign w:val="center"/>
          </w:tcPr>
          <w:p w14:paraId="72996E26" w14:textId="77777777" w:rsidR="004445C0" w:rsidRPr="00895819" w:rsidRDefault="009B3A8D" w:rsidP="00922D71">
            <w:pPr>
              <w:spacing w:before="120" w:after="120"/>
              <w:jc w:val="left"/>
              <w:rPr>
                <w:bCs/>
                <w:sz w:val="22"/>
                <w:szCs w:val="22"/>
                <w:lang w:val="sr-Cyrl-CS"/>
              </w:rPr>
            </w:pPr>
            <w:r w:rsidRPr="00895819">
              <w:rPr>
                <w:b/>
                <w:sz w:val="22"/>
                <w:lang w:val="sr-Cyrl-CS"/>
              </w:rPr>
              <w:t>ДЛР</w:t>
            </w:r>
            <w:r w:rsidR="00B16F8D" w:rsidRPr="00895819">
              <w:rPr>
                <w:b/>
                <w:sz w:val="22"/>
                <w:lang w:val="sr-Cyrl-CS"/>
              </w:rPr>
              <w:t xml:space="preserve"> 4.1. </w:t>
            </w:r>
            <w:r w:rsidR="004A53CB" w:rsidRPr="00895819">
              <w:rPr>
                <w:bCs/>
                <w:sz w:val="22"/>
                <w:lang w:val="sr-Cyrl-CS"/>
              </w:rPr>
              <w:t xml:space="preserve">Зајмопримац бира </w:t>
            </w:r>
            <w:r w:rsidR="000A1D4E" w:rsidRPr="00895819">
              <w:rPr>
                <w:bCs/>
                <w:sz w:val="22"/>
                <w:lang w:val="sr-Cyrl-CS"/>
              </w:rPr>
              <w:t>40% или више капиталних пројеката (пројект</w:t>
            </w:r>
            <w:r w:rsidR="00F26D12" w:rsidRPr="00895819">
              <w:rPr>
                <w:bCs/>
                <w:sz w:val="22"/>
                <w:lang w:val="sr-Cyrl-CS"/>
              </w:rPr>
              <w:t>и</w:t>
            </w:r>
            <w:r w:rsidR="000A1D4E" w:rsidRPr="00895819">
              <w:rPr>
                <w:bCs/>
                <w:sz w:val="22"/>
                <w:lang w:val="sr-Cyrl-CS"/>
              </w:rPr>
              <w:t xml:space="preserve"> на које се примењује Уредба о управљању капиталним пројектима) који ће се финансирати у складу са Законом о буџету за 2026. годину који су усклађени са новом методологијом за одабир пројеката током фазе која претходи имплементацији према еколошкој/климатској релевантности у складу са Уредбом</w:t>
            </w:r>
            <w:r w:rsidR="004445C0" w:rsidRPr="00895819">
              <w:rPr>
                <w:bCs/>
                <w:sz w:val="22"/>
                <w:szCs w:val="22"/>
                <w:lang w:val="sr-Cyrl-CS"/>
              </w:rPr>
              <w:t>.</w:t>
            </w:r>
          </w:p>
        </w:tc>
        <w:tc>
          <w:tcPr>
            <w:tcW w:w="2693" w:type="dxa"/>
            <w:vAlign w:val="center"/>
          </w:tcPr>
          <w:p w14:paraId="032399B3" w14:textId="77777777" w:rsidR="00B16F8D" w:rsidRPr="00895819" w:rsidRDefault="00B16F8D" w:rsidP="00485361">
            <w:pPr>
              <w:spacing w:before="120" w:after="120"/>
              <w:jc w:val="center"/>
              <w:rPr>
                <w:sz w:val="22"/>
                <w:lang w:val="sr-Cyrl-CS"/>
              </w:rPr>
            </w:pPr>
            <w:r w:rsidRPr="00895819">
              <w:rPr>
                <w:sz w:val="22"/>
                <w:lang w:val="sr-Cyrl-CS"/>
              </w:rPr>
              <w:t>4.0 M€</w:t>
            </w:r>
          </w:p>
        </w:tc>
        <w:tc>
          <w:tcPr>
            <w:tcW w:w="2551" w:type="dxa"/>
            <w:vAlign w:val="center"/>
          </w:tcPr>
          <w:p w14:paraId="07CC1F1A" w14:textId="77777777" w:rsidR="00B16F8D" w:rsidRPr="00895819" w:rsidRDefault="0095321E" w:rsidP="00485361">
            <w:pPr>
              <w:spacing w:before="120" w:after="120"/>
              <w:jc w:val="center"/>
              <w:rPr>
                <w:sz w:val="22"/>
                <w:lang w:val="sr-Cyrl-CS"/>
              </w:rPr>
            </w:pPr>
            <w:r w:rsidRPr="00895819">
              <w:rPr>
                <w:sz w:val="22"/>
                <w:lang w:val="sr-Cyrl-CS"/>
              </w:rPr>
              <w:t>Скалабилно</w:t>
            </w:r>
            <w:r w:rsidR="001F5579" w:rsidRPr="00895819">
              <w:rPr>
                <w:sz w:val="22"/>
                <w:lang w:val="sr-Cyrl-CS"/>
              </w:rPr>
              <w:t xml:space="preserve"> – 1 </w:t>
            </w:r>
            <w:r w:rsidRPr="00895819">
              <w:rPr>
                <w:sz w:val="22"/>
                <w:lang w:val="sr-Cyrl-CS"/>
              </w:rPr>
              <w:t>мил. ЕУР за</w:t>
            </w:r>
            <w:r w:rsidR="001F5579" w:rsidRPr="00895819">
              <w:rPr>
                <w:sz w:val="22"/>
                <w:lang w:val="sr-Cyrl-CS"/>
              </w:rPr>
              <w:t xml:space="preserve"> 10</w:t>
            </w:r>
            <w:r w:rsidRPr="00895819">
              <w:rPr>
                <w:sz w:val="22"/>
                <w:lang w:val="sr-Cyrl-CS"/>
              </w:rPr>
              <w:t>пп усклађености</w:t>
            </w:r>
          </w:p>
        </w:tc>
      </w:tr>
      <w:tr w:rsidR="00B16F8D" w:rsidRPr="00895819" w14:paraId="0FD51C8C" w14:textId="77777777" w:rsidTr="00485361">
        <w:tc>
          <w:tcPr>
            <w:tcW w:w="1171" w:type="dxa"/>
            <w:vAlign w:val="center"/>
          </w:tcPr>
          <w:p w14:paraId="5CD753E7" w14:textId="77777777" w:rsidR="00B16F8D" w:rsidRPr="00895819" w:rsidRDefault="00B16F8D" w:rsidP="00485361">
            <w:pPr>
              <w:spacing w:before="120" w:after="120"/>
              <w:rPr>
                <w:sz w:val="22"/>
                <w:lang w:val="sr-Cyrl-CS"/>
              </w:rPr>
            </w:pPr>
            <w:r w:rsidRPr="00895819">
              <w:rPr>
                <w:sz w:val="22"/>
                <w:lang w:val="sr-Cyrl-CS"/>
              </w:rPr>
              <w:t>2026</w:t>
            </w:r>
          </w:p>
        </w:tc>
        <w:tc>
          <w:tcPr>
            <w:tcW w:w="8889" w:type="dxa"/>
            <w:vAlign w:val="center"/>
          </w:tcPr>
          <w:p w14:paraId="4BBAB323" w14:textId="77777777" w:rsidR="008A5887" w:rsidRPr="00895819" w:rsidRDefault="009B3A8D" w:rsidP="00EA1639">
            <w:pPr>
              <w:spacing w:before="120" w:after="120"/>
              <w:jc w:val="left"/>
              <w:rPr>
                <w:sz w:val="22"/>
                <w:lang w:val="sr-Cyrl-CS"/>
              </w:rPr>
            </w:pPr>
            <w:r w:rsidRPr="00895819">
              <w:rPr>
                <w:b/>
                <w:sz w:val="22"/>
                <w:lang w:val="sr-Cyrl-CS"/>
              </w:rPr>
              <w:t>ДЛР</w:t>
            </w:r>
            <w:r w:rsidR="00B16F8D" w:rsidRPr="00895819">
              <w:rPr>
                <w:b/>
                <w:sz w:val="22"/>
                <w:lang w:val="sr-Cyrl-CS"/>
              </w:rPr>
              <w:t xml:space="preserve"> 4.2. </w:t>
            </w:r>
            <w:r w:rsidR="00D40F52" w:rsidRPr="00895819">
              <w:rPr>
                <w:bCs/>
                <w:sz w:val="22"/>
                <w:lang w:val="sr-Cyrl-CS"/>
              </w:rPr>
              <w:t xml:space="preserve">Зелене и климатски одговорне алокације у капиталне пројекте </w:t>
            </w:r>
            <w:r w:rsidR="00F26D12" w:rsidRPr="00895819">
              <w:rPr>
                <w:bCs/>
                <w:sz w:val="22"/>
                <w:lang w:val="sr-Cyrl-CS"/>
              </w:rPr>
              <w:t xml:space="preserve">достижу 25% или више </w:t>
            </w:r>
            <w:r w:rsidR="00D40F52" w:rsidRPr="00895819">
              <w:rPr>
                <w:bCs/>
                <w:sz w:val="22"/>
                <w:lang w:val="sr-Cyrl-CS"/>
              </w:rPr>
              <w:t xml:space="preserve">буџетских алокација за све капиталне пројекте на које се примењује Уредба о управљању капиталним пројектима </w:t>
            </w:r>
            <w:r w:rsidR="00F26D12" w:rsidRPr="00895819">
              <w:rPr>
                <w:bCs/>
                <w:sz w:val="22"/>
                <w:lang w:val="sr-Cyrl-CS"/>
              </w:rPr>
              <w:t xml:space="preserve">што се утврђује </w:t>
            </w:r>
            <w:r w:rsidR="008A5887" w:rsidRPr="00895819">
              <w:rPr>
                <w:sz w:val="22"/>
                <w:lang w:val="sr-Cyrl-CS"/>
              </w:rPr>
              <w:t xml:space="preserve">(i) </w:t>
            </w:r>
            <w:r w:rsidR="00D40F52" w:rsidRPr="00895819">
              <w:rPr>
                <w:sz w:val="22"/>
                <w:lang w:val="sr-Cyrl-CS"/>
              </w:rPr>
              <w:t>годишњ</w:t>
            </w:r>
            <w:r w:rsidR="00F26D12" w:rsidRPr="00895819">
              <w:rPr>
                <w:sz w:val="22"/>
                <w:lang w:val="sr-Cyrl-CS"/>
              </w:rPr>
              <w:t>ом</w:t>
            </w:r>
            <w:r w:rsidR="00D40F52" w:rsidRPr="00895819">
              <w:rPr>
                <w:sz w:val="22"/>
                <w:lang w:val="sr-Cyrl-CS"/>
              </w:rPr>
              <w:t xml:space="preserve"> ревизиј</w:t>
            </w:r>
            <w:r w:rsidR="00F26D12" w:rsidRPr="00895819">
              <w:rPr>
                <w:sz w:val="22"/>
                <w:lang w:val="sr-Cyrl-CS"/>
              </w:rPr>
              <w:t>ом</w:t>
            </w:r>
            <w:r w:rsidR="00D40F52" w:rsidRPr="00895819">
              <w:rPr>
                <w:sz w:val="22"/>
                <w:lang w:val="sr-Cyrl-CS"/>
              </w:rPr>
              <w:t xml:space="preserve"> целокупно</w:t>
            </w:r>
            <w:r w:rsidR="00F26D12" w:rsidRPr="00895819">
              <w:rPr>
                <w:sz w:val="22"/>
                <w:lang w:val="sr-Cyrl-CS"/>
              </w:rPr>
              <w:t>г</w:t>
            </w:r>
            <w:r w:rsidR="00D40F52" w:rsidRPr="00895819">
              <w:rPr>
                <w:sz w:val="22"/>
                <w:lang w:val="sr-Cyrl-CS"/>
              </w:rPr>
              <w:t xml:space="preserve"> портфолија јавних улагања </w:t>
            </w:r>
            <w:r w:rsidR="008A5887" w:rsidRPr="00895819">
              <w:rPr>
                <w:sz w:val="22"/>
                <w:lang w:val="sr-Cyrl-CS"/>
              </w:rPr>
              <w:t>(</w:t>
            </w:r>
            <w:r w:rsidR="00D40F52" w:rsidRPr="00895819">
              <w:rPr>
                <w:sz w:val="22"/>
                <w:lang w:val="sr-Cyrl-CS"/>
              </w:rPr>
              <w:t>у складу са наведеном Уредбом</w:t>
            </w:r>
            <w:r w:rsidR="008A5887" w:rsidRPr="00895819">
              <w:rPr>
                <w:sz w:val="22"/>
                <w:lang w:val="sr-Cyrl-CS"/>
              </w:rPr>
              <w:t xml:space="preserve">) </w:t>
            </w:r>
            <w:r w:rsidR="00D40F52" w:rsidRPr="00895819">
              <w:rPr>
                <w:sz w:val="22"/>
                <w:lang w:val="sr-Cyrl-CS"/>
              </w:rPr>
              <w:t xml:space="preserve">у Закону о буџету за </w:t>
            </w:r>
            <w:r w:rsidR="008A5887" w:rsidRPr="00895819">
              <w:rPr>
                <w:sz w:val="22"/>
                <w:lang w:val="sr-Cyrl-CS"/>
              </w:rPr>
              <w:t>2027</w:t>
            </w:r>
            <w:r w:rsidR="00D40F52" w:rsidRPr="00895819">
              <w:rPr>
                <w:sz w:val="22"/>
                <w:lang w:val="sr-Cyrl-CS"/>
              </w:rPr>
              <w:t>. годину; и</w:t>
            </w:r>
            <w:r w:rsidR="008A5887" w:rsidRPr="00895819">
              <w:rPr>
                <w:sz w:val="22"/>
                <w:lang w:val="sr-Cyrl-CS"/>
              </w:rPr>
              <w:t xml:space="preserve"> (ii) </w:t>
            </w:r>
            <w:r w:rsidR="00D40F52" w:rsidRPr="00895819">
              <w:rPr>
                <w:sz w:val="22"/>
                <w:lang w:val="sr-Cyrl-CS"/>
              </w:rPr>
              <w:t>процен</w:t>
            </w:r>
            <w:r w:rsidR="00F26D12" w:rsidRPr="00895819">
              <w:rPr>
                <w:sz w:val="22"/>
                <w:lang w:val="sr-Cyrl-CS"/>
              </w:rPr>
              <w:t>ом</w:t>
            </w:r>
            <w:r w:rsidR="00D40F52" w:rsidRPr="00895819">
              <w:rPr>
                <w:sz w:val="22"/>
                <w:lang w:val="sr-Cyrl-CS"/>
              </w:rPr>
              <w:t xml:space="preserve"> удела на основу развијених и усвојених критеријума</w:t>
            </w:r>
            <w:r w:rsidR="008A5887" w:rsidRPr="00895819">
              <w:rPr>
                <w:sz w:val="22"/>
                <w:lang w:val="sr-Cyrl-CS"/>
              </w:rPr>
              <w:t>.</w:t>
            </w:r>
          </w:p>
        </w:tc>
        <w:tc>
          <w:tcPr>
            <w:tcW w:w="2693" w:type="dxa"/>
            <w:vAlign w:val="center"/>
          </w:tcPr>
          <w:p w14:paraId="547726F9" w14:textId="77777777" w:rsidR="00B16F8D" w:rsidRPr="00895819" w:rsidRDefault="00B16F8D" w:rsidP="00485361">
            <w:pPr>
              <w:spacing w:before="120" w:after="120"/>
              <w:jc w:val="center"/>
              <w:rPr>
                <w:sz w:val="22"/>
                <w:lang w:val="sr-Cyrl-CS"/>
              </w:rPr>
            </w:pPr>
            <w:r w:rsidRPr="00895819">
              <w:rPr>
                <w:sz w:val="22"/>
                <w:lang w:val="sr-Cyrl-CS"/>
              </w:rPr>
              <w:t>6.0 M€</w:t>
            </w:r>
          </w:p>
        </w:tc>
        <w:tc>
          <w:tcPr>
            <w:tcW w:w="2551" w:type="dxa"/>
            <w:vAlign w:val="center"/>
          </w:tcPr>
          <w:p w14:paraId="7A1EEF74" w14:textId="77777777" w:rsidR="00B16F8D" w:rsidRPr="00895819" w:rsidRDefault="0095321E" w:rsidP="00485361">
            <w:pPr>
              <w:spacing w:before="120" w:after="120"/>
              <w:jc w:val="center"/>
              <w:rPr>
                <w:sz w:val="22"/>
                <w:lang w:val="sr-Cyrl-CS"/>
              </w:rPr>
            </w:pPr>
            <w:r w:rsidRPr="00895819">
              <w:rPr>
                <w:sz w:val="22"/>
                <w:lang w:val="sr-Cyrl-CS"/>
              </w:rPr>
              <w:t>Скалабилно</w:t>
            </w:r>
            <w:r w:rsidR="00F83788" w:rsidRPr="00895819">
              <w:rPr>
                <w:sz w:val="22"/>
                <w:lang w:val="sr-Cyrl-CS"/>
              </w:rPr>
              <w:t xml:space="preserve"> </w:t>
            </w:r>
            <w:r w:rsidRPr="00895819">
              <w:rPr>
                <w:sz w:val="22"/>
                <w:lang w:val="sr-Cyrl-CS"/>
              </w:rPr>
              <w:t>–</w:t>
            </w:r>
            <w:r w:rsidR="00F83788" w:rsidRPr="00895819">
              <w:rPr>
                <w:sz w:val="22"/>
                <w:lang w:val="sr-Cyrl-CS"/>
              </w:rPr>
              <w:t xml:space="preserve"> </w:t>
            </w:r>
            <w:r w:rsidR="001F5579" w:rsidRPr="00895819">
              <w:rPr>
                <w:sz w:val="22"/>
                <w:lang w:val="sr-Cyrl-CS"/>
              </w:rPr>
              <w:t>1</w:t>
            </w:r>
            <w:r w:rsidRPr="00895819">
              <w:rPr>
                <w:sz w:val="22"/>
                <w:lang w:val="sr-Cyrl-CS"/>
              </w:rPr>
              <w:t>,</w:t>
            </w:r>
            <w:r w:rsidR="001F5579" w:rsidRPr="00895819">
              <w:rPr>
                <w:sz w:val="22"/>
                <w:lang w:val="sr-Cyrl-CS"/>
              </w:rPr>
              <w:t xml:space="preserve">2 </w:t>
            </w:r>
            <w:r w:rsidRPr="00895819">
              <w:rPr>
                <w:sz w:val="22"/>
                <w:lang w:val="sr-Cyrl-CS"/>
              </w:rPr>
              <w:t xml:space="preserve">мил. ЕУР за сваких </w:t>
            </w:r>
            <w:r w:rsidR="001F5579" w:rsidRPr="00895819">
              <w:rPr>
                <w:sz w:val="22"/>
                <w:lang w:val="sr-Cyrl-CS"/>
              </w:rPr>
              <w:t>5</w:t>
            </w:r>
            <w:r w:rsidRPr="00895819">
              <w:rPr>
                <w:sz w:val="22"/>
                <w:lang w:val="sr-Cyrl-CS"/>
              </w:rPr>
              <w:t>пп укупних капиталних расхода</w:t>
            </w:r>
          </w:p>
        </w:tc>
      </w:tr>
    </w:tbl>
    <w:p w14:paraId="7DB4CD72" w14:textId="77777777" w:rsidR="00B16F8D" w:rsidRPr="00895819" w:rsidRDefault="00B16F8D" w:rsidP="00B16F8D">
      <w:pPr>
        <w:pStyle w:val="BodyText"/>
        <w:jc w:val="left"/>
        <w:rPr>
          <w:rFonts w:cs="Times New Roman"/>
          <w:b/>
          <w:iCs/>
          <w:color w:val="000000"/>
          <w:lang w:val="sr-Cyrl-CS"/>
        </w:rPr>
      </w:pPr>
      <w:r w:rsidRPr="00895819">
        <w:rPr>
          <w:rFonts w:cs="Times New Roman"/>
          <w:b/>
          <w:iCs/>
          <w:color w:val="000000"/>
          <w:lang w:val="sr-Cyrl-CS"/>
        </w:rPr>
        <w:br w:type="page"/>
      </w:r>
    </w:p>
    <w:tbl>
      <w:tblPr>
        <w:tblStyle w:val="TableGrid"/>
        <w:tblW w:w="0" w:type="auto"/>
        <w:tblLook w:val="04A0" w:firstRow="1" w:lastRow="0" w:firstColumn="1" w:lastColumn="0" w:noHBand="0" w:noVBand="1"/>
      </w:tblPr>
      <w:tblGrid>
        <w:gridCol w:w="1171"/>
        <w:gridCol w:w="8180"/>
        <w:gridCol w:w="2693"/>
        <w:gridCol w:w="3260"/>
      </w:tblGrid>
      <w:tr w:rsidR="00B16F8D" w:rsidRPr="00895819" w14:paraId="0AE0535B" w14:textId="77777777" w:rsidTr="00485361">
        <w:tc>
          <w:tcPr>
            <w:tcW w:w="15304" w:type="dxa"/>
            <w:gridSpan w:val="4"/>
            <w:shd w:val="clear" w:color="auto" w:fill="002060"/>
            <w:vAlign w:val="center"/>
          </w:tcPr>
          <w:p w14:paraId="1C3A7D29" w14:textId="77777777" w:rsidR="00B16F8D" w:rsidRPr="00895819" w:rsidRDefault="004C34CC" w:rsidP="00485361">
            <w:pPr>
              <w:spacing w:before="120" w:after="120"/>
              <w:jc w:val="center"/>
              <w:rPr>
                <w:sz w:val="22"/>
                <w:lang w:val="sr-Cyrl-CS"/>
              </w:rPr>
            </w:pPr>
            <w:r w:rsidRPr="00895819">
              <w:rPr>
                <w:sz w:val="22"/>
                <w:lang w:val="sr-Cyrl-CS"/>
              </w:rPr>
              <w:lastRenderedPageBreak/>
              <w:t>ДЛИ</w:t>
            </w:r>
            <w:r w:rsidR="00B16F8D" w:rsidRPr="00895819">
              <w:rPr>
                <w:sz w:val="22"/>
                <w:lang w:val="sr-Cyrl-CS"/>
              </w:rPr>
              <w:t xml:space="preserve"> 5 – </w:t>
            </w:r>
            <w:r w:rsidRPr="00895819">
              <w:rPr>
                <w:sz w:val="22"/>
                <w:lang w:val="sr-Cyrl-CS"/>
              </w:rPr>
              <w:t>Повећан удео зелених набавки</w:t>
            </w:r>
          </w:p>
        </w:tc>
      </w:tr>
      <w:tr w:rsidR="004C34CC" w:rsidRPr="00895819" w14:paraId="0C6AF781" w14:textId="77777777" w:rsidTr="00485361">
        <w:tc>
          <w:tcPr>
            <w:tcW w:w="1171" w:type="dxa"/>
            <w:shd w:val="clear" w:color="auto" w:fill="002060"/>
            <w:vAlign w:val="center"/>
          </w:tcPr>
          <w:p w14:paraId="5AEA8C25" w14:textId="77777777" w:rsidR="004C34CC" w:rsidRPr="00895819" w:rsidRDefault="004C34CC" w:rsidP="004C34CC">
            <w:pPr>
              <w:spacing w:before="120" w:after="120"/>
              <w:jc w:val="center"/>
              <w:rPr>
                <w:sz w:val="22"/>
                <w:lang w:val="sr-Cyrl-CS"/>
              </w:rPr>
            </w:pPr>
            <w:r w:rsidRPr="00895819">
              <w:rPr>
                <w:sz w:val="22"/>
                <w:lang w:val="sr-Cyrl-CS"/>
              </w:rPr>
              <w:t>Период</w:t>
            </w:r>
          </w:p>
        </w:tc>
        <w:tc>
          <w:tcPr>
            <w:tcW w:w="8180" w:type="dxa"/>
            <w:shd w:val="clear" w:color="auto" w:fill="002060"/>
            <w:vAlign w:val="center"/>
          </w:tcPr>
          <w:p w14:paraId="730F4938" w14:textId="77777777" w:rsidR="004C34CC" w:rsidRPr="00895819" w:rsidRDefault="004C34CC" w:rsidP="004C34CC">
            <w:pPr>
              <w:spacing w:before="120" w:after="120"/>
              <w:jc w:val="center"/>
              <w:rPr>
                <w:sz w:val="22"/>
                <w:lang w:val="sr-Cyrl-CS"/>
              </w:rPr>
            </w:pPr>
            <w:r w:rsidRPr="00895819">
              <w:rPr>
                <w:sz w:val="22"/>
                <w:lang w:val="sr-Cyrl-CS"/>
              </w:rPr>
              <w:t>Вредност</w:t>
            </w:r>
          </w:p>
        </w:tc>
        <w:tc>
          <w:tcPr>
            <w:tcW w:w="2693" w:type="dxa"/>
            <w:shd w:val="clear" w:color="auto" w:fill="002060"/>
          </w:tcPr>
          <w:p w14:paraId="2C78EB1F" w14:textId="77777777" w:rsidR="004C34CC" w:rsidRPr="00895819" w:rsidRDefault="004C34CC" w:rsidP="004C34CC">
            <w:pPr>
              <w:spacing w:before="120" w:after="120"/>
              <w:jc w:val="center"/>
              <w:rPr>
                <w:sz w:val="22"/>
                <w:lang w:val="sr-Cyrl-CS"/>
              </w:rPr>
            </w:pPr>
            <w:r w:rsidRPr="00895819">
              <w:rPr>
                <w:sz w:val="22"/>
                <w:lang w:val="sr-Cyrl-CS"/>
              </w:rPr>
              <w:t>Износ који обезбеђује АФД</w:t>
            </w:r>
          </w:p>
        </w:tc>
        <w:tc>
          <w:tcPr>
            <w:tcW w:w="3260" w:type="dxa"/>
            <w:shd w:val="clear" w:color="auto" w:fill="002060"/>
            <w:vAlign w:val="center"/>
          </w:tcPr>
          <w:p w14:paraId="35E0CED1" w14:textId="77777777" w:rsidR="004C34CC" w:rsidRPr="00895819" w:rsidRDefault="004C34CC" w:rsidP="004C34CC">
            <w:pPr>
              <w:spacing w:before="120" w:after="120"/>
              <w:jc w:val="center"/>
              <w:rPr>
                <w:sz w:val="22"/>
                <w:lang w:val="sr-Cyrl-CS"/>
              </w:rPr>
            </w:pPr>
            <w:r w:rsidRPr="00895819">
              <w:rPr>
                <w:sz w:val="22"/>
                <w:lang w:val="sr-Cyrl-CS"/>
              </w:rPr>
              <w:t>Формула за алокацију</w:t>
            </w:r>
          </w:p>
        </w:tc>
      </w:tr>
      <w:tr w:rsidR="00B16F8D" w:rsidRPr="00895819" w14:paraId="0E5A78A7" w14:textId="77777777" w:rsidTr="00485361">
        <w:tc>
          <w:tcPr>
            <w:tcW w:w="1171" w:type="dxa"/>
            <w:vAlign w:val="center"/>
          </w:tcPr>
          <w:p w14:paraId="7EA5BF97" w14:textId="77777777" w:rsidR="00B16F8D" w:rsidRPr="00895819" w:rsidRDefault="005F1CEE" w:rsidP="00485361">
            <w:pPr>
              <w:spacing w:before="120" w:after="120"/>
              <w:rPr>
                <w:sz w:val="22"/>
                <w:lang w:val="sr-Cyrl-CS"/>
              </w:rPr>
            </w:pPr>
            <w:r w:rsidRPr="00895819">
              <w:rPr>
                <w:sz w:val="22"/>
                <w:lang w:val="sr-Cyrl-CS"/>
              </w:rPr>
              <w:t>Полазна основа</w:t>
            </w:r>
          </w:p>
        </w:tc>
        <w:tc>
          <w:tcPr>
            <w:tcW w:w="14133" w:type="dxa"/>
            <w:gridSpan w:val="3"/>
          </w:tcPr>
          <w:p w14:paraId="37B3F8BF" w14:textId="77777777" w:rsidR="00B16F8D" w:rsidRPr="00895819" w:rsidRDefault="005F1CEE" w:rsidP="00EA1639">
            <w:pPr>
              <w:spacing w:before="120" w:after="120"/>
              <w:rPr>
                <w:sz w:val="22"/>
                <w:lang w:val="sr-Cyrl-CS"/>
              </w:rPr>
            </w:pPr>
            <w:r w:rsidRPr="00895819">
              <w:rPr>
                <w:sz w:val="22"/>
                <w:lang w:val="sr-Cyrl-CS"/>
              </w:rPr>
              <w:t xml:space="preserve">Регулаторни оквир јавних набавки </w:t>
            </w:r>
            <w:r w:rsidR="00CA282C" w:rsidRPr="00895819">
              <w:rPr>
                <w:sz w:val="22"/>
                <w:lang w:val="sr-Cyrl-CS"/>
              </w:rPr>
              <w:t>омогућава наручиоцима да користе критеријуме за селекцију и техничке спецификације кој</w:t>
            </w:r>
            <w:r w:rsidR="00C239B1" w:rsidRPr="00895819">
              <w:rPr>
                <w:sz w:val="22"/>
                <w:lang w:val="sr-Cyrl-CS"/>
              </w:rPr>
              <w:t>и</w:t>
            </w:r>
            <w:r w:rsidR="00CA282C" w:rsidRPr="00895819">
              <w:rPr>
                <w:sz w:val="22"/>
                <w:lang w:val="sr-Cyrl-CS"/>
              </w:rPr>
              <w:t xml:space="preserve"> се односе на еколошке перформансе. Израђен је методолошки водич који треба да помогне наручиоцима током поступка. Међутим, током 2021. године, само </w:t>
            </w:r>
            <w:r w:rsidR="00B16F8D" w:rsidRPr="00895819">
              <w:rPr>
                <w:sz w:val="22"/>
                <w:lang w:val="sr-Cyrl-CS"/>
              </w:rPr>
              <w:t>2</w:t>
            </w:r>
            <w:r w:rsidR="00CA282C" w:rsidRPr="00895819">
              <w:rPr>
                <w:sz w:val="22"/>
                <w:lang w:val="sr-Cyrl-CS"/>
              </w:rPr>
              <w:t>,</w:t>
            </w:r>
            <w:r w:rsidR="00B16F8D" w:rsidRPr="00895819">
              <w:rPr>
                <w:sz w:val="22"/>
                <w:lang w:val="sr-Cyrl-CS"/>
              </w:rPr>
              <w:t xml:space="preserve">7% </w:t>
            </w:r>
            <w:r w:rsidR="00CA282C" w:rsidRPr="00895819">
              <w:rPr>
                <w:sz w:val="22"/>
                <w:lang w:val="sr-Cyrl-CS"/>
              </w:rPr>
              <w:t xml:space="preserve">јавних набавки спроведених код седам наручиоца који су кључни за </w:t>
            </w:r>
            <w:r w:rsidR="00D86FD2" w:rsidRPr="00895819">
              <w:rPr>
                <w:sz w:val="22"/>
                <w:lang w:val="sr-Cyrl-CS"/>
              </w:rPr>
              <w:t>Зелен</w:t>
            </w:r>
            <w:r w:rsidR="00CA282C" w:rsidRPr="00895819">
              <w:rPr>
                <w:sz w:val="22"/>
                <w:lang w:val="sr-Cyrl-CS"/>
              </w:rPr>
              <w:t>у</w:t>
            </w:r>
            <w:r w:rsidR="00D86FD2" w:rsidRPr="00895819">
              <w:rPr>
                <w:sz w:val="22"/>
                <w:lang w:val="sr-Cyrl-CS"/>
              </w:rPr>
              <w:t xml:space="preserve"> агенд</w:t>
            </w:r>
            <w:r w:rsidR="00CA282C" w:rsidRPr="00895819">
              <w:rPr>
                <w:sz w:val="22"/>
                <w:lang w:val="sr-Cyrl-CS"/>
              </w:rPr>
              <w:t>у</w:t>
            </w:r>
            <w:r w:rsidR="00B16F8D" w:rsidRPr="00895819">
              <w:rPr>
                <w:sz w:val="22"/>
                <w:lang w:val="sr-Cyrl-CS"/>
              </w:rPr>
              <w:t xml:space="preserve"> </w:t>
            </w:r>
            <w:r w:rsidR="00EA1639" w:rsidRPr="00895819">
              <w:rPr>
                <w:sz w:val="22"/>
                <w:lang w:val="sr-Cyrl-CS"/>
              </w:rPr>
              <w:t>(</w:t>
            </w:r>
            <w:r w:rsidR="00CA282C" w:rsidRPr="00895819">
              <w:rPr>
                <w:sz w:val="22"/>
                <w:lang w:val="sr-Cyrl-CS"/>
              </w:rPr>
              <w:t xml:space="preserve">тј. </w:t>
            </w:r>
            <w:r w:rsidR="00C239B1" w:rsidRPr="00895819">
              <w:rPr>
                <w:sz w:val="22"/>
                <w:lang w:val="sr-Cyrl-CS"/>
              </w:rPr>
              <w:t>И</w:t>
            </w:r>
            <w:r w:rsidR="00CA282C" w:rsidRPr="00895819">
              <w:rPr>
                <w:sz w:val="22"/>
                <w:lang w:val="sr-Cyrl-CS"/>
              </w:rPr>
              <w:t>нституција</w:t>
            </w:r>
            <w:r w:rsidR="00EA1639" w:rsidRPr="00895819">
              <w:rPr>
                <w:sz w:val="22"/>
                <w:lang w:val="sr-Cyrl-CS"/>
              </w:rPr>
              <w:t xml:space="preserve">) </w:t>
            </w:r>
            <w:r w:rsidR="00CA282C" w:rsidRPr="00895819">
              <w:rPr>
                <w:sz w:val="22"/>
                <w:lang w:val="sr-Cyrl-CS"/>
              </w:rPr>
              <w:t>укључивало је еколошке одредбе</w:t>
            </w:r>
            <w:r w:rsidR="00B16F8D" w:rsidRPr="00895819">
              <w:rPr>
                <w:sz w:val="22"/>
                <w:lang w:val="sr-Cyrl-CS"/>
              </w:rPr>
              <w:t>.</w:t>
            </w:r>
          </w:p>
        </w:tc>
      </w:tr>
      <w:tr w:rsidR="00B16F8D" w:rsidRPr="00895819" w14:paraId="56414663" w14:textId="77777777" w:rsidTr="00485361">
        <w:tc>
          <w:tcPr>
            <w:tcW w:w="1171" w:type="dxa"/>
            <w:vAlign w:val="center"/>
          </w:tcPr>
          <w:p w14:paraId="3FD35A29" w14:textId="77777777" w:rsidR="00B16F8D" w:rsidRPr="00895819" w:rsidRDefault="00B16F8D" w:rsidP="00485361">
            <w:pPr>
              <w:spacing w:before="120" w:after="120"/>
              <w:rPr>
                <w:sz w:val="22"/>
                <w:lang w:val="sr-Cyrl-CS"/>
              </w:rPr>
            </w:pPr>
            <w:r w:rsidRPr="00895819">
              <w:rPr>
                <w:sz w:val="22"/>
                <w:lang w:val="sr-Cyrl-CS"/>
              </w:rPr>
              <w:t>2023</w:t>
            </w:r>
          </w:p>
        </w:tc>
        <w:tc>
          <w:tcPr>
            <w:tcW w:w="8180" w:type="dxa"/>
            <w:vAlign w:val="center"/>
          </w:tcPr>
          <w:p w14:paraId="2A36B947" w14:textId="3047EECE" w:rsidR="00B16F8D" w:rsidRPr="00895819" w:rsidRDefault="005F1CEE" w:rsidP="00AE4A0C">
            <w:pPr>
              <w:spacing w:before="120" w:after="120"/>
              <w:jc w:val="left"/>
              <w:rPr>
                <w:sz w:val="22"/>
                <w:lang w:val="sr-Cyrl-CS"/>
              </w:rPr>
            </w:pPr>
            <w:r w:rsidRPr="00895819">
              <w:rPr>
                <w:b/>
                <w:sz w:val="22"/>
                <w:lang w:val="sr-Cyrl-CS"/>
              </w:rPr>
              <w:t>ДЛР</w:t>
            </w:r>
            <w:r w:rsidR="00B16F8D" w:rsidRPr="00895819">
              <w:rPr>
                <w:b/>
                <w:sz w:val="22"/>
                <w:lang w:val="sr-Cyrl-CS"/>
              </w:rPr>
              <w:t xml:space="preserve"> 5.1. </w:t>
            </w:r>
            <w:r w:rsidR="00CA282C" w:rsidRPr="00895819">
              <w:rPr>
                <w:bCs/>
                <w:sz w:val="22"/>
                <w:lang w:val="sr-Cyrl-CS"/>
              </w:rPr>
              <w:t xml:space="preserve">До краја </w:t>
            </w:r>
            <w:r w:rsidR="00F83788" w:rsidRPr="00895819">
              <w:rPr>
                <w:sz w:val="22"/>
                <w:lang w:val="sr-Cyrl-CS"/>
              </w:rPr>
              <w:t>2023</w:t>
            </w:r>
            <w:r w:rsidR="00CA282C" w:rsidRPr="00895819">
              <w:rPr>
                <w:sz w:val="22"/>
                <w:lang w:val="sr-Cyrl-CS"/>
              </w:rPr>
              <w:t>. године</w:t>
            </w:r>
            <w:r w:rsidR="00DB4656" w:rsidRPr="00895819">
              <w:rPr>
                <w:sz w:val="22"/>
                <w:lang w:val="sr-Cyrl-CS"/>
              </w:rPr>
              <w:t>,</w:t>
            </w:r>
            <w:r w:rsidR="004D639C" w:rsidRPr="00895819">
              <w:rPr>
                <w:sz w:val="22"/>
                <w:lang w:val="sr-Cyrl-CS"/>
              </w:rPr>
              <w:t xml:space="preserve"> </w:t>
            </w:r>
            <w:r w:rsidR="00CA282C" w:rsidRPr="00895819">
              <w:rPr>
                <w:sz w:val="22"/>
                <w:lang w:val="sr-Cyrl-CS"/>
              </w:rPr>
              <w:t>Институције</w:t>
            </w:r>
            <w:r w:rsidR="00F83788" w:rsidRPr="00895819">
              <w:rPr>
                <w:sz w:val="22"/>
                <w:lang w:val="sr-Cyrl-CS"/>
              </w:rPr>
              <w:t xml:space="preserve"> (i) </w:t>
            </w:r>
            <w:r w:rsidR="00CA282C" w:rsidRPr="00895819">
              <w:rPr>
                <w:sz w:val="22"/>
                <w:lang w:val="sr-Cyrl-CS"/>
              </w:rPr>
              <w:t xml:space="preserve">објављују </w:t>
            </w:r>
            <w:r w:rsidR="004D639C" w:rsidRPr="00895819">
              <w:rPr>
                <w:sz w:val="22"/>
                <w:lang w:val="sr-Cyrl-CS"/>
              </w:rPr>
              <w:t xml:space="preserve">6% </w:t>
            </w:r>
            <w:r w:rsidR="00CA282C" w:rsidRPr="00895819">
              <w:rPr>
                <w:sz w:val="22"/>
                <w:lang w:val="sr-Cyrl-CS"/>
              </w:rPr>
              <w:t>или више јавних набавки на начин који је у складу са Смерницама за зелене јавне набавке</w:t>
            </w:r>
            <w:r w:rsidR="00F83788" w:rsidRPr="00895819">
              <w:rPr>
                <w:sz w:val="22"/>
                <w:lang w:val="sr-Cyrl-CS"/>
              </w:rPr>
              <w:t xml:space="preserve">; </w:t>
            </w:r>
            <w:r w:rsidR="00CA282C" w:rsidRPr="00895819">
              <w:rPr>
                <w:sz w:val="22"/>
                <w:lang w:val="sr-Cyrl-CS"/>
              </w:rPr>
              <w:t>и</w:t>
            </w:r>
            <w:r w:rsidR="00F83788" w:rsidRPr="00895819">
              <w:rPr>
                <w:sz w:val="22"/>
                <w:lang w:val="sr-Cyrl-CS"/>
              </w:rPr>
              <w:t xml:space="preserve"> (ii) </w:t>
            </w:r>
            <w:r w:rsidR="00832C76" w:rsidRPr="00895819">
              <w:rPr>
                <w:sz w:val="22"/>
                <w:lang w:val="sr-Cyrl-CS"/>
              </w:rPr>
              <w:t>извештавају Зајмодавца, преко К</w:t>
            </w:r>
            <w:r w:rsidR="00CA282C" w:rsidRPr="00895819">
              <w:rPr>
                <w:sz w:val="22"/>
                <w:lang w:val="sr-Cyrl-CS"/>
              </w:rPr>
              <w:t>ЈН и МФ, о уделу зелених набавки у укупној вредности набавки</w:t>
            </w:r>
            <w:r w:rsidR="00F83788" w:rsidRPr="00895819">
              <w:rPr>
                <w:sz w:val="22"/>
                <w:lang w:val="sr-Cyrl-CS"/>
              </w:rPr>
              <w:t>.</w:t>
            </w:r>
          </w:p>
        </w:tc>
        <w:tc>
          <w:tcPr>
            <w:tcW w:w="2693" w:type="dxa"/>
            <w:vAlign w:val="center"/>
          </w:tcPr>
          <w:p w14:paraId="106E9F3B" w14:textId="77777777" w:rsidR="00B16F8D" w:rsidRPr="00895819" w:rsidRDefault="00B16F8D" w:rsidP="00485361">
            <w:pPr>
              <w:spacing w:before="120" w:after="120"/>
              <w:jc w:val="center"/>
              <w:rPr>
                <w:sz w:val="22"/>
                <w:lang w:val="sr-Cyrl-CS"/>
              </w:rPr>
            </w:pPr>
            <w:r w:rsidRPr="00895819">
              <w:rPr>
                <w:sz w:val="22"/>
                <w:lang w:val="sr-Cyrl-CS"/>
              </w:rPr>
              <w:t>4</w:t>
            </w:r>
            <w:r w:rsidR="00FC3DA3" w:rsidRPr="00895819">
              <w:rPr>
                <w:sz w:val="22"/>
                <w:lang w:val="sr-Cyrl-CS"/>
              </w:rPr>
              <w:t>,</w:t>
            </w:r>
            <w:r w:rsidRPr="00895819">
              <w:rPr>
                <w:sz w:val="22"/>
                <w:lang w:val="sr-Cyrl-CS"/>
              </w:rPr>
              <w:t xml:space="preserve">0 </w:t>
            </w:r>
            <w:r w:rsidR="00FC3DA3" w:rsidRPr="00895819">
              <w:rPr>
                <w:sz w:val="22"/>
                <w:lang w:val="sr-Cyrl-CS"/>
              </w:rPr>
              <w:t>мил. ЕУР</w:t>
            </w:r>
          </w:p>
        </w:tc>
        <w:tc>
          <w:tcPr>
            <w:tcW w:w="3260" w:type="dxa"/>
            <w:vAlign w:val="center"/>
          </w:tcPr>
          <w:p w14:paraId="7EDF4404" w14:textId="77777777" w:rsidR="00B16F8D" w:rsidRPr="00895819" w:rsidRDefault="00CA282C" w:rsidP="00485361">
            <w:pPr>
              <w:spacing w:before="120" w:after="120"/>
              <w:jc w:val="center"/>
              <w:rPr>
                <w:sz w:val="22"/>
                <w:lang w:val="sr-Cyrl-CS"/>
              </w:rPr>
            </w:pPr>
            <w:r w:rsidRPr="00895819">
              <w:rPr>
                <w:sz w:val="22"/>
                <w:lang w:val="sr-Cyrl-CS"/>
              </w:rPr>
              <w:t>Скалабилно</w:t>
            </w:r>
            <w:r w:rsidR="001F5579" w:rsidRPr="00895819">
              <w:rPr>
                <w:sz w:val="22"/>
                <w:lang w:val="sr-Cyrl-CS"/>
              </w:rPr>
              <w:t xml:space="preserve"> – 1</w:t>
            </w:r>
            <w:r w:rsidRPr="00895819">
              <w:rPr>
                <w:sz w:val="22"/>
                <w:lang w:val="sr-Cyrl-CS"/>
              </w:rPr>
              <w:t>,</w:t>
            </w:r>
            <w:r w:rsidR="001F5579" w:rsidRPr="00895819">
              <w:rPr>
                <w:sz w:val="22"/>
                <w:lang w:val="sr-Cyrl-CS"/>
              </w:rPr>
              <w:t xml:space="preserve">33 </w:t>
            </w:r>
            <w:r w:rsidRPr="00895819">
              <w:rPr>
                <w:sz w:val="22"/>
                <w:lang w:val="sr-Cyrl-CS"/>
              </w:rPr>
              <w:t xml:space="preserve">мил. ЕУР за сваких </w:t>
            </w:r>
            <w:r w:rsidR="001F5579" w:rsidRPr="00895819">
              <w:rPr>
                <w:sz w:val="22"/>
                <w:lang w:val="sr-Cyrl-CS"/>
              </w:rPr>
              <w:t>1</w:t>
            </w:r>
            <w:r w:rsidRPr="00895819">
              <w:rPr>
                <w:sz w:val="22"/>
                <w:lang w:val="sr-Cyrl-CS"/>
              </w:rPr>
              <w:t>,</w:t>
            </w:r>
            <w:r w:rsidR="001F5579" w:rsidRPr="00895819">
              <w:rPr>
                <w:sz w:val="22"/>
                <w:lang w:val="sr-Cyrl-CS"/>
              </w:rPr>
              <w:t>1</w:t>
            </w:r>
            <w:r w:rsidRPr="00895819">
              <w:rPr>
                <w:sz w:val="22"/>
                <w:lang w:val="sr-Cyrl-CS"/>
              </w:rPr>
              <w:t>пп</w:t>
            </w:r>
            <w:r w:rsidR="001F5579" w:rsidRPr="00895819">
              <w:rPr>
                <w:sz w:val="22"/>
                <w:lang w:val="sr-Cyrl-CS"/>
              </w:rPr>
              <w:t>.</w:t>
            </w:r>
            <w:r w:rsidR="00B16F8D" w:rsidRPr="00895819">
              <w:rPr>
                <w:sz w:val="22"/>
                <w:lang w:val="sr-Cyrl-CS"/>
              </w:rPr>
              <w:t xml:space="preserve"> </w:t>
            </w:r>
            <w:r w:rsidR="00A6063A" w:rsidRPr="00895819">
              <w:rPr>
                <w:sz w:val="22"/>
                <w:lang w:val="sr-Cyrl-CS"/>
              </w:rPr>
              <w:t>повећања изнад полазне вредности</w:t>
            </w:r>
          </w:p>
        </w:tc>
      </w:tr>
      <w:tr w:rsidR="00B16F8D" w:rsidRPr="00895819" w14:paraId="3B8A8E5A" w14:textId="77777777" w:rsidTr="00485361">
        <w:tc>
          <w:tcPr>
            <w:tcW w:w="1171" w:type="dxa"/>
            <w:vAlign w:val="center"/>
          </w:tcPr>
          <w:p w14:paraId="21362466" w14:textId="77777777" w:rsidR="00B16F8D" w:rsidRPr="00895819" w:rsidRDefault="00B16F8D" w:rsidP="00485361">
            <w:pPr>
              <w:spacing w:before="120" w:after="120"/>
              <w:rPr>
                <w:sz w:val="22"/>
                <w:lang w:val="sr-Cyrl-CS"/>
              </w:rPr>
            </w:pPr>
            <w:r w:rsidRPr="00895819">
              <w:rPr>
                <w:sz w:val="22"/>
                <w:lang w:val="sr-Cyrl-CS"/>
              </w:rPr>
              <w:t>2024</w:t>
            </w:r>
          </w:p>
        </w:tc>
        <w:tc>
          <w:tcPr>
            <w:tcW w:w="8180" w:type="dxa"/>
          </w:tcPr>
          <w:p w14:paraId="351F2E21" w14:textId="0553AAC9" w:rsidR="00B16F8D" w:rsidRPr="00895819" w:rsidRDefault="005F1CEE" w:rsidP="00AE4A0C">
            <w:pPr>
              <w:spacing w:before="120" w:after="120"/>
              <w:rPr>
                <w:sz w:val="22"/>
                <w:lang w:val="sr-Cyrl-CS"/>
              </w:rPr>
            </w:pPr>
            <w:r w:rsidRPr="00895819">
              <w:rPr>
                <w:b/>
                <w:sz w:val="22"/>
                <w:lang w:val="sr-Cyrl-CS"/>
              </w:rPr>
              <w:t>ИРИ</w:t>
            </w:r>
            <w:r w:rsidR="00B16F8D" w:rsidRPr="00895819">
              <w:rPr>
                <w:b/>
                <w:sz w:val="22"/>
                <w:lang w:val="sr-Cyrl-CS"/>
              </w:rPr>
              <w:t xml:space="preserve"> 5.1. </w:t>
            </w:r>
            <w:r w:rsidR="0097308A" w:rsidRPr="00895819">
              <w:rPr>
                <w:bCs/>
                <w:sz w:val="22"/>
                <w:lang w:val="sr-Cyrl-CS"/>
              </w:rPr>
              <w:t xml:space="preserve">До краја </w:t>
            </w:r>
            <w:r w:rsidR="00AE4A0C" w:rsidRPr="00895819">
              <w:rPr>
                <w:sz w:val="22"/>
                <w:lang w:val="sr-Cyrl-CS"/>
              </w:rPr>
              <w:t>2024</w:t>
            </w:r>
            <w:r w:rsidR="0097308A" w:rsidRPr="00895819">
              <w:rPr>
                <w:sz w:val="22"/>
                <w:lang w:val="sr-Cyrl-CS"/>
              </w:rPr>
              <w:t>. године</w:t>
            </w:r>
            <w:r w:rsidR="00AE4A0C" w:rsidRPr="00895819">
              <w:rPr>
                <w:sz w:val="22"/>
                <w:lang w:val="sr-Cyrl-CS"/>
              </w:rPr>
              <w:t xml:space="preserve">, </w:t>
            </w:r>
            <w:r w:rsidR="0097308A" w:rsidRPr="00895819">
              <w:rPr>
                <w:sz w:val="22"/>
                <w:lang w:val="sr-Cyrl-CS"/>
              </w:rPr>
              <w:t>Институције</w:t>
            </w:r>
            <w:r w:rsidR="00AE4A0C" w:rsidRPr="00895819">
              <w:rPr>
                <w:sz w:val="22"/>
                <w:lang w:val="sr-Cyrl-CS"/>
              </w:rPr>
              <w:t xml:space="preserve"> (i) </w:t>
            </w:r>
            <w:r w:rsidR="0097308A" w:rsidRPr="00895819">
              <w:rPr>
                <w:sz w:val="22"/>
                <w:lang w:val="sr-Cyrl-CS"/>
              </w:rPr>
              <w:t>објављују</w:t>
            </w:r>
            <w:r w:rsidR="00AE4A0C" w:rsidRPr="00895819">
              <w:rPr>
                <w:sz w:val="22"/>
                <w:lang w:val="sr-Cyrl-CS"/>
              </w:rPr>
              <w:t xml:space="preserve"> 8% </w:t>
            </w:r>
            <w:r w:rsidR="0097308A" w:rsidRPr="00895819">
              <w:rPr>
                <w:sz w:val="22"/>
                <w:lang w:val="sr-Cyrl-CS"/>
              </w:rPr>
              <w:t>или више јавних набавки на начин који је у складу са Смерницама за зелене јавне набавке; и (ii)</w:t>
            </w:r>
            <w:r w:rsidR="00832C76" w:rsidRPr="00895819">
              <w:rPr>
                <w:sz w:val="22"/>
                <w:lang w:val="sr-Cyrl-CS"/>
              </w:rPr>
              <w:t xml:space="preserve"> извештавају Зајмодавца, преко К</w:t>
            </w:r>
            <w:r w:rsidR="0097308A" w:rsidRPr="00895819">
              <w:rPr>
                <w:sz w:val="22"/>
                <w:lang w:val="sr-Cyrl-CS"/>
              </w:rPr>
              <w:t>ЈН и МФ, о уделу зелених набавки у укупној вредности набавки</w:t>
            </w:r>
            <w:r w:rsidR="00AE4A0C" w:rsidRPr="00895819">
              <w:rPr>
                <w:sz w:val="22"/>
                <w:lang w:val="sr-Cyrl-CS"/>
              </w:rPr>
              <w:t>.</w:t>
            </w:r>
          </w:p>
        </w:tc>
        <w:tc>
          <w:tcPr>
            <w:tcW w:w="2693" w:type="dxa"/>
            <w:vAlign w:val="center"/>
          </w:tcPr>
          <w:p w14:paraId="08397000" w14:textId="77777777" w:rsidR="00B16F8D" w:rsidRPr="00895819" w:rsidRDefault="00B16F8D" w:rsidP="00485361">
            <w:pPr>
              <w:spacing w:before="120" w:after="120"/>
              <w:jc w:val="center"/>
              <w:rPr>
                <w:sz w:val="22"/>
                <w:lang w:val="sr-Cyrl-CS"/>
              </w:rPr>
            </w:pPr>
            <w:r w:rsidRPr="00895819">
              <w:rPr>
                <w:sz w:val="22"/>
                <w:lang w:val="sr-Cyrl-CS"/>
              </w:rPr>
              <w:t>-</w:t>
            </w:r>
          </w:p>
        </w:tc>
        <w:tc>
          <w:tcPr>
            <w:tcW w:w="3260" w:type="dxa"/>
            <w:vAlign w:val="center"/>
          </w:tcPr>
          <w:p w14:paraId="1E8A5278" w14:textId="77777777" w:rsidR="00B16F8D" w:rsidRPr="00895819" w:rsidRDefault="005F1CEE" w:rsidP="00485361">
            <w:pPr>
              <w:spacing w:before="120" w:after="120"/>
              <w:jc w:val="center"/>
              <w:rPr>
                <w:sz w:val="22"/>
                <w:lang w:val="sr-Cyrl-CS"/>
              </w:rPr>
            </w:pPr>
            <w:r w:rsidRPr="00895819">
              <w:rPr>
                <w:sz w:val="22"/>
                <w:lang w:val="sr-Cyrl-CS"/>
              </w:rPr>
              <w:t>Само праћење</w:t>
            </w:r>
          </w:p>
        </w:tc>
      </w:tr>
      <w:tr w:rsidR="00B16F8D" w:rsidRPr="00895819" w14:paraId="5B257C2C" w14:textId="77777777" w:rsidTr="00485361">
        <w:tc>
          <w:tcPr>
            <w:tcW w:w="1171" w:type="dxa"/>
            <w:vAlign w:val="center"/>
          </w:tcPr>
          <w:p w14:paraId="4D83D47B" w14:textId="77777777" w:rsidR="00B16F8D" w:rsidRPr="00895819" w:rsidRDefault="00B16F8D" w:rsidP="00485361">
            <w:pPr>
              <w:spacing w:before="120" w:after="120"/>
              <w:rPr>
                <w:sz w:val="22"/>
                <w:lang w:val="sr-Cyrl-CS"/>
              </w:rPr>
            </w:pPr>
            <w:r w:rsidRPr="00895819">
              <w:rPr>
                <w:sz w:val="22"/>
                <w:lang w:val="sr-Cyrl-CS"/>
              </w:rPr>
              <w:t>2025</w:t>
            </w:r>
          </w:p>
        </w:tc>
        <w:tc>
          <w:tcPr>
            <w:tcW w:w="8180" w:type="dxa"/>
          </w:tcPr>
          <w:p w14:paraId="557B5EF4" w14:textId="0B57AC40" w:rsidR="00B16F8D" w:rsidRPr="00895819" w:rsidRDefault="005F1CEE" w:rsidP="00AE4A0C">
            <w:pPr>
              <w:spacing w:before="120" w:after="120"/>
              <w:rPr>
                <w:sz w:val="22"/>
                <w:lang w:val="sr-Cyrl-CS"/>
              </w:rPr>
            </w:pPr>
            <w:r w:rsidRPr="00895819">
              <w:rPr>
                <w:b/>
                <w:sz w:val="22"/>
                <w:lang w:val="sr-Cyrl-CS"/>
              </w:rPr>
              <w:t>ДЛР</w:t>
            </w:r>
            <w:r w:rsidR="00B16F8D" w:rsidRPr="00895819">
              <w:rPr>
                <w:b/>
                <w:sz w:val="22"/>
                <w:lang w:val="sr-Cyrl-CS"/>
              </w:rPr>
              <w:t xml:space="preserve"> 5.2. </w:t>
            </w:r>
            <w:r w:rsidR="0097308A" w:rsidRPr="00895819">
              <w:rPr>
                <w:bCs/>
                <w:sz w:val="22"/>
                <w:lang w:val="sr-Cyrl-CS"/>
              </w:rPr>
              <w:t xml:space="preserve">До краја </w:t>
            </w:r>
            <w:r w:rsidR="0097308A" w:rsidRPr="00895819">
              <w:rPr>
                <w:sz w:val="22"/>
                <w:lang w:val="sr-Cyrl-CS"/>
              </w:rPr>
              <w:t>2025. године</w:t>
            </w:r>
            <w:r w:rsidR="00AE4A0C" w:rsidRPr="00895819">
              <w:rPr>
                <w:sz w:val="22"/>
                <w:lang w:val="sr-Cyrl-CS"/>
              </w:rPr>
              <w:t xml:space="preserve">, </w:t>
            </w:r>
            <w:r w:rsidR="0097308A" w:rsidRPr="00895819">
              <w:rPr>
                <w:sz w:val="22"/>
                <w:lang w:val="sr-Cyrl-CS"/>
              </w:rPr>
              <w:t xml:space="preserve">Институције </w:t>
            </w:r>
            <w:r w:rsidR="00AE4A0C" w:rsidRPr="00895819">
              <w:rPr>
                <w:sz w:val="22"/>
                <w:lang w:val="sr-Cyrl-CS"/>
              </w:rPr>
              <w:t xml:space="preserve">(i) </w:t>
            </w:r>
            <w:r w:rsidR="0097308A" w:rsidRPr="00895819">
              <w:rPr>
                <w:sz w:val="22"/>
                <w:lang w:val="sr-Cyrl-CS"/>
              </w:rPr>
              <w:t>објављују</w:t>
            </w:r>
            <w:r w:rsidR="00AE4A0C" w:rsidRPr="00895819">
              <w:rPr>
                <w:sz w:val="22"/>
                <w:lang w:val="sr-Cyrl-CS"/>
              </w:rPr>
              <w:t xml:space="preserve"> 12% </w:t>
            </w:r>
            <w:r w:rsidR="0097308A" w:rsidRPr="00895819">
              <w:rPr>
                <w:sz w:val="22"/>
                <w:lang w:val="sr-Cyrl-CS"/>
              </w:rPr>
              <w:t>или више јавних набавки на начин који је у складу са Смерницама за зелене јавне набавке; и (ii)</w:t>
            </w:r>
            <w:r w:rsidR="00832C76" w:rsidRPr="00895819">
              <w:rPr>
                <w:sz w:val="22"/>
                <w:lang w:val="sr-Cyrl-CS"/>
              </w:rPr>
              <w:t xml:space="preserve"> извештавају Зајмодавца, преко К</w:t>
            </w:r>
            <w:r w:rsidR="0097308A" w:rsidRPr="00895819">
              <w:rPr>
                <w:sz w:val="22"/>
                <w:lang w:val="sr-Cyrl-CS"/>
              </w:rPr>
              <w:t>ЈН и МФ, о уделу зелених набавки у укупној вредности набавки</w:t>
            </w:r>
            <w:r w:rsidR="00AE4A0C" w:rsidRPr="00895819">
              <w:rPr>
                <w:sz w:val="22"/>
                <w:lang w:val="sr-Cyrl-CS"/>
              </w:rPr>
              <w:t>.</w:t>
            </w:r>
          </w:p>
        </w:tc>
        <w:tc>
          <w:tcPr>
            <w:tcW w:w="2693" w:type="dxa"/>
            <w:vAlign w:val="center"/>
          </w:tcPr>
          <w:p w14:paraId="78F6A289" w14:textId="77777777" w:rsidR="00B16F8D" w:rsidRPr="00895819" w:rsidRDefault="00B16F8D" w:rsidP="00485361">
            <w:pPr>
              <w:spacing w:before="120" w:after="120"/>
              <w:jc w:val="center"/>
              <w:rPr>
                <w:sz w:val="22"/>
                <w:lang w:val="sr-Cyrl-CS"/>
              </w:rPr>
            </w:pPr>
            <w:r w:rsidRPr="00895819">
              <w:rPr>
                <w:sz w:val="22"/>
                <w:lang w:val="sr-Cyrl-CS"/>
              </w:rPr>
              <w:t>4</w:t>
            </w:r>
            <w:r w:rsidR="00FC3DA3" w:rsidRPr="00895819">
              <w:rPr>
                <w:sz w:val="22"/>
                <w:lang w:val="sr-Cyrl-CS"/>
              </w:rPr>
              <w:t>,</w:t>
            </w:r>
            <w:r w:rsidRPr="00895819">
              <w:rPr>
                <w:sz w:val="22"/>
                <w:lang w:val="sr-Cyrl-CS"/>
              </w:rPr>
              <w:t xml:space="preserve">0 </w:t>
            </w:r>
            <w:r w:rsidR="00FC3DA3" w:rsidRPr="00895819">
              <w:rPr>
                <w:sz w:val="22"/>
                <w:lang w:val="sr-Cyrl-CS"/>
              </w:rPr>
              <w:t>мил. ЕУР</w:t>
            </w:r>
          </w:p>
        </w:tc>
        <w:tc>
          <w:tcPr>
            <w:tcW w:w="3260" w:type="dxa"/>
            <w:vAlign w:val="center"/>
          </w:tcPr>
          <w:p w14:paraId="28C65131" w14:textId="77777777" w:rsidR="00B16F8D" w:rsidRPr="00895819" w:rsidRDefault="00FC3DA3" w:rsidP="00485361">
            <w:pPr>
              <w:spacing w:before="120" w:after="120"/>
              <w:jc w:val="center"/>
              <w:rPr>
                <w:sz w:val="22"/>
                <w:lang w:val="sr-Cyrl-CS"/>
              </w:rPr>
            </w:pPr>
            <w:r w:rsidRPr="00895819">
              <w:rPr>
                <w:sz w:val="22"/>
                <w:lang w:val="sr-Cyrl-CS"/>
              </w:rPr>
              <w:t>Скалабилно</w:t>
            </w:r>
            <w:r w:rsidR="001F5579" w:rsidRPr="00895819">
              <w:rPr>
                <w:sz w:val="22"/>
                <w:lang w:val="sr-Cyrl-CS"/>
              </w:rPr>
              <w:t xml:space="preserve"> – 1 </w:t>
            </w:r>
            <w:r w:rsidRPr="00895819">
              <w:rPr>
                <w:sz w:val="22"/>
                <w:lang w:val="sr-Cyrl-CS"/>
              </w:rPr>
              <w:t xml:space="preserve">мил. ЕУР за сваких </w:t>
            </w:r>
            <w:r w:rsidR="001F5579" w:rsidRPr="00895819">
              <w:rPr>
                <w:sz w:val="22"/>
                <w:lang w:val="sr-Cyrl-CS"/>
              </w:rPr>
              <w:t>1</w:t>
            </w:r>
            <w:r w:rsidRPr="00895819">
              <w:rPr>
                <w:sz w:val="22"/>
                <w:lang w:val="sr-Cyrl-CS"/>
              </w:rPr>
              <w:t>,</w:t>
            </w:r>
            <w:r w:rsidR="001F5579" w:rsidRPr="00895819">
              <w:rPr>
                <w:sz w:val="22"/>
                <w:lang w:val="sr-Cyrl-CS"/>
              </w:rPr>
              <w:t>5</w:t>
            </w:r>
            <w:r w:rsidRPr="00895819">
              <w:rPr>
                <w:sz w:val="22"/>
                <w:lang w:val="sr-Cyrl-CS"/>
              </w:rPr>
              <w:t>пп</w:t>
            </w:r>
            <w:r w:rsidR="001F5579" w:rsidRPr="00895819">
              <w:rPr>
                <w:sz w:val="22"/>
                <w:lang w:val="sr-Cyrl-CS"/>
              </w:rPr>
              <w:t>.</w:t>
            </w:r>
            <w:r w:rsidR="00B16F8D" w:rsidRPr="00895819">
              <w:rPr>
                <w:sz w:val="22"/>
                <w:lang w:val="sr-Cyrl-CS"/>
              </w:rPr>
              <w:t xml:space="preserve"> </w:t>
            </w:r>
            <w:r w:rsidRPr="00895819">
              <w:rPr>
                <w:sz w:val="22"/>
                <w:lang w:val="sr-Cyrl-CS"/>
              </w:rPr>
              <w:t xml:space="preserve">повећања изнад </w:t>
            </w:r>
            <w:r w:rsidR="00B16F8D" w:rsidRPr="00895819">
              <w:rPr>
                <w:sz w:val="22"/>
                <w:lang w:val="sr-Cyrl-CS"/>
              </w:rPr>
              <w:t>6%</w:t>
            </w:r>
          </w:p>
        </w:tc>
      </w:tr>
      <w:tr w:rsidR="00B16F8D" w:rsidRPr="00895819" w14:paraId="3F6809DF" w14:textId="77777777" w:rsidTr="00485361">
        <w:tc>
          <w:tcPr>
            <w:tcW w:w="1171" w:type="dxa"/>
            <w:vAlign w:val="center"/>
          </w:tcPr>
          <w:p w14:paraId="481986BD" w14:textId="77777777" w:rsidR="00B16F8D" w:rsidRPr="00895819" w:rsidRDefault="00B16F8D" w:rsidP="00485361">
            <w:pPr>
              <w:spacing w:before="120" w:after="120"/>
              <w:rPr>
                <w:sz w:val="22"/>
                <w:lang w:val="sr-Cyrl-CS"/>
              </w:rPr>
            </w:pPr>
            <w:r w:rsidRPr="00895819">
              <w:rPr>
                <w:sz w:val="22"/>
                <w:lang w:val="sr-Cyrl-CS"/>
              </w:rPr>
              <w:t>2026</w:t>
            </w:r>
          </w:p>
        </w:tc>
        <w:tc>
          <w:tcPr>
            <w:tcW w:w="8180" w:type="dxa"/>
          </w:tcPr>
          <w:p w14:paraId="1652E9F0" w14:textId="21B4FA4E" w:rsidR="00B16F8D" w:rsidRPr="00895819" w:rsidRDefault="005F1CEE" w:rsidP="00AE4A0C">
            <w:pPr>
              <w:spacing w:before="120" w:after="120"/>
              <w:rPr>
                <w:sz w:val="22"/>
                <w:lang w:val="sr-Cyrl-CS"/>
              </w:rPr>
            </w:pPr>
            <w:r w:rsidRPr="00895819">
              <w:rPr>
                <w:b/>
                <w:sz w:val="22"/>
                <w:lang w:val="sr-Cyrl-CS"/>
              </w:rPr>
              <w:t>ИРИ</w:t>
            </w:r>
            <w:r w:rsidR="00B16F8D" w:rsidRPr="00895819">
              <w:rPr>
                <w:b/>
                <w:sz w:val="22"/>
                <w:lang w:val="sr-Cyrl-CS"/>
              </w:rPr>
              <w:t xml:space="preserve"> 5.2. </w:t>
            </w:r>
            <w:r w:rsidR="0097308A" w:rsidRPr="00895819">
              <w:rPr>
                <w:bCs/>
                <w:sz w:val="22"/>
                <w:lang w:val="sr-Cyrl-CS"/>
              </w:rPr>
              <w:t xml:space="preserve">До краја </w:t>
            </w:r>
            <w:r w:rsidR="0097308A" w:rsidRPr="00895819">
              <w:rPr>
                <w:sz w:val="22"/>
                <w:lang w:val="sr-Cyrl-CS"/>
              </w:rPr>
              <w:t>2026. године</w:t>
            </w:r>
            <w:r w:rsidR="00AE4A0C" w:rsidRPr="00895819">
              <w:rPr>
                <w:sz w:val="22"/>
                <w:lang w:val="sr-Cyrl-CS"/>
              </w:rPr>
              <w:t xml:space="preserve">, </w:t>
            </w:r>
            <w:r w:rsidR="0097308A" w:rsidRPr="00895819">
              <w:rPr>
                <w:sz w:val="22"/>
                <w:lang w:val="sr-Cyrl-CS"/>
              </w:rPr>
              <w:t xml:space="preserve">Институције </w:t>
            </w:r>
            <w:r w:rsidR="00AE4A0C" w:rsidRPr="00895819">
              <w:rPr>
                <w:sz w:val="22"/>
                <w:lang w:val="sr-Cyrl-CS"/>
              </w:rPr>
              <w:t xml:space="preserve">(i) </w:t>
            </w:r>
            <w:r w:rsidR="0097308A" w:rsidRPr="00895819">
              <w:rPr>
                <w:sz w:val="22"/>
                <w:lang w:val="sr-Cyrl-CS"/>
              </w:rPr>
              <w:t>објављују</w:t>
            </w:r>
            <w:r w:rsidR="00AE4A0C" w:rsidRPr="00895819">
              <w:rPr>
                <w:sz w:val="22"/>
                <w:lang w:val="sr-Cyrl-CS"/>
              </w:rPr>
              <w:t xml:space="preserve"> 15% </w:t>
            </w:r>
            <w:r w:rsidR="0097308A" w:rsidRPr="00895819">
              <w:rPr>
                <w:sz w:val="22"/>
                <w:lang w:val="sr-Cyrl-CS"/>
              </w:rPr>
              <w:t>или више јавних набавки на начин који је у складу са Смерницама за зелене јавне набавке; и (ii)</w:t>
            </w:r>
            <w:r w:rsidR="00832C76" w:rsidRPr="00895819">
              <w:rPr>
                <w:sz w:val="22"/>
                <w:lang w:val="sr-Cyrl-CS"/>
              </w:rPr>
              <w:t xml:space="preserve"> извештавају Зајмодавца, преко К</w:t>
            </w:r>
            <w:r w:rsidR="0097308A" w:rsidRPr="00895819">
              <w:rPr>
                <w:sz w:val="22"/>
                <w:lang w:val="sr-Cyrl-CS"/>
              </w:rPr>
              <w:t>ЈН и МФ, о уделу зелених набавки у укупној вредности набавки</w:t>
            </w:r>
            <w:r w:rsidR="00AE4A0C" w:rsidRPr="00895819">
              <w:rPr>
                <w:sz w:val="22"/>
                <w:lang w:val="sr-Cyrl-CS"/>
              </w:rPr>
              <w:t>.</w:t>
            </w:r>
          </w:p>
        </w:tc>
        <w:tc>
          <w:tcPr>
            <w:tcW w:w="2693" w:type="dxa"/>
            <w:vAlign w:val="center"/>
          </w:tcPr>
          <w:p w14:paraId="05E55789" w14:textId="77777777" w:rsidR="00B16F8D" w:rsidRPr="00895819" w:rsidRDefault="00B16F8D" w:rsidP="00485361">
            <w:pPr>
              <w:spacing w:before="120" w:after="120"/>
              <w:jc w:val="center"/>
              <w:rPr>
                <w:sz w:val="22"/>
                <w:lang w:val="sr-Cyrl-CS"/>
              </w:rPr>
            </w:pPr>
            <w:r w:rsidRPr="00895819">
              <w:rPr>
                <w:sz w:val="22"/>
                <w:lang w:val="sr-Cyrl-CS"/>
              </w:rPr>
              <w:t>-</w:t>
            </w:r>
          </w:p>
        </w:tc>
        <w:tc>
          <w:tcPr>
            <w:tcW w:w="3260" w:type="dxa"/>
            <w:vAlign w:val="center"/>
          </w:tcPr>
          <w:p w14:paraId="4A5BD0DA" w14:textId="77777777" w:rsidR="00B16F8D" w:rsidRPr="00895819" w:rsidRDefault="005F1CEE" w:rsidP="00485361">
            <w:pPr>
              <w:spacing w:before="120" w:after="120"/>
              <w:jc w:val="center"/>
              <w:rPr>
                <w:sz w:val="22"/>
                <w:lang w:val="sr-Cyrl-CS"/>
              </w:rPr>
            </w:pPr>
            <w:r w:rsidRPr="00895819">
              <w:rPr>
                <w:sz w:val="22"/>
                <w:lang w:val="sr-Cyrl-CS"/>
              </w:rPr>
              <w:t>Само праћење</w:t>
            </w:r>
          </w:p>
        </w:tc>
      </w:tr>
    </w:tbl>
    <w:p w14:paraId="154F7F37" w14:textId="77777777" w:rsidR="00B16F8D" w:rsidRPr="00895819" w:rsidRDefault="00B16F8D" w:rsidP="00B16F8D">
      <w:pPr>
        <w:pStyle w:val="BodyText"/>
        <w:jc w:val="left"/>
        <w:rPr>
          <w:rFonts w:cs="Times New Roman"/>
          <w:b/>
          <w:iCs/>
          <w:color w:val="000000"/>
          <w:lang w:val="sr-Cyrl-CS"/>
        </w:rPr>
        <w:sectPr w:rsidR="00B16F8D" w:rsidRPr="00895819" w:rsidSect="00485361">
          <w:pgSz w:w="16838" w:h="11906" w:orient="landscape"/>
          <w:pgMar w:top="720" w:right="720" w:bottom="720" w:left="720" w:header="708" w:footer="400" w:gutter="0"/>
          <w:cols w:space="708"/>
          <w:formProt w:val="0"/>
          <w:titlePg/>
          <w:docGrid w:linePitch="360"/>
        </w:sectPr>
      </w:pPr>
    </w:p>
    <w:tbl>
      <w:tblPr>
        <w:tblStyle w:val="TableGrid"/>
        <w:tblW w:w="0" w:type="auto"/>
        <w:tblLook w:val="04A0" w:firstRow="1" w:lastRow="0" w:firstColumn="1" w:lastColumn="0" w:noHBand="0" w:noVBand="1"/>
      </w:tblPr>
      <w:tblGrid>
        <w:gridCol w:w="1171"/>
        <w:gridCol w:w="8180"/>
        <w:gridCol w:w="2693"/>
        <w:gridCol w:w="3260"/>
      </w:tblGrid>
      <w:tr w:rsidR="00B16F8D" w:rsidRPr="00895819" w14:paraId="3AA4FE90" w14:textId="77777777" w:rsidTr="00485361">
        <w:tc>
          <w:tcPr>
            <w:tcW w:w="15304" w:type="dxa"/>
            <w:gridSpan w:val="4"/>
            <w:shd w:val="clear" w:color="auto" w:fill="002060"/>
            <w:vAlign w:val="center"/>
          </w:tcPr>
          <w:p w14:paraId="25D0143C" w14:textId="77777777" w:rsidR="00B16F8D" w:rsidRPr="00895819" w:rsidRDefault="00FC3DA3" w:rsidP="00485361">
            <w:pPr>
              <w:spacing w:before="120" w:after="120"/>
              <w:jc w:val="center"/>
              <w:rPr>
                <w:sz w:val="22"/>
                <w:lang w:val="sr-Cyrl-CS"/>
              </w:rPr>
            </w:pPr>
            <w:r w:rsidRPr="00895819">
              <w:rPr>
                <w:sz w:val="22"/>
                <w:lang w:val="sr-Cyrl-CS"/>
              </w:rPr>
              <w:lastRenderedPageBreak/>
              <w:t>ДЛИ</w:t>
            </w:r>
            <w:r w:rsidR="00B16F8D" w:rsidRPr="00895819">
              <w:rPr>
                <w:sz w:val="22"/>
                <w:lang w:val="sr-Cyrl-CS"/>
              </w:rPr>
              <w:t xml:space="preserve"> 6 – </w:t>
            </w:r>
            <w:r w:rsidRPr="00895819">
              <w:rPr>
                <w:sz w:val="22"/>
                <w:lang w:val="sr-Cyrl-CS"/>
              </w:rPr>
              <w:t xml:space="preserve">Јачање фискалне транспарентности и програмског буџетирања, укључујући родно рашчлањене податке </w:t>
            </w:r>
          </w:p>
        </w:tc>
      </w:tr>
      <w:tr w:rsidR="00FC3DA3" w:rsidRPr="00895819" w14:paraId="594ED735" w14:textId="77777777" w:rsidTr="00485361">
        <w:tc>
          <w:tcPr>
            <w:tcW w:w="1171" w:type="dxa"/>
            <w:shd w:val="clear" w:color="auto" w:fill="002060"/>
            <w:vAlign w:val="center"/>
          </w:tcPr>
          <w:p w14:paraId="66C6C010" w14:textId="77777777" w:rsidR="00FC3DA3" w:rsidRPr="00895819" w:rsidRDefault="00FC3DA3" w:rsidP="00FC3DA3">
            <w:pPr>
              <w:spacing w:before="120" w:after="120"/>
              <w:jc w:val="center"/>
              <w:rPr>
                <w:sz w:val="22"/>
                <w:lang w:val="sr-Cyrl-CS"/>
              </w:rPr>
            </w:pPr>
            <w:r w:rsidRPr="00895819">
              <w:rPr>
                <w:sz w:val="22"/>
                <w:lang w:val="sr-Cyrl-CS"/>
              </w:rPr>
              <w:t>Период</w:t>
            </w:r>
          </w:p>
        </w:tc>
        <w:tc>
          <w:tcPr>
            <w:tcW w:w="8180" w:type="dxa"/>
            <w:shd w:val="clear" w:color="auto" w:fill="002060"/>
            <w:vAlign w:val="center"/>
          </w:tcPr>
          <w:p w14:paraId="71C31946" w14:textId="77777777" w:rsidR="00FC3DA3" w:rsidRPr="00895819" w:rsidRDefault="00FC3DA3" w:rsidP="00FC3DA3">
            <w:pPr>
              <w:spacing w:before="120" w:after="120"/>
              <w:jc w:val="center"/>
              <w:rPr>
                <w:sz w:val="22"/>
                <w:lang w:val="sr-Cyrl-CS"/>
              </w:rPr>
            </w:pPr>
            <w:r w:rsidRPr="00895819">
              <w:rPr>
                <w:sz w:val="22"/>
                <w:lang w:val="sr-Cyrl-CS"/>
              </w:rPr>
              <w:t>Вредност</w:t>
            </w:r>
          </w:p>
        </w:tc>
        <w:tc>
          <w:tcPr>
            <w:tcW w:w="2693" w:type="dxa"/>
            <w:shd w:val="clear" w:color="auto" w:fill="002060"/>
          </w:tcPr>
          <w:p w14:paraId="64AD8F1C" w14:textId="77777777" w:rsidR="00FC3DA3" w:rsidRPr="00895819" w:rsidRDefault="00FC3DA3" w:rsidP="00FC3DA3">
            <w:pPr>
              <w:spacing w:before="120" w:after="120"/>
              <w:jc w:val="center"/>
              <w:rPr>
                <w:sz w:val="22"/>
                <w:lang w:val="sr-Cyrl-CS"/>
              </w:rPr>
            </w:pPr>
            <w:r w:rsidRPr="00895819">
              <w:rPr>
                <w:sz w:val="22"/>
                <w:lang w:val="sr-Cyrl-CS"/>
              </w:rPr>
              <w:t>Износ који обезбеђује АФД</w:t>
            </w:r>
          </w:p>
        </w:tc>
        <w:tc>
          <w:tcPr>
            <w:tcW w:w="3260" w:type="dxa"/>
            <w:shd w:val="clear" w:color="auto" w:fill="002060"/>
            <w:vAlign w:val="center"/>
          </w:tcPr>
          <w:p w14:paraId="71580899" w14:textId="77777777" w:rsidR="00FC3DA3" w:rsidRPr="00895819" w:rsidRDefault="00FC3DA3" w:rsidP="00FC3DA3">
            <w:pPr>
              <w:spacing w:before="120" w:after="120"/>
              <w:jc w:val="center"/>
              <w:rPr>
                <w:sz w:val="22"/>
                <w:lang w:val="sr-Cyrl-CS"/>
              </w:rPr>
            </w:pPr>
            <w:r w:rsidRPr="00895819">
              <w:rPr>
                <w:sz w:val="22"/>
                <w:lang w:val="sr-Cyrl-CS"/>
              </w:rPr>
              <w:t>Формула за алокацију</w:t>
            </w:r>
          </w:p>
        </w:tc>
      </w:tr>
      <w:tr w:rsidR="00B16F8D" w:rsidRPr="00895819" w14:paraId="679E3828" w14:textId="77777777" w:rsidTr="00485361">
        <w:tc>
          <w:tcPr>
            <w:tcW w:w="1171" w:type="dxa"/>
            <w:vAlign w:val="center"/>
          </w:tcPr>
          <w:p w14:paraId="40A2EF62" w14:textId="77777777" w:rsidR="00B16F8D" w:rsidRPr="00895819" w:rsidRDefault="00FC3DA3" w:rsidP="00485361">
            <w:pPr>
              <w:spacing w:before="120" w:after="120"/>
              <w:rPr>
                <w:sz w:val="22"/>
                <w:lang w:val="sr-Cyrl-CS"/>
              </w:rPr>
            </w:pPr>
            <w:r w:rsidRPr="00895819">
              <w:rPr>
                <w:sz w:val="22"/>
                <w:lang w:val="sr-Cyrl-CS"/>
              </w:rPr>
              <w:t>Полазна основа</w:t>
            </w:r>
          </w:p>
        </w:tc>
        <w:tc>
          <w:tcPr>
            <w:tcW w:w="14133" w:type="dxa"/>
            <w:gridSpan w:val="3"/>
          </w:tcPr>
          <w:p w14:paraId="45C6685B" w14:textId="77777777" w:rsidR="00B16F8D" w:rsidRPr="00895819" w:rsidRDefault="00FC3DA3" w:rsidP="00485361">
            <w:pPr>
              <w:spacing w:before="120" w:after="120"/>
              <w:rPr>
                <w:sz w:val="22"/>
                <w:lang w:val="sr-Cyrl-CS"/>
              </w:rPr>
            </w:pPr>
            <w:r w:rsidRPr="00895819">
              <w:rPr>
                <w:sz w:val="22"/>
                <w:lang w:val="sr-Cyrl-CS"/>
              </w:rPr>
              <w:t xml:space="preserve">Ниво техничке и финансијске имплементације програма објављује се касно и не пружа довољне смернице за припрему годишњег буџета, чиме се ограничава </w:t>
            </w:r>
            <w:r w:rsidR="00B16F8D" w:rsidRPr="00895819">
              <w:rPr>
                <w:sz w:val="22"/>
                <w:lang w:val="sr-Cyrl-CS"/>
              </w:rPr>
              <w:t xml:space="preserve">(i) </w:t>
            </w:r>
            <w:r w:rsidRPr="00895819">
              <w:rPr>
                <w:sz w:val="22"/>
                <w:lang w:val="sr-Cyrl-CS"/>
              </w:rPr>
              <w:t xml:space="preserve">буџетска транспарентност; и </w:t>
            </w:r>
            <w:r w:rsidR="00B16F8D" w:rsidRPr="00895819">
              <w:rPr>
                <w:sz w:val="22"/>
                <w:lang w:val="sr-Cyrl-CS"/>
              </w:rPr>
              <w:t xml:space="preserve">(ii) </w:t>
            </w:r>
            <w:r w:rsidRPr="00895819">
              <w:rPr>
                <w:sz w:val="22"/>
                <w:lang w:val="sr-Cyrl-CS"/>
              </w:rPr>
              <w:t xml:space="preserve">повезаност између циљева политике и буџетирања. У ПЕФА процену рађеној 2021. године Србија је добила оцену Д за </w:t>
            </w:r>
            <w:r w:rsidR="00705905" w:rsidRPr="00895819">
              <w:rPr>
                <w:sz w:val="22"/>
                <w:lang w:val="sr-Cyrl-CS"/>
              </w:rPr>
              <w:t>показатељ</w:t>
            </w:r>
            <w:r w:rsidRPr="00895819">
              <w:rPr>
                <w:sz w:val="22"/>
                <w:lang w:val="sr-Cyrl-CS"/>
              </w:rPr>
              <w:t xml:space="preserve"> ПИ</w:t>
            </w:r>
            <w:r w:rsidR="00B16F8D" w:rsidRPr="00895819">
              <w:rPr>
                <w:sz w:val="22"/>
                <w:lang w:val="sr-Cyrl-CS"/>
              </w:rPr>
              <w:t>-9 (</w:t>
            </w:r>
            <w:r w:rsidR="00705905" w:rsidRPr="00895819">
              <w:rPr>
                <w:sz w:val="22"/>
                <w:lang w:val="sr-Cyrl-CS"/>
              </w:rPr>
              <w:t>Доступност фискалних информација јавности</w:t>
            </w:r>
            <w:r w:rsidR="00B16F8D" w:rsidRPr="00895819">
              <w:rPr>
                <w:sz w:val="22"/>
                <w:lang w:val="sr-Cyrl-CS"/>
              </w:rPr>
              <w:t xml:space="preserve">), </w:t>
            </w:r>
            <w:r w:rsidR="00B324FD" w:rsidRPr="00895819">
              <w:rPr>
                <w:sz w:val="22"/>
                <w:lang w:val="sr-Cyrl-CS"/>
              </w:rPr>
              <w:t>при чему недостају два кључна документа</w:t>
            </w:r>
            <w:r w:rsidR="00B16F8D" w:rsidRPr="00895819">
              <w:rPr>
                <w:sz w:val="22"/>
                <w:lang w:val="sr-Cyrl-CS"/>
              </w:rPr>
              <w:t xml:space="preserve">: (i) </w:t>
            </w:r>
            <w:r w:rsidR="00705905" w:rsidRPr="00895819">
              <w:rPr>
                <w:sz w:val="22"/>
                <w:lang w:val="sr-Cyrl-CS"/>
              </w:rPr>
              <w:t xml:space="preserve">извештаји о извршењу буџета у току године; и </w:t>
            </w:r>
            <w:r w:rsidR="00B16F8D" w:rsidRPr="00895819">
              <w:rPr>
                <w:sz w:val="22"/>
                <w:lang w:val="sr-Cyrl-CS"/>
              </w:rPr>
              <w:t xml:space="preserve">(ii) </w:t>
            </w:r>
            <w:r w:rsidR="00705905" w:rsidRPr="00895819">
              <w:rPr>
                <w:sz w:val="22"/>
                <w:lang w:val="sr-Cyrl-CS"/>
              </w:rPr>
              <w:t>годишњи извештаји о извршењу буџета</w:t>
            </w:r>
            <w:r w:rsidR="00B16F8D" w:rsidRPr="00895819">
              <w:rPr>
                <w:sz w:val="22"/>
                <w:lang w:val="sr-Cyrl-CS"/>
              </w:rPr>
              <w:t xml:space="preserve">. </w:t>
            </w:r>
            <w:r w:rsidR="00705905" w:rsidRPr="00895819">
              <w:rPr>
                <w:sz w:val="22"/>
                <w:lang w:val="sr-Cyrl-CS"/>
              </w:rPr>
              <w:t xml:space="preserve">Поред тога, тренутно се не користе ефикасно родно рашчлањени подаци </w:t>
            </w:r>
            <w:r w:rsidR="00B324FD" w:rsidRPr="00895819">
              <w:rPr>
                <w:sz w:val="22"/>
                <w:lang w:val="sr-Cyrl-CS"/>
              </w:rPr>
              <w:t>приликом</w:t>
            </w:r>
            <w:r w:rsidR="00705905" w:rsidRPr="00895819">
              <w:rPr>
                <w:sz w:val="22"/>
                <w:lang w:val="sr-Cyrl-CS"/>
              </w:rPr>
              <w:t xml:space="preserve"> анализи информација о програмском буџету</w:t>
            </w:r>
            <w:r w:rsidR="00B16F8D" w:rsidRPr="00895819">
              <w:rPr>
                <w:sz w:val="22"/>
                <w:lang w:val="sr-Cyrl-CS"/>
              </w:rPr>
              <w:t>.</w:t>
            </w:r>
          </w:p>
        </w:tc>
      </w:tr>
      <w:tr w:rsidR="00B16F8D" w:rsidRPr="00895819" w14:paraId="2BE637D7" w14:textId="77777777" w:rsidTr="00485361">
        <w:tc>
          <w:tcPr>
            <w:tcW w:w="1171" w:type="dxa"/>
            <w:vAlign w:val="center"/>
          </w:tcPr>
          <w:p w14:paraId="3BDD5336" w14:textId="77777777" w:rsidR="00B16F8D" w:rsidRPr="00895819" w:rsidRDefault="00B16F8D" w:rsidP="00485361">
            <w:pPr>
              <w:spacing w:before="120" w:after="120"/>
              <w:rPr>
                <w:sz w:val="22"/>
                <w:lang w:val="sr-Cyrl-CS"/>
              </w:rPr>
            </w:pPr>
            <w:r w:rsidRPr="00895819">
              <w:rPr>
                <w:sz w:val="22"/>
                <w:lang w:val="sr-Cyrl-CS"/>
              </w:rPr>
              <w:t>2023</w:t>
            </w:r>
          </w:p>
        </w:tc>
        <w:tc>
          <w:tcPr>
            <w:tcW w:w="8180" w:type="dxa"/>
          </w:tcPr>
          <w:p w14:paraId="34CE220C" w14:textId="77777777" w:rsidR="00B16F8D" w:rsidRPr="00895819" w:rsidRDefault="00B05A90" w:rsidP="00DB4656">
            <w:pPr>
              <w:spacing w:before="120" w:after="120"/>
              <w:rPr>
                <w:sz w:val="22"/>
                <w:lang w:val="sr-Cyrl-CS"/>
              </w:rPr>
            </w:pPr>
            <w:r w:rsidRPr="00895819">
              <w:rPr>
                <w:b/>
                <w:sz w:val="22"/>
                <w:lang w:val="sr-Cyrl-CS"/>
              </w:rPr>
              <w:t>ДЛР</w:t>
            </w:r>
            <w:r w:rsidR="00B16F8D" w:rsidRPr="00895819">
              <w:rPr>
                <w:b/>
                <w:sz w:val="22"/>
                <w:lang w:val="sr-Cyrl-CS"/>
              </w:rPr>
              <w:t xml:space="preserve"> 6.1. </w:t>
            </w:r>
            <w:r w:rsidR="00450F18" w:rsidRPr="00895819">
              <w:rPr>
                <w:bCs/>
                <w:sz w:val="22"/>
                <w:lang w:val="sr-Cyrl-CS"/>
              </w:rPr>
              <w:t xml:space="preserve">Минимум </w:t>
            </w:r>
            <w:r w:rsidR="00450F18" w:rsidRPr="00895819">
              <w:rPr>
                <w:sz w:val="22"/>
                <w:lang w:val="sr-Cyrl-CS"/>
              </w:rPr>
              <w:t xml:space="preserve">три Ресорна министарства укључују КПИ о ефикасности расхода и еколошким и родним аспектима </w:t>
            </w:r>
            <w:r w:rsidRPr="00895819">
              <w:rPr>
                <w:sz w:val="22"/>
                <w:lang w:val="sr-Cyrl-CS"/>
              </w:rPr>
              <w:t xml:space="preserve">учинка у своје програмске буџете </w:t>
            </w:r>
            <w:r w:rsidR="00DB4656" w:rsidRPr="00895819">
              <w:rPr>
                <w:sz w:val="22"/>
                <w:lang w:val="sr-Cyrl-CS"/>
              </w:rPr>
              <w:t>(</w:t>
            </w:r>
            <w:r w:rsidRPr="00895819">
              <w:rPr>
                <w:sz w:val="22"/>
                <w:lang w:val="sr-Cyrl-CS"/>
              </w:rPr>
              <w:t xml:space="preserve">у складу са Законом о буџету за </w:t>
            </w:r>
            <w:r w:rsidR="00DB4656" w:rsidRPr="00895819">
              <w:rPr>
                <w:sz w:val="22"/>
                <w:lang w:val="sr-Cyrl-CS"/>
              </w:rPr>
              <w:t>2024</w:t>
            </w:r>
            <w:r w:rsidRPr="00895819">
              <w:rPr>
                <w:sz w:val="22"/>
                <w:lang w:val="sr-Cyrl-CS"/>
              </w:rPr>
              <w:t>. годину</w:t>
            </w:r>
            <w:r w:rsidR="00DB4656" w:rsidRPr="00895819">
              <w:rPr>
                <w:sz w:val="22"/>
                <w:lang w:val="sr-Cyrl-CS"/>
              </w:rPr>
              <w:t>).</w:t>
            </w:r>
          </w:p>
        </w:tc>
        <w:tc>
          <w:tcPr>
            <w:tcW w:w="2693" w:type="dxa"/>
            <w:vAlign w:val="center"/>
          </w:tcPr>
          <w:p w14:paraId="62FD019F" w14:textId="77777777" w:rsidR="00B16F8D" w:rsidRPr="00895819" w:rsidRDefault="00B16F8D" w:rsidP="00485361">
            <w:pPr>
              <w:spacing w:before="120" w:after="120"/>
              <w:jc w:val="center"/>
              <w:rPr>
                <w:sz w:val="22"/>
                <w:lang w:val="sr-Cyrl-CS"/>
              </w:rPr>
            </w:pPr>
            <w:r w:rsidRPr="00895819">
              <w:rPr>
                <w:sz w:val="22"/>
                <w:lang w:val="sr-Cyrl-CS"/>
              </w:rPr>
              <w:t>2</w:t>
            </w:r>
            <w:r w:rsidR="00D62EAB" w:rsidRPr="00895819">
              <w:rPr>
                <w:sz w:val="22"/>
                <w:lang w:val="sr-Cyrl-CS"/>
              </w:rPr>
              <w:t>,</w:t>
            </w:r>
            <w:r w:rsidRPr="00895819">
              <w:rPr>
                <w:sz w:val="22"/>
                <w:lang w:val="sr-Cyrl-CS"/>
              </w:rPr>
              <w:t xml:space="preserve">5 </w:t>
            </w:r>
            <w:r w:rsidR="00B05A90" w:rsidRPr="00895819">
              <w:rPr>
                <w:sz w:val="22"/>
                <w:lang w:val="sr-Cyrl-CS"/>
              </w:rPr>
              <w:t>мил. ЕУР</w:t>
            </w:r>
          </w:p>
        </w:tc>
        <w:tc>
          <w:tcPr>
            <w:tcW w:w="3260" w:type="dxa"/>
            <w:vAlign w:val="center"/>
          </w:tcPr>
          <w:p w14:paraId="1F3413BF" w14:textId="77777777" w:rsidR="00B16F8D" w:rsidRPr="00895819" w:rsidRDefault="00B05A90" w:rsidP="00485361">
            <w:pPr>
              <w:spacing w:before="120" w:after="120"/>
              <w:jc w:val="center"/>
              <w:rPr>
                <w:sz w:val="22"/>
                <w:lang w:val="sr-Cyrl-CS"/>
              </w:rPr>
            </w:pPr>
            <w:r w:rsidRPr="00895819">
              <w:rPr>
                <w:sz w:val="22"/>
                <w:lang w:val="sr-Cyrl-CS"/>
              </w:rPr>
              <w:t>Када се постигне</w:t>
            </w:r>
          </w:p>
        </w:tc>
      </w:tr>
      <w:tr w:rsidR="00B16F8D" w:rsidRPr="00895819" w14:paraId="626AC420" w14:textId="77777777" w:rsidTr="00485361">
        <w:tc>
          <w:tcPr>
            <w:tcW w:w="1171" w:type="dxa"/>
            <w:vAlign w:val="center"/>
          </w:tcPr>
          <w:p w14:paraId="39F90873" w14:textId="77777777" w:rsidR="00B16F8D" w:rsidRPr="00895819" w:rsidRDefault="00B16F8D" w:rsidP="00485361">
            <w:pPr>
              <w:spacing w:before="120" w:after="120"/>
              <w:rPr>
                <w:sz w:val="22"/>
                <w:lang w:val="sr-Cyrl-CS"/>
              </w:rPr>
            </w:pPr>
            <w:r w:rsidRPr="00895819">
              <w:rPr>
                <w:sz w:val="22"/>
                <w:lang w:val="sr-Cyrl-CS"/>
              </w:rPr>
              <w:t>2024</w:t>
            </w:r>
          </w:p>
        </w:tc>
        <w:tc>
          <w:tcPr>
            <w:tcW w:w="8180" w:type="dxa"/>
          </w:tcPr>
          <w:p w14:paraId="21C5F959" w14:textId="77777777" w:rsidR="00B16F8D" w:rsidRPr="00895819" w:rsidRDefault="00B05A90" w:rsidP="00B7784D">
            <w:pPr>
              <w:spacing w:before="120" w:after="120"/>
              <w:rPr>
                <w:sz w:val="22"/>
                <w:lang w:val="sr-Cyrl-CS"/>
              </w:rPr>
            </w:pPr>
            <w:r w:rsidRPr="00895819">
              <w:rPr>
                <w:b/>
                <w:sz w:val="22"/>
                <w:lang w:val="sr-Cyrl-CS"/>
              </w:rPr>
              <w:t>ДЛР</w:t>
            </w:r>
            <w:r w:rsidR="00B16F8D" w:rsidRPr="00895819">
              <w:rPr>
                <w:b/>
                <w:sz w:val="22"/>
                <w:lang w:val="sr-Cyrl-CS"/>
              </w:rPr>
              <w:t xml:space="preserve"> 6.2. </w:t>
            </w:r>
            <w:r w:rsidRPr="00895819">
              <w:rPr>
                <w:bCs/>
                <w:sz w:val="22"/>
                <w:lang w:val="sr-Cyrl-CS"/>
              </w:rPr>
              <w:t xml:space="preserve">МФ је Народној скупштини поднело предлог буџета за 2025. годину који обухвата </w:t>
            </w:r>
            <w:r w:rsidR="00DB4656" w:rsidRPr="00895819">
              <w:rPr>
                <w:sz w:val="22"/>
                <w:lang w:val="sr-Cyrl-CS"/>
              </w:rPr>
              <w:t xml:space="preserve">(i) </w:t>
            </w:r>
            <w:r w:rsidRPr="00895819">
              <w:rPr>
                <w:sz w:val="22"/>
                <w:lang w:val="sr-Cyrl-CS"/>
              </w:rPr>
              <w:t xml:space="preserve">податке о </w:t>
            </w:r>
            <w:r w:rsidR="00B7784D" w:rsidRPr="00895819">
              <w:rPr>
                <w:sz w:val="22"/>
                <w:lang w:val="sr-Cyrl-CS"/>
              </w:rPr>
              <w:t>извршењу</w:t>
            </w:r>
            <w:r w:rsidRPr="00895819">
              <w:rPr>
                <w:sz w:val="22"/>
                <w:lang w:val="sr-Cyrl-CS"/>
              </w:rPr>
              <w:t xml:space="preserve"> буџета за текућу и претходну годину </w:t>
            </w:r>
            <w:r w:rsidR="00DB4656" w:rsidRPr="00895819">
              <w:rPr>
                <w:sz w:val="22"/>
                <w:lang w:val="sr-Cyrl-CS"/>
              </w:rPr>
              <w:t>(</w:t>
            </w:r>
            <w:r w:rsidRPr="00895819">
              <w:rPr>
                <w:sz w:val="22"/>
                <w:lang w:val="sr-Cyrl-CS"/>
              </w:rPr>
              <w:t>у истом формату/класификацији као и годишњи буџет</w:t>
            </w:r>
            <w:r w:rsidR="00DB4656" w:rsidRPr="00895819">
              <w:rPr>
                <w:sz w:val="22"/>
                <w:lang w:val="sr-Cyrl-CS"/>
              </w:rPr>
              <w:t xml:space="preserve">); </w:t>
            </w:r>
            <w:r w:rsidRPr="00895819">
              <w:rPr>
                <w:sz w:val="22"/>
                <w:lang w:val="sr-Cyrl-CS"/>
              </w:rPr>
              <w:t>и</w:t>
            </w:r>
            <w:r w:rsidR="00DB4656" w:rsidRPr="00895819">
              <w:rPr>
                <w:sz w:val="22"/>
                <w:lang w:val="sr-Cyrl-CS"/>
              </w:rPr>
              <w:t xml:space="preserve"> (ii) </w:t>
            </w:r>
            <w:r w:rsidRPr="00895819">
              <w:rPr>
                <w:sz w:val="22"/>
                <w:lang w:val="sr-Cyrl-CS"/>
              </w:rPr>
              <w:t>релевантне информације које се односе на родну равноправност</w:t>
            </w:r>
            <w:r w:rsidR="00DB4656" w:rsidRPr="00895819">
              <w:rPr>
                <w:sz w:val="22"/>
                <w:lang w:val="sr-Cyrl-CS"/>
              </w:rPr>
              <w:t>.</w:t>
            </w:r>
          </w:p>
        </w:tc>
        <w:tc>
          <w:tcPr>
            <w:tcW w:w="2693" w:type="dxa"/>
            <w:vAlign w:val="center"/>
          </w:tcPr>
          <w:p w14:paraId="42FB8F71" w14:textId="77777777" w:rsidR="00B16F8D" w:rsidRPr="00895819" w:rsidRDefault="00B16F8D" w:rsidP="00485361">
            <w:pPr>
              <w:spacing w:before="120" w:after="120"/>
              <w:jc w:val="center"/>
              <w:rPr>
                <w:sz w:val="22"/>
                <w:lang w:val="sr-Cyrl-CS"/>
              </w:rPr>
            </w:pPr>
            <w:r w:rsidRPr="00895819">
              <w:rPr>
                <w:sz w:val="22"/>
                <w:lang w:val="sr-Cyrl-CS"/>
              </w:rPr>
              <w:t xml:space="preserve">2.5 </w:t>
            </w:r>
            <w:r w:rsidR="00B05A90" w:rsidRPr="00895819">
              <w:rPr>
                <w:sz w:val="22"/>
                <w:lang w:val="sr-Cyrl-CS"/>
              </w:rPr>
              <w:t>мил. ЕУР</w:t>
            </w:r>
          </w:p>
        </w:tc>
        <w:tc>
          <w:tcPr>
            <w:tcW w:w="3260" w:type="dxa"/>
            <w:vAlign w:val="center"/>
          </w:tcPr>
          <w:p w14:paraId="47BAC029" w14:textId="77777777" w:rsidR="00B16F8D" w:rsidRPr="00895819" w:rsidRDefault="00B05A90" w:rsidP="00485361">
            <w:pPr>
              <w:spacing w:before="120" w:after="120"/>
              <w:jc w:val="center"/>
              <w:rPr>
                <w:sz w:val="22"/>
                <w:lang w:val="sr-Cyrl-CS"/>
              </w:rPr>
            </w:pPr>
            <w:r w:rsidRPr="00895819">
              <w:rPr>
                <w:sz w:val="22"/>
                <w:lang w:val="sr-Cyrl-CS"/>
              </w:rPr>
              <w:t>Када се постигне</w:t>
            </w:r>
          </w:p>
        </w:tc>
      </w:tr>
      <w:tr w:rsidR="00B16F8D" w:rsidRPr="00895819" w14:paraId="1ACB6A51" w14:textId="77777777" w:rsidTr="00485361">
        <w:tc>
          <w:tcPr>
            <w:tcW w:w="1171" w:type="dxa"/>
            <w:vAlign w:val="center"/>
          </w:tcPr>
          <w:p w14:paraId="34F2FAA9" w14:textId="77777777" w:rsidR="00B16F8D" w:rsidRPr="00895819" w:rsidRDefault="00B16F8D" w:rsidP="00485361">
            <w:pPr>
              <w:spacing w:before="120" w:after="120"/>
              <w:rPr>
                <w:sz w:val="22"/>
                <w:lang w:val="sr-Cyrl-CS"/>
              </w:rPr>
            </w:pPr>
            <w:r w:rsidRPr="00895819">
              <w:rPr>
                <w:sz w:val="22"/>
                <w:lang w:val="sr-Cyrl-CS"/>
              </w:rPr>
              <w:t>2025</w:t>
            </w:r>
          </w:p>
        </w:tc>
        <w:tc>
          <w:tcPr>
            <w:tcW w:w="8180" w:type="dxa"/>
          </w:tcPr>
          <w:p w14:paraId="6886E29C" w14:textId="77777777" w:rsidR="00B16F8D" w:rsidRPr="00895819" w:rsidRDefault="00B05A90" w:rsidP="00D86BEA">
            <w:pPr>
              <w:spacing w:before="120" w:after="120"/>
              <w:rPr>
                <w:sz w:val="22"/>
                <w:lang w:val="sr-Cyrl-CS"/>
              </w:rPr>
            </w:pPr>
            <w:r w:rsidRPr="00895819">
              <w:rPr>
                <w:b/>
                <w:sz w:val="22"/>
                <w:lang w:val="sr-Cyrl-CS"/>
              </w:rPr>
              <w:t>ДЛР</w:t>
            </w:r>
            <w:r w:rsidR="00B16F8D" w:rsidRPr="00895819">
              <w:rPr>
                <w:b/>
                <w:sz w:val="22"/>
                <w:lang w:val="sr-Cyrl-CS"/>
              </w:rPr>
              <w:t xml:space="preserve"> 6.3. </w:t>
            </w:r>
            <w:r w:rsidRPr="00895819">
              <w:rPr>
                <w:bCs/>
                <w:sz w:val="22"/>
                <w:lang w:val="sr-Cyrl-CS"/>
              </w:rPr>
              <w:t xml:space="preserve">МФ </w:t>
            </w:r>
            <w:r w:rsidR="005075C9" w:rsidRPr="00895819">
              <w:rPr>
                <w:sz w:val="22"/>
                <w:lang w:val="sr-Cyrl-CS"/>
              </w:rPr>
              <w:t xml:space="preserve">(i) </w:t>
            </w:r>
            <w:r w:rsidRPr="00895819">
              <w:rPr>
                <w:sz w:val="22"/>
                <w:lang w:val="sr-Cyrl-CS"/>
              </w:rPr>
              <w:t xml:space="preserve">објављује извештај о </w:t>
            </w:r>
            <w:r w:rsidR="00B71546" w:rsidRPr="00895819">
              <w:rPr>
                <w:sz w:val="22"/>
                <w:lang w:val="sr-Cyrl-CS"/>
              </w:rPr>
              <w:t>учинку</w:t>
            </w:r>
            <w:r w:rsidRPr="00895819">
              <w:rPr>
                <w:sz w:val="22"/>
                <w:lang w:val="sr-Cyrl-CS"/>
              </w:rPr>
              <w:t xml:space="preserve"> који обухвата пројекте и субвенције који се односе на </w:t>
            </w:r>
            <w:r w:rsidR="00D86FD2" w:rsidRPr="00895819">
              <w:rPr>
                <w:sz w:val="22"/>
                <w:lang w:val="sr-Cyrl-CS"/>
              </w:rPr>
              <w:t>Зелен</w:t>
            </w:r>
            <w:r w:rsidRPr="00895819">
              <w:rPr>
                <w:sz w:val="22"/>
                <w:lang w:val="sr-Cyrl-CS"/>
              </w:rPr>
              <w:t>у</w:t>
            </w:r>
            <w:r w:rsidR="00D86FD2" w:rsidRPr="00895819">
              <w:rPr>
                <w:sz w:val="22"/>
                <w:lang w:val="sr-Cyrl-CS"/>
              </w:rPr>
              <w:t xml:space="preserve"> агенд</w:t>
            </w:r>
            <w:r w:rsidRPr="00895819">
              <w:rPr>
                <w:sz w:val="22"/>
                <w:lang w:val="sr-Cyrl-CS"/>
              </w:rPr>
              <w:t xml:space="preserve">у; </w:t>
            </w:r>
            <w:r w:rsidR="005075C9" w:rsidRPr="00895819">
              <w:rPr>
                <w:sz w:val="22"/>
                <w:lang w:val="sr-Cyrl-CS"/>
              </w:rPr>
              <w:t xml:space="preserve">(ii) </w:t>
            </w:r>
            <w:r w:rsidRPr="00895819">
              <w:rPr>
                <w:sz w:val="22"/>
                <w:lang w:val="sr-Cyrl-CS"/>
              </w:rPr>
              <w:t>објављује годишњи извештај о учинку на својој интернет страници; и</w:t>
            </w:r>
            <w:r w:rsidR="005075C9" w:rsidRPr="00895819">
              <w:rPr>
                <w:sz w:val="22"/>
                <w:lang w:val="sr-Cyrl-CS"/>
              </w:rPr>
              <w:t xml:space="preserve"> (iii) </w:t>
            </w:r>
            <w:r w:rsidR="00B71546" w:rsidRPr="00895819">
              <w:rPr>
                <w:sz w:val="22"/>
                <w:lang w:val="sr-Cyrl-CS"/>
              </w:rPr>
              <w:t xml:space="preserve">укључује у Грађански водич кроз буџет преглед извештаја о пројектима и субвенцијама везаним за </w:t>
            </w:r>
            <w:r w:rsidR="00D86FD2" w:rsidRPr="00895819">
              <w:rPr>
                <w:sz w:val="22"/>
                <w:lang w:val="sr-Cyrl-CS"/>
              </w:rPr>
              <w:t>Зелен</w:t>
            </w:r>
            <w:r w:rsidR="00B71546" w:rsidRPr="00895819">
              <w:rPr>
                <w:sz w:val="22"/>
                <w:lang w:val="sr-Cyrl-CS"/>
              </w:rPr>
              <w:t>у</w:t>
            </w:r>
            <w:r w:rsidR="00D86FD2" w:rsidRPr="00895819">
              <w:rPr>
                <w:sz w:val="22"/>
                <w:lang w:val="sr-Cyrl-CS"/>
              </w:rPr>
              <w:t xml:space="preserve"> агенд</w:t>
            </w:r>
            <w:r w:rsidR="00B71546" w:rsidRPr="00895819">
              <w:rPr>
                <w:sz w:val="22"/>
                <w:lang w:val="sr-Cyrl-CS"/>
              </w:rPr>
              <w:t>у</w:t>
            </w:r>
            <w:r w:rsidR="00533468" w:rsidRPr="00895819">
              <w:rPr>
                <w:sz w:val="22"/>
                <w:lang w:val="sr-Cyrl-CS"/>
              </w:rPr>
              <w:t>.</w:t>
            </w:r>
            <w:r w:rsidR="008E7ED0" w:rsidRPr="00895819">
              <w:rPr>
                <w:sz w:val="22"/>
                <w:lang w:val="sr-Cyrl-CS"/>
              </w:rPr>
              <w:t xml:space="preserve"> </w:t>
            </w:r>
          </w:p>
        </w:tc>
        <w:tc>
          <w:tcPr>
            <w:tcW w:w="2693" w:type="dxa"/>
            <w:vAlign w:val="center"/>
          </w:tcPr>
          <w:p w14:paraId="19B063E0" w14:textId="77777777" w:rsidR="00B16F8D" w:rsidRPr="00895819" w:rsidRDefault="00B16F8D" w:rsidP="00485361">
            <w:pPr>
              <w:spacing w:before="120" w:after="120"/>
              <w:jc w:val="center"/>
              <w:rPr>
                <w:sz w:val="22"/>
                <w:lang w:val="sr-Cyrl-CS"/>
              </w:rPr>
            </w:pPr>
            <w:r w:rsidRPr="00895819">
              <w:rPr>
                <w:sz w:val="22"/>
                <w:lang w:val="sr-Cyrl-CS"/>
              </w:rPr>
              <w:t>2</w:t>
            </w:r>
            <w:r w:rsidR="00D62EAB" w:rsidRPr="00895819">
              <w:rPr>
                <w:sz w:val="22"/>
                <w:lang w:val="sr-Cyrl-CS"/>
              </w:rPr>
              <w:t>,</w:t>
            </w:r>
            <w:r w:rsidRPr="00895819">
              <w:rPr>
                <w:sz w:val="22"/>
                <w:lang w:val="sr-Cyrl-CS"/>
              </w:rPr>
              <w:t xml:space="preserve">0 </w:t>
            </w:r>
            <w:r w:rsidR="00B05A90" w:rsidRPr="00895819">
              <w:rPr>
                <w:sz w:val="22"/>
                <w:lang w:val="sr-Cyrl-CS"/>
              </w:rPr>
              <w:t>мил. ЕУР</w:t>
            </w:r>
          </w:p>
        </w:tc>
        <w:tc>
          <w:tcPr>
            <w:tcW w:w="3260" w:type="dxa"/>
            <w:vAlign w:val="center"/>
          </w:tcPr>
          <w:p w14:paraId="1EF43CC1" w14:textId="77777777" w:rsidR="00B16F8D" w:rsidRPr="00895819" w:rsidRDefault="00B05A90" w:rsidP="00485361">
            <w:pPr>
              <w:spacing w:before="120" w:after="120"/>
              <w:jc w:val="center"/>
              <w:rPr>
                <w:sz w:val="22"/>
                <w:lang w:val="sr-Cyrl-CS"/>
              </w:rPr>
            </w:pPr>
            <w:r w:rsidRPr="00895819">
              <w:rPr>
                <w:sz w:val="22"/>
                <w:lang w:val="sr-Cyrl-CS"/>
              </w:rPr>
              <w:t>Када се постигне</w:t>
            </w:r>
          </w:p>
        </w:tc>
      </w:tr>
      <w:tr w:rsidR="00B16F8D" w:rsidRPr="00895819" w14:paraId="378BE242" w14:textId="77777777" w:rsidTr="00485361">
        <w:tc>
          <w:tcPr>
            <w:tcW w:w="1171" w:type="dxa"/>
            <w:vAlign w:val="center"/>
          </w:tcPr>
          <w:p w14:paraId="08BA73BB" w14:textId="77777777" w:rsidR="00B16F8D" w:rsidRPr="00895819" w:rsidRDefault="00B16F8D" w:rsidP="00485361">
            <w:pPr>
              <w:spacing w:before="120" w:after="120"/>
              <w:rPr>
                <w:sz w:val="22"/>
                <w:lang w:val="sr-Cyrl-CS"/>
              </w:rPr>
            </w:pPr>
            <w:r w:rsidRPr="00895819">
              <w:rPr>
                <w:sz w:val="22"/>
                <w:lang w:val="sr-Cyrl-CS"/>
              </w:rPr>
              <w:t>2026</w:t>
            </w:r>
          </w:p>
        </w:tc>
        <w:tc>
          <w:tcPr>
            <w:tcW w:w="8180" w:type="dxa"/>
          </w:tcPr>
          <w:p w14:paraId="73F6794A" w14:textId="77777777" w:rsidR="00B16F8D" w:rsidRPr="00895819" w:rsidRDefault="00B05A90" w:rsidP="008E7ED0">
            <w:pPr>
              <w:spacing w:before="120" w:after="120"/>
              <w:rPr>
                <w:sz w:val="22"/>
                <w:lang w:val="sr-Cyrl-CS"/>
              </w:rPr>
            </w:pPr>
            <w:r w:rsidRPr="00895819">
              <w:rPr>
                <w:b/>
                <w:sz w:val="22"/>
                <w:lang w:val="sr-Cyrl-CS"/>
              </w:rPr>
              <w:t>ДЛР</w:t>
            </w:r>
            <w:r w:rsidR="00B16F8D" w:rsidRPr="00895819">
              <w:rPr>
                <w:b/>
                <w:sz w:val="22"/>
                <w:lang w:val="sr-Cyrl-CS"/>
              </w:rPr>
              <w:t xml:space="preserve"> 6.4. </w:t>
            </w:r>
            <w:r w:rsidR="00B71546" w:rsidRPr="00895819">
              <w:rPr>
                <w:bCs/>
                <w:sz w:val="22"/>
                <w:lang w:val="sr-Cyrl-CS"/>
              </w:rPr>
              <w:t xml:space="preserve">Два или више ресорних министарстава надлежних за </w:t>
            </w:r>
            <w:r w:rsidR="00D86FD2" w:rsidRPr="00895819">
              <w:rPr>
                <w:sz w:val="22"/>
                <w:lang w:val="sr-Cyrl-CS"/>
              </w:rPr>
              <w:t>Зелен</w:t>
            </w:r>
            <w:r w:rsidR="00B71546" w:rsidRPr="00895819">
              <w:rPr>
                <w:sz w:val="22"/>
                <w:lang w:val="sr-Cyrl-CS"/>
              </w:rPr>
              <w:t>у</w:t>
            </w:r>
            <w:r w:rsidR="00D86FD2" w:rsidRPr="00895819">
              <w:rPr>
                <w:sz w:val="22"/>
                <w:lang w:val="sr-Cyrl-CS"/>
              </w:rPr>
              <w:t xml:space="preserve"> агенд</w:t>
            </w:r>
            <w:r w:rsidR="00B71546" w:rsidRPr="00895819">
              <w:rPr>
                <w:sz w:val="22"/>
                <w:lang w:val="sr-Cyrl-CS"/>
              </w:rPr>
              <w:t>у</w:t>
            </w:r>
            <w:r w:rsidR="00DB4656" w:rsidRPr="00895819">
              <w:rPr>
                <w:sz w:val="22"/>
                <w:lang w:val="sr-Cyrl-CS"/>
              </w:rPr>
              <w:t xml:space="preserve"> (i) </w:t>
            </w:r>
            <w:r w:rsidR="00B71546" w:rsidRPr="00895819">
              <w:rPr>
                <w:sz w:val="22"/>
                <w:lang w:val="sr-Cyrl-CS"/>
              </w:rPr>
              <w:t xml:space="preserve">припремили су извештаје о резултатима програмског буџета, спровели консултације са носиоцима интереса и објавили га; и </w:t>
            </w:r>
            <w:r w:rsidR="00DB4656" w:rsidRPr="00895819">
              <w:rPr>
                <w:sz w:val="22"/>
                <w:lang w:val="sr-Cyrl-CS"/>
              </w:rPr>
              <w:t xml:space="preserve">(ii) </w:t>
            </w:r>
            <w:r w:rsidR="00B71546" w:rsidRPr="00895819">
              <w:rPr>
                <w:sz w:val="22"/>
                <w:lang w:val="sr-Cyrl-CS"/>
              </w:rPr>
              <w:t>укључили су у те извештаје анализу еколошких и климатских перформанси</w:t>
            </w:r>
            <w:r w:rsidR="00DB4656" w:rsidRPr="00895819">
              <w:rPr>
                <w:sz w:val="22"/>
                <w:lang w:val="sr-Cyrl-CS"/>
              </w:rPr>
              <w:t xml:space="preserve"> (</w:t>
            </w:r>
            <w:r w:rsidR="00B71546" w:rsidRPr="00895819">
              <w:rPr>
                <w:sz w:val="22"/>
                <w:lang w:val="sr-Cyrl-CS"/>
              </w:rPr>
              <w:t>идентификација зелених расхода и КПИ</w:t>
            </w:r>
            <w:r w:rsidR="00DB4656" w:rsidRPr="00895819">
              <w:rPr>
                <w:sz w:val="22"/>
                <w:lang w:val="sr-Cyrl-CS"/>
              </w:rPr>
              <w:t>).</w:t>
            </w:r>
          </w:p>
        </w:tc>
        <w:tc>
          <w:tcPr>
            <w:tcW w:w="2693" w:type="dxa"/>
            <w:vAlign w:val="center"/>
          </w:tcPr>
          <w:p w14:paraId="5197FA1A" w14:textId="77777777" w:rsidR="00B16F8D" w:rsidRPr="00895819" w:rsidRDefault="00B16F8D" w:rsidP="00485361">
            <w:pPr>
              <w:spacing w:before="120" w:after="120"/>
              <w:jc w:val="center"/>
              <w:rPr>
                <w:sz w:val="22"/>
                <w:lang w:val="sr-Cyrl-CS"/>
              </w:rPr>
            </w:pPr>
            <w:r w:rsidRPr="00895819">
              <w:rPr>
                <w:sz w:val="22"/>
                <w:lang w:val="sr-Cyrl-CS"/>
              </w:rPr>
              <w:t>2</w:t>
            </w:r>
            <w:r w:rsidR="00D62EAB" w:rsidRPr="00895819">
              <w:rPr>
                <w:sz w:val="22"/>
                <w:lang w:val="sr-Cyrl-CS"/>
              </w:rPr>
              <w:t>,</w:t>
            </w:r>
            <w:r w:rsidRPr="00895819">
              <w:rPr>
                <w:sz w:val="22"/>
                <w:lang w:val="sr-Cyrl-CS"/>
              </w:rPr>
              <w:t xml:space="preserve">0 </w:t>
            </w:r>
            <w:r w:rsidR="00B05A90" w:rsidRPr="00895819">
              <w:rPr>
                <w:sz w:val="22"/>
                <w:lang w:val="sr-Cyrl-CS"/>
              </w:rPr>
              <w:t>мил. ЕУР</w:t>
            </w:r>
          </w:p>
        </w:tc>
        <w:tc>
          <w:tcPr>
            <w:tcW w:w="3260" w:type="dxa"/>
            <w:vAlign w:val="center"/>
          </w:tcPr>
          <w:p w14:paraId="4E6298C7" w14:textId="77777777" w:rsidR="00B16F8D" w:rsidRPr="00895819" w:rsidRDefault="00B16F8D" w:rsidP="008E7ED0">
            <w:pPr>
              <w:spacing w:before="120" w:after="120"/>
              <w:jc w:val="center"/>
              <w:rPr>
                <w:sz w:val="22"/>
                <w:lang w:val="sr-Cyrl-CS"/>
              </w:rPr>
            </w:pPr>
            <w:r w:rsidRPr="00895819">
              <w:rPr>
                <w:sz w:val="22"/>
                <w:lang w:val="sr-Cyrl-CS"/>
              </w:rPr>
              <w:t xml:space="preserve">1 </w:t>
            </w:r>
            <w:r w:rsidR="00B05A90" w:rsidRPr="00895819">
              <w:rPr>
                <w:sz w:val="22"/>
                <w:lang w:val="sr-Cyrl-CS"/>
              </w:rPr>
              <w:t>мил. ЕУР по ресорном министарству</w:t>
            </w:r>
          </w:p>
        </w:tc>
      </w:tr>
    </w:tbl>
    <w:p w14:paraId="0C73E143" w14:textId="77777777" w:rsidR="00B16F8D" w:rsidRPr="00895819" w:rsidRDefault="00B16F8D" w:rsidP="00B16F8D">
      <w:pPr>
        <w:pStyle w:val="BodyText"/>
        <w:jc w:val="left"/>
        <w:rPr>
          <w:rFonts w:cs="Times New Roman"/>
          <w:b/>
          <w:iCs/>
          <w:color w:val="000000"/>
          <w:lang w:val="sr-Cyrl-CS"/>
        </w:rPr>
        <w:sectPr w:rsidR="00B16F8D" w:rsidRPr="00895819" w:rsidSect="00485361">
          <w:pgSz w:w="16838" w:h="11906" w:orient="landscape"/>
          <w:pgMar w:top="720" w:right="720" w:bottom="720" w:left="720" w:header="708" w:footer="400" w:gutter="0"/>
          <w:cols w:space="708"/>
          <w:formProt w:val="0"/>
          <w:titlePg/>
          <w:docGrid w:linePitch="360"/>
        </w:sectPr>
      </w:pPr>
    </w:p>
    <w:tbl>
      <w:tblPr>
        <w:tblStyle w:val="TableGrid"/>
        <w:tblW w:w="0" w:type="auto"/>
        <w:tblLook w:val="04A0" w:firstRow="1" w:lastRow="0" w:firstColumn="1" w:lastColumn="0" w:noHBand="0" w:noVBand="1"/>
      </w:tblPr>
      <w:tblGrid>
        <w:gridCol w:w="1171"/>
        <w:gridCol w:w="8180"/>
        <w:gridCol w:w="2693"/>
        <w:gridCol w:w="3260"/>
      </w:tblGrid>
      <w:tr w:rsidR="00B16F8D" w:rsidRPr="00895819" w14:paraId="03B56B33" w14:textId="77777777" w:rsidTr="00485361">
        <w:tc>
          <w:tcPr>
            <w:tcW w:w="15304" w:type="dxa"/>
            <w:gridSpan w:val="4"/>
            <w:shd w:val="clear" w:color="auto" w:fill="002060"/>
            <w:vAlign w:val="center"/>
          </w:tcPr>
          <w:p w14:paraId="54956E4D" w14:textId="77777777" w:rsidR="00B16F8D" w:rsidRPr="00895819" w:rsidRDefault="000D7E23" w:rsidP="00485361">
            <w:pPr>
              <w:spacing w:before="120" w:after="120"/>
              <w:jc w:val="center"/>
              <w:rPr>
                <w:sz w:val="22"/>
                <w:lang w:val="sr-Cyrl-CS"/>
              </w:rPr>
            </w:pPr>
            <w:r w:rsidRPr="00895819">
              <w:rPr>
                <w:sz w:val="22"/>
                <w:lang w:val="sr-Cyrl-CS"/>
              </w:rPr>
              <w:lastRenderedPageBreak/>
              <w:t>ДЛИ</w:t>
            </w:r>
            <w:r w:rsidR="00B16F8D" w:rsidRPr="00895819">
              <w:rPr>
                <w:sz w:val="22"/>
                <w:lang w:val="sr-Cyrl-CS"/>
              </w:rPr>
              <w:t xml:space="preserve"> 7 – </w:t>
            </w:r>
            <w:r w:rsidRPr="00895819">
              <w:rPr>
                <w:sz w:val="22"/>
                <w:lang w:val="sr-Cyrl-CS"/>
              </w:rPr>
              <w:t>Ефикасније праћење фискалних ризика</w:t>
            </w:r>
          </w:p>
        </w:tc>
      </w:tr>
      <w:tr w:rsidR="000D7E23" w:rsidRPr="00895819" w14:paraId="72417CDC" w14:textId="77777777" w:rsidTr="00485361">
        <w:tc>
          <w:tcPr>
            <w:tcW w:w="1171" w:type="dxa"/>
            <w:shd w:val="clear" w:color="auto" w:fill="002060"/>
            <w:vAlign w:val="center"/>
          </w:tcPr>
          <w:p w14:paraId="61DE343B" w14:textId="77777777" w:rsidR="000D7E23" w:rsidRPr="00895819" w:rsidRDefault="000D7E23" w:rsidP="000D7E23">
            <w:pPr>
              <w:spacing w:before="120" w:after="120"/>
              <w:jc w:val="center"/>
              <w:rPr>
                <w:sz w:val="22"/>
                <w:lang w:val="sr-Cyrl-CS"/>
              </w:rPr>
            </w:pPr>
            <w:r w:rsidRPr="00895819">
              <w:rPr>
                <w:sz w:val="22"/>
                <w:lang w:val="sr-Cyrl-CS"/>
              </w:rPr>
              <w:t>Период</w:t>
            </w:r>
          </w:p>
        </w:tc>
        <w:tc>
          <w:tcPr>
            <w:tcW w:w="8180" w:type="dxa"/>
            <w:shd w:val="clear" w:color="auto" w:fill="002060"/>
            <w:vAlign w:val="center"/>
          </w:tcPr>
          <w:p w14:paraId="248697D2" w14:textId="77777777" w:rsidR="000D7E23" w:rsidRPr="00895819" w:rsidRDefault="000D7E23" w:rsidP="000D7E23">
            <w:pPr>
              <w:spacing w:before="120" w:after="120"/>
              <w:jc w:val="center"/>
              <w:rPr>
                <w:sz w:val="22"/>
                <w:lang w:val="sr-Cyrl-CS"/>
              </w:rPr>
            </w:pPr>
            <w:r w:rsidRPr="00895819">
              <w:rPr>
                <w:sz w:val="22"/>
                <w:lang w:val="sr-Cyrl-CS"/>
              </w:rPr>
              <w:t>Вредност</w:t>
            </w:r>
          </w:p>
        </w:tc>
        <w:tc>
          <w:tcPr>
            <w:tcW w:w="2693" w:type="dxa"/>
            <w:shd w:val="clear" w:color="auto" w:fill="002060"/>
          </w:tcPr>
          <w:p w14:paraId="5A7B2BB4" w14:textId="77777777" w:rsidR="000D7E23" w:rsidRPr="00895819" w:rsidRDefault="000D7E23" w:rsidP="000D7E23">
            <w:pPr>
              <w:spacing w:before="120" w:after="120"/>
              <w:jc w:val="center"/>
              <w:rPr>
                <w:sz w:val="22"/>
                <w:lang w:val="sr-Cyrl-CS"/>
              </w:rPr>
            </w:pPr>
            <w:r w:rsidRPr="00895819">
              <w:rPr>
                <w:sz w:val="22"/>
                <w:lang w:val="sr-Cyrl-CS"/>
              </w:rPr>
              <w:t>Износ који обезбеђује АФД</w:t>
            </w:r>
          </w:p>
        </w:tc>
        <w:tc>
          <w:tcPr>
            <w:tcW w:w="3260" w:type="dxa"/>
            <w:shd w:val="clear" w:color="auto" w:fill="002060"/>
            <w:vAlign w:val="center"/>
          </w:tcPr>
          <w:p w14:paraId="42487F1E" w14:textId="77777777" w:rsidR="000D7E23" w:rsidRPr="00895819" w:rsidRDefault="000D7E23" w:rsidP="000D7E23">
            <w:pPr>
              <w:spacing w:before="120" w:after="120"/>
              <w:jc w:val="center"/>
              <w:rPr>
                <w:sz w:val="22"/>
                <w:lang w:val="sr-Cyrl-CS"/>
              </w:rPr>
            </w:pPr>
            <w:r w:rsidRPr="00895819">
              <w:rPr>
                <w:sz w:val="22"/>
                <w:lang w:val="sr-Cyrl-CS"/>
              </w:rPr>
              <w:t>Формула за алокацију</w:t>
            </w:r>
          </w:p>
        </w:tc>
      </w:tr>
      <w:tr w:rsidR="00B16F8D" w:rsidRPr="00895819" w14:paraId="4462E134" w14:textId="77777777" w:rsidTr="00485361">
        <w:tc>
          <w:tcPr>
            <w:tcW w:w="1171" w:type="dxa"/>
            <w:vAlign w:val="center"/>
          </w:tcPr>
          <w:p w14:paraId="555FF164" w14:textId="77777777" w:rsidR="00B16F8D" w:rsidRPr="00895819" w:rsidRDefault="000D7E23" w:rsidP="00485361">
            <w:pPr>
              <w:spacing w:before="120" w:after="120"/>
              <w:rPr>
                <w:sz w:val="22"/>
                <w:lang w:val="sr-Cyrl-CS"/>
              </w:rPr>
            </w:pPr>
            <w:r w:rsidRPr="00895819">
              <w:rPr>
                <w:sz w:val="22"/>
                <w:lang w:val="sr-Cyrl-CS"/>
              </w:rPr>
              <w:t>Полазна основа</w:t>
            </w:r>
          </w:p>
        </w:tc>
        <w:tc>
          <w:tcPr>
            <w:tcW w:w="14133" w:type="dxa"/>
            <w:gridSpan w:val="3"/>
          </w:tcPr>
          <w:p w14:paraId="5CBC71B4" w14:textId="77777777" w:rsidR="00B16F8D" w:rsidRPr="00895819" w:rsidRDefault="000D7E23" w:rsidP="00334EFD">
            <w:pPr>
              <w:spacing w:before="120" w:after="120"/>
              <w:rPr>
                <w:sz w:val="22"/>
                <w:lang w:val="sr-Cyrl-CS"/>
              </w:rPr>
            </w:pPr>
            <w:r w:rsidRPr="00895819">
              <w:rPr>
                <w:sz w:val="22"/>
                <w:lang w:val="sr-Cyrl-CS"/>
              </w:rPr>
              <w:t xml:space="preserve">Усвојене су методологије за праћење фискалних ризика, али се још увек не користе. Постојећа методологија не </w:t>
            </w:r>
            <w:r w:rsidR="00C97E62" w:rsidRPr="00895819">
              <w:rPr>
                <w:sz w:val="22"/>
                <w:lang w:val="sr-Cyrl-CS"/>
              </w:rPr>
              <w:t xml:space="preserve">прописује </w:t>
            </w:r>
            <w:r w:rsidR="00E83890" w:rsidRPr="00895819">
              <w:rPr>
                <w:sz w:val="22"/>
                <w:lang w:val="sr-Cyrl-CS"/>
              </w:rPr>
              <w:t xml:space="preserve">обавезу </w:t>
            </w:r>
            <w:r w:rsidR="00C97E62" w:rsidRPr="00895819">
              <w:rPr>
                <w:sz w:val="22"/>
                <w:lang w:val="sr-Cyrl-CS"/>
              </w:rPr>
              <w:t>објављивањ</w:t>
            </w:r>
            <w:r w:rsidR="00E83890" w:rsidRPr="00895819">
              <w:rPr>
                <w:sz w:val="22"/>
                <w:lang w:val="sr-Cyrl-CS"/>
              </w:rPr>
              <w:t>а</w:t>
            </w:r>
            <w:r w:rsidR="00C97E62" w:rsidRPr="00895819">
              <w:rPr>
                <w:sz w:val="22"/>
                <w:lang w:val="sr-Cyrl-CS"/>
              </w:rPr>
              <w:t xml:space="preserve"> извештаја о фискалним ризицима. Мере за непредвиђене ситуације се не документују у фискалној стратегији нити у буџету</w:t>
            </w:r>
            <w:r w:rsidR="00B16F8D" w:rsidRPr="00895819">
              <w:rPr>
                <w:sz w:val="22"/>
                <w:lang w:val="sr-Cyrl-CS"/>
              </w:rPr>
              <w:t xml:space="preserve">. </w:t>
            </w:r>
          </w:p>
        </w:tc>
      </w:tr>
      <w:tr w:rsidR="00B16F8D" w:rsidRPr="00895819" w14:paraId="59DC4569" w14:textId="77777777" w:rsidTr="00485361">
        <w:tc>
          <w:tcPr>
            <w:tcW w:w="1171" w:type="dxa"/>
            <w:vAlign w:val="center"/>
          </w:tcPr>
          <w:p w14:paraId="2066676D" w14:textId="77777777" w:rsidR="00B16F8D" w:rsidRPr="00895819" w:rsidRDefault="00B16F8D" w:rsidP="00485361">
            <w:pPr>
              <w:spacing w:before="120" w:after="120"/>
              <w:rPr>
                <w:sz w:val="22"/>
                <w:lang w:val="sr-Cyrl-CS"/>
              </w:rPr>
            </w:pPr>
            <w:r w:rsidRPr="00895819">
              <w:rPr>
                <w:sz w:val="22"/>
                <w:lang w:val="sr-Cyrl-CS"/>
              </w:rPr>
              <w:t>2023</w:t>
            </w:r>
          </w:p>
        </w:tc>
        <w:tc>
          <w:tcPr>
            <w:tcW w:w="8180" w:type="dxa"/>
          </w:tcPr>
          <w:p w14:paraId="139A8AC8" w14:textId="77777777" w:rsidR="00B16F8D" w:rsidRPr="00895819" w:rsidRDefault="00C97E62" w:rsidP="00485361">
            <w:pPr>
              <w:spacing w:before="120" w:after="120"/>
              <w:rPr>
                <w:sz w:val="22"/>
                <w:lang w:val="sr-Cyrl-CS"/>
              </w:rPr>
            </w:pPr>
            <w:r w:rsidRPr="00895819">
              <w:rPr>
                <w:b/>
                <w:sz w:val="22"/>
                <w:lang w:val="sr-Cyrl-CS"/>
              </w:rPr>
              <w:t>ИРИ</w:t>
            </w:r>
            <w:r w:rsidR="00B16F8D" w:rsidRPr="00895819">
              <w:rPr>
                <w:b/>
                <w:sz w:val="22"/>
                <w:lang w:val="sr-Cyrl-CS"/>
              </w:rPr>
              <w:t xml:space="preserve"> 7.1. </w:t>
            </w:r>
            <w:r w:rsidRPr="00895819">
              <w:rPr>
                <w:bCs/>
                <w:sz w:val="22"/>
                <w:lang w:val="sr-Cyrl-CS"/>
              </w:rPr>
              <w:t xml:space="preserve">Годишњи </w:t>
            </w:r>
            <w:r w:rsidR="00BC2C94" w:rsidRPr="00895819">
              <w:rPr>
                <w:bCs/>
                <w:sz w:val="22"/>
                <w:lang w:val="sr-Cyrl-CS"/>
              </w:rPr>
              <w:t xml:space="preserve">извештаји </w:t>
            </w:r>
            <w:r w:rsidRPr="00895819">
              <w:rPr>
                <w:bCs/>
                <w:sz w:val="22"/>
                <w:lang w:val="sr-Cyrl-CS"/>
              </w:rPr>
              <w:t xml:space="preserve">и извештаји о фискалним ризицима током године се припремају у </w:t>
            </w:r>
            <w:r w:rsidR="00844134" w:rsidRPr="00895819">
              <w:rPr>
                <w:bCs/>
                <w:sz w:val="22"/>
                <w:lang w:val="sr-Cyrl-CS"/>
              </w:rPr>
              <w:t>складу</w:t>
            </w:r>
            <w:r w:rsidRPr="00895819">
              <w:rPr>
                <w:bCs/>
                <w:sz w:val="22"/>
                <w:lang w:val="sr-Cyrl-CS"/>
              </w:rPr>
              <w:t xml:space="preserve"> са усвојеном методологијом</w:t>
            </w:r>
            <w:r w:rsidR="00B16F8D" w:rsidRPr="00895819">
              <w:rPr>
                <w:sz w:val="22"/>
                <w:lang w:val="sr-Cyrl-CS"/>
              </w:rPr>
              <w:t>.</w:t>
            </w:r>
          </w:p>
        </w:tc>
        <w:tc>
          <w:tcPr>
            <w:tcW w:w="2693" w:type="dxa"/>
            <w:vAlign w:val="center"/>
          </w:tcPr>
          <w:p w14:paraId="2ACAC764" w14:textId="77777777" w:rsidR="00B16F8D" w:rsidRPr="00895819" w:rsidRDefault="00B16F8D" w:rsidP="00485361">
            <w:pPr>
              <w:spacing w:before="120" w:after="120"/>
              <w:jc w:val="center"/>
              <w:rPr>
                <w:sz w:val="22"/>
                <w:lang w:val="sr-Cyrl-CS"/>
              </w:rPr>
            </w:pPr>
            <w:r w:rsidRPr="00895819">
              <w:rPr>
                <w:sz w:val="22"/>
                <w:lang w:val="sr-Cyrl-CS"/>
              </w:rPr>
              <w:t>-</w:t>
            </w:r>
          </w:p>
        </w:tc>
        <w:tc>
          <w:tcPr>
            <w:tcW w:w="3260" w:type="dxa"/>
            <w:vAlign w:val="center"/>
          </w:tcPr>
          <w:p w14:paraId="40500BAA" w14:textId="77777777" w:rsidR="00B16F8D" w:rsidRPr="00895819" w:rsidRDefault="000D7E23" w:rsidP="00485361">
            <w:pPr>
              <w:spacing w:before="120" w:after="120"/>
              <w:jc w:val="center"/>
              <w:rPr>
                <w:sz w:val="22"/>
                <w:lang w:val="sr-Cyrl-CS"/>
              </w:rPr>
            </w:pPr>
            <w:r w:rsidRPr="00895819">
              <w:rPr>
                <w:sz w:val="22"/>
                <w:lang w:val="sr-Cyrl-CS"/>
              </w:rPr>
              <w:t>Само праћење</w:t>
            </w:r>
          </w:p>
        </w:tc>
      </w:tr>
      <w:tr w:rsidR="00B16F8D" w:rsidRPr="00895819" w14:paraId="7FF33301" w14:textId="77777777" w:rsidTr="00485361">
        <w:tc>
          <w:tcPr>
            <w:tcW w:w="1171" w:type="dxa"/>
            <w:vAlign w:val="center"/>
          </w:tcPr>
          <w:p w14:paraId="725FA003" w14:textId="77777777" w:rsidR="00B16F8D" w:rsidRPr="00895819" w:rsidRDefault="00B16F8D" w:rsidP="00485361">
            <w:pPr>
              <w:spacing w:before="120" w:after="120"/>
              <w:rPr>
                <w:sz w:val="22"/>
                <w:lang w:val="sr-Cyrl-CS"/>
              </w:rPr>
            </w:pPr>
            <w:r w:rsidRPr="00895819">
              <w:rPr>
                <w:sz w:val="22"/>
                <w:lang w:val="sr-Cyrl-CS"/>
              </w:rPr>
              <w:t>2024</w:t>
            </w:r>
          </w:p>
        </w:tc>
        <w:tc>
          <w:tcPr>
            <w:tcW w:w="8180" w:type="dxa"/>
          </w:tcPr>
          <w:p w14:paraId="598A8F3F" w14:textId="01BEFF6E" w:rsidR="00B16F8D" w:rsidRPr="00895819" w:rsidRDefault="00C97E62" w:rsidP="00485361">
            <w:pPr>
              <w:spacing w:before="120" w:after="120"/>
              <w:rPr>
                <w:sz w:val="22"/>
                <w:lang w:val="sr-Cyrl-CS"/>
              </w:rPr>
            </w:pPr>
            <w:r w:rsidRPr="00895819">
              <w:rPr>
                <w:b/>
                <w:sz w:val="22"/>
                <w:lang w:val="sr-Cyrl-CS"/>
              </w:rPr>
              <w:t>ДЛР</w:t>
            </w:r>
            <w:r w:rsidR="00B16F8D" w:rsidRPr="00895819">
              <w:rPr>
                <w:b/>
                <w:sz w:val="22"/>
                <w:lang w:val="sr-Cyrl-CS"/>
              </w:rPr>
              <w:t xml:space="preserve"> 7.1. </w:t>
            </w:r>
            <w:r w:rsidRPr="00895819">
              <w:rPr>
                <w:bCs/>
                <w:sz w:val="22"/>
                <w:lang w:val="sr-Cyrl-CS"/>
              </w:rPr>
              <w:t xml:space="preserve">Зајмопримац је усвојио и објавио у Службеном гласнику Фискалну стратегију за период </w:t>
            </w:r>
            <w:r w:rsidR="00D71966" w:rsidRPr="00895819">
              <w:rPr>
                <w:sz w:val="22"/>
                <w:lang w:val="sr-Cyrl-CS"/>
              </w:rPr>
              <w:t>2025-2027</w:t>
            </w:r>
            <w:r w:rsidRPr="00895819">
              <w:rPr>
                <w:sz w:val="22"/>
                <w:lang w:val="sr-Cyrl-CS"/>
              </w:rPr>
              <w:t xml:space="preserve">. </w:t>
            </w:r>
            <w:r w:rsidR="00137601" w:rsidRPr="00895819">
              <w:rPr>
                <w:sz w:val="22"/>
                <w:lang w:val="sr-Cyrl-CS"/>
              </w:rPr>
              <w:t xml:space="preserve">године </w:t>
            </w:r>
            <w:r w:rsidRPr="00895819">
              <w:rPr>
                <w:sz w:val="22"/>
                <w:lang w:val="sr-Cyrl-CS"/>
              </w:rPr>
              <w:t>са одељком који се односи на фискалне ризике који садржи квантификоване потенцијалне кључне фискалне ризике у разматраном периоду</w:t>
            </w:r>
            <w:r w:rsidR="00D71966" w:rsidRPr="00895819">
              <w:rPr>
                <w:sz w:val="22"/>
                <w:lang w:val="sr-Cyrl-CS"/>
              </w:rPr>
              <w:t>.</w:t>
            </w:r>
          </w:p>
        </w:tc>
        <w:tc>
          <w:tcPr>
            <w:tcW w:w="2693" w:type="dxa"/>
            <w:vAlign w:val="center"/>
          </w:tcPr>
          <w:p w14:paraId="33A63CFA" w14:textId="77777777" w:rsidR="00B16F8D" w:rsidRPr="00895819" w:rsidRDefault="00B16F8D" w:rsidP="00485361">
            <w:pPr>
              <w:spacing w:before="120" w:after="120"/>
              <w:jc w:val="center"/>
              <w:rPr>
                <w:sz w:val="22"/>
                <w:lang w:val="sr-Cyrl-CS"/>
              </w:rPr>
            </w:pPr>
            <w:r w:rsidRPr="00895819">
              <w:rPr>
                <w:sz w:val="22"/>
                <w:lang w:val="sr-Cyrl-CS"/>
              </w:rPr>
              <w:t>4</w:t>
            </w:r>
            <w:r w:rsidR="00D62EAB" w:rsidRPr="00895819">
              <w:rPr>
                <w:sz w:val="22"/>
                <w:lang w:val="sr-Cyrl-CS"/>
              </w:rPr>
              <w:t>,</w:t>
            </w:r>
            <w:r w:rsidRPr="00895819">
              <w:rPr>
                <w:sz w:val="22"/>
                <w:lang w:val="sr-Cyrl-CS"/>
              </w:rPr>
              <w:t xml:space="preserve">0 </w:t>
            </w:r>
            <w:r w:rsidR="000D7E23" w:rsidRPr="00895819">
              <w:rPr>
                <w:sz w:val="22"/>
                <w:lang w:val="sr-Cyrl-CS"/>
              </w:rPr>
              <w:t>мил. ЕУР</w:t>
            </w:r>
          </w:p>
        </w:tc>
        <w:tc>
          <w:tcPr>
            <w:tcW w:w="3260" w:type="dxa"/>
            <w:vAlign w:val="center"/>
          </w:tcPr>
          <w:p w14:paraId="0B7E1B8A" w14:textId="77777777" w:rsidR="00B16F8D" w:rsidRPr="00895819" w:rsidRDefault="000D7E23" w:rsidP="00485361">
            <w:pPr>
              <w:spacing w:before="120" w:after="120"/>
              <w:jc w:val="center"/>
              <w:rPr>
                <w:sz w:val="22"/>
                <w:lang w:val="sr-Cyrl-CS"/>
              </w:rPr>
            </w:pPr>
            <w:r w:rsidRPr="00895819">
              <w:rPr>
                <w:sz w:val="22"/>
                <w:lang w:val="sr-Cyrl-CS"/>
              </w:rPr>
              <w:t>Када се постигне</w:t>
            </w:r>
          </w:p>
        </w:tc>
      </w:tr>
      <w:tr w:rsidR="00B16F8D" w:rsidRPr="00895819" w14:paraId="22A14295" w14:textId="77777777" w:rsidTr="00485361">
        <w:tc>
          <w:tcPr>
            <w:tcW w:w="1171" w:type="dxa"/>
            <w:vAlign w:val="center"/>
          </w:tcPr>
          <w:p w14:paraId="2FF89E35" w14:textId="77777777" w:rsidR="00B16F8D" w:rsidRPr="00895819" w:rsidRDefault="00B16F8D" w:rsidP="00485361">
            <w:pPr>
              <w:spacing w:before="120" w:after="120"/>
              <w:rPr>
                <w:sz w:val="22"/>
                <w:lang w:val="sr-Cyrl-CS"/>
              </w:rPr>
            </w:pPr>
            <w:r w:rsidRPr="00895819">
              <w:rPr>
                <w:sz w:val="22"/>
                <w:lang w:val="sr-Cyrl-CS"/>
              </w:rPr>
              <w:t>2025</w:t>
            </w:r>
          </w:p>
        </w:tc>
        <w:tc>
          <w:tcPr>
            <w:tcW w:w="8180" w:type="dxa"/>
          </w:tcPr>
          <w:p w14:paraId="6FDA2002" w14:textId="2F708835" w:rsidR="00B16F8D" w:rsidRPr="00895819" w:rsidRDefault="00C97E62" w:rsidP="00533468">
            <w:pPr>
              <w:spacing w:before="120" w:after="120"/>
              <w:rPr>
                <w:sz w:val="22"/>
                <w:lang w:val="sr-Cyrl-CS"/>
              </w:rPr>
            </w:pPr>
            <w:r w:rsidRPr="00895819">
              <w:rPr>
                <w:b/>
                <w:sz w:val="22"/>
                <w:lang w:val="sr-Cyrl-CS"/>
              </w:rPr>
              <w:t>ДЛР</w:t>
            </w:r>
            <w:r w:rsidR="00B16F8D" w:rsidRPr="00895819">
              <w:rPr>
                <w:b/>
                <w:sz w:val="22"/>
                <w:lang w:val="sr-Cyrl-CS"/>
              </w:rPr>
              <w:t xml:space="preserve"> 7.2. </w:t>
            </w:r>
            <w:r w:rsidRPr="00895819">
              <w:rPr>
                <w:bCs/>
                <w:sz w:val="22"/>
                <w:lang w:val="sr-Cyrl-CS"/>
              </w:rPr>
              <w:t>Одељак о фискалним ризицима</w:t>
            </w:r>
            <w:r w:rsidRPr="00895819">
              <w:rPr>
                <w:b/>
                <w:sz w:val="22"/>
                <w:lang w:val="sr-Cyrl-CS"/>
              </w:rPr>
              <w:t xml:space="preserve"> </w:t>
            </w:r>
            <w:r w:rsidRPr="00895819">
              <w:rPr>
                <w:bCs/>
                <w:sz w:val="22"/>
                <w:lang w:val="sr-Cyrl-CS"/>
              </w:rPr>
              <w:t xml:space="preserve">у Фискална стратегија Зајмопримац за период 2026-2028. </w:t>
            </w:r>
            <w:r w:rsidR="00137601" w:rsidRPr="00895819">
              <w:rPr>
                <w:bCs/>
                <w:sz w:val="22"/>
                <w:lang w:val="sr-Cyrl-CS"/>
              </w:rPr>
              <w:t xml:space="preserve">године </w:t>
            </w:r>
            <w:r w:rsidRPr="00895819">
              <w:rPr>
                <w:bCs/>
                <w:sz w:val="22"/>
                <w:lang w:val="sr-Cyrl-CS"/>
              </w:rPr>
              <w:t>садржи поглавље о природним непогодама, укључујући и климатски изазване природне непогоде (као што су поплаве)</w:t>
            </w:r>
            <w:r w:rsidR="00533468" w:rsidRPr="00895819">
              <w:rPr>
                <w:sz w:val="22"/>
                <w:lang w:val="sr-Cyrl-CS"/>
              </w:rPr>
              <w:t>.</w:t>
            </w:r>
          </w:p>
        </w:tc>
        <w:tc>
          <w:tcPr>
            <w:tcW w:w="2693" w:type="dxa"/>
            <w:vAlign w:val="center"/>
          </w:tcPr>
          <w:p w14:paraId="1E0AD4E1" w14:textId="77777777" w:rsidR="00B16F8D" w:rsidRPr="00895819" w:rsidRDefault="00B16F8D" w:rsidP="00485361">
            <w:pPr>
              <w:spacing w:before="120" w:after="120"/>
              <w:jc w:val="center"/>
              <w:rPr>
                <w:sz w:val="22"/>
                <w:lang w:val="sr-Cyrl-CS"/>
              </w:rPr>
            </w:pPr>
            <w:r w:rsidRPr="00895819">
              <w:rPr>
                <w:sz w:val="22"/>
                <w:lang w:val="sr-Cyrl-CS"/>
              </w:rPr>
              <w:t>2</w:t>
            </w:r>
            <w:r w:rsidR="00D62EAB" w:rsidRPr="00895819">
              <w:rPr>
                <w:sz w:val="22"/>
                <w:lang w:val="sr-Cyrl-CS"/>
              </w:rPr>
              <w:t>,</w:t>
            </w:r>
            <w:r w:rsidRPr="00895819">
              <w:rPr>
                <w:sz w:val="22"/>
                <w:lang w:val="sr-Cyrl-CS"/>
              </w:rPr>
              <w:t xml:space="preserve">0 </w:t>
            </w:r>
            <w:r w:rsidR="000D7E23" w:rsidRPr="00895819">
              <w:rPr>
                <w:sz w:val="22"/>
                <w:lang w:val="sr-Cyrl-CS"/>
              </w:rPr>
              <w:t>мил. ЕУР</w:t>
            </w:r>
          </w:p>
        </w:tc>
        <w:tc>
          <w:tcPr>
            <w:tcW w:w="3260" w:type="dxa"/>
            <w:vAlign w:val="center"/>
          </w:tcPr>
          <w:p w14:paraId="209581CC" w14:textId="77777777" w:rsidR="00B16F8D" w:rsidRPr="00895819" w:rsidRDefault="000D7E23" w:rsidP="00485361">
            <w:pPr>
              <w:spacing w:before="120" w:after="120"/>
              <w:jc w:val="center"/>
              <w:rPr>
                <w:sz w:val="22"/>
                <w:lang w:val="sr-Cyrl-CS"/>
              </w:rPr>
            </w:pPr>
            <w:r w:rsidRPr="00895819">
              <w:rPr>
                <w:sz w:val="22"/>
                <w:lang w:val="sr-Cyrl-CS"/>
              </w:rPr>
              <w:t>Када се постигне</w:t>
            </w:r>
          </w:p>
        </w:tc>
      </w:tr>
      <w:tr w:rsidR="00B16F8D" w:rsidRPr="00895819" w14:paraId="1C74BB13" w14:textId="77777777" w:rsidTr="00485361">
        <w:tc>
          <w:tcPr>
            <w:tcW w:w="1171" w:type="dxa"/>
            <w:vAlign w:val="center"/>
          </w:tcPr>
          <w:p w14:paraId="1F840EF2" w14:textId="77777777" w:rsidR="00B16F8D" w:rsidRPr="00895819" w:rsidRDefault="00B16F8D" w:rsidP="00485361">
            <w:pPr>
              <w:spacing w:before="120" w:after="120"/>
              <w:rPr>
                <w:sz w:val="22"/>
                <w:lang w:val="sr-Cyrl-CS"/>
              </w:rPr>
            </w:pPr>
            <w:r w:rsidRPr="00895819">
              <w:rPr>
                <w:sz w:val="22"/>
                <w:lang w:val="sr-Cyrl-CS"/>
              </w:rPr>
              <w:t>2026</w:t>
            </w:r>
          </w:p>
        </w:tc>
        <w:tc>
          <w:tcPr>
            <w:tcW w:w="8180" w:type="dxa"/>
          </w:tcPr>
          <w:p w14:paraId="283E11F6" w14:textId="669C9AB0" w:rsidR="00B16F8D" w:rsidRPr="00895819" w:rsidRDefault="00C97E62" w:rsidP="00485361">
            <w:pPr>
              <w:spacing w:before="120" w:after="120"/>
              <w:rPr>
                <w:sz w:val="22"/>
                <w:lang w:val="sr-Cyrl-CS"/>
              </w:rPr>
            </w:pPr>
            <w:r w:rsidRPr="00895819">
              <w:rPr>
                <w:b/>
                <w:sz w:val="22"/>
                <w:lang w:val="sr-Cyrl-CS"/>
              </w:rPr>
              <w:t>ДЛР</w:t>
            </w:r>
            <w:r w:rsidR="00B16F8D" w:rsidRPr="00895819">
              <w:rPr>
                <w:b/>
                <w:sz w:val="22"/>
                <w:lang w:val="sr-Cyrl-CS"/>
              </w:rPr>
              <w:t xml:space="preserve"> 7.3. </w:t>
            </w:r>
            <w:r w:rsidRPr="00895819">
              <w:rPr>
                <w:bCs/>
                <w:sz w:val="22"/>
                <w:lang w:val="sr-Cyrl-CS"/>
              </w:rPr>
              <w:t xml:space="preserve">Зајмопримац објављује Фискалну стратегију за период </w:t>
            </w:r>
            <w:r w:rsidR="00D71966" w:rsidRPr="00895819">
              <w:rPr>
                <w:sz w:val="22"/>
                <w:lang w:val="sr-Cyrl-CS"/>
              </w:rPr>
              <w:t>2027-2029</w:t>
            </w:r>
            <w:r w:rsidRPr="00895819">
              <w:rPr>
                <w:sz w:val="22"/>
                <w:lang w:val="sr-Cyrl-CS"/>
              </w:rPr>
              <w:t>.</w:t>
            </w:r>
            <w:r w:rsidR="00137601" w:rsidRPr="00895819">
              <w:rPr>
                <w:sz w:val="22"/>
                <w:lang w:val="sr-Cyrl-CS"/>
              </w:rPr>
              <w:t xml:space="preserve"> годину</w:t>
            </w:r>
            <w:r w:rsidRPr="00895819">
              <w:rPr>
                <w:sz w:val="22"/>
                <w:lang w:val="sr-Cyrl-CS"/>
              </w:rPr>
              <w:t xml:space="preserve"> и усва</w:t>
            </w:r>
            <w:r w:rsidR="00844134" w:rsidRPr="00895819">
              <w:rPr>
                <w:sz w:val="22"/>
                <w:lang w:val="sr-Cyrl-CS"/>
              </w:rPr>
              <w:t>ј</w:t>
            </w:r>
            <w:r w:rsidRPr="00895819">
              <w:rPr>
                <w:sz w:val="22"/>
                <w:lang w:val="sr-Cyrl-CS"/>
              </w:rPr>
              <w:t xml:space="preserve">а годишњи буџет за </w:t>
            </w:r>
            <w:r w:rsidR="00D71966" w:rsidRPr="00895819">
              <w:rPr>
                <w:sz w:val="22"/>
                <w:lang w:val="sr-Cyrl-CS"/>
              </w:rPr>
              <w:t>2027</w:t>
            </w:r>
            <w:r w:rsidRPr="00895819">
              <w:rPr>
                <w:sz w:val="22"/>
                <w:lang w:val="sr-Cyrl-CS"/>
              </w:rPr>
              <w:t>. годину и</w:t>
            </w:r>
            <w:r w:rsidR="00D71966" w:rsidRPr="00895819">
              <w:rPr>
                <w:sz w:val="22"/>
                <w:lang w:val="sr-Cyrl-CS"/>
              </w:rPr>
              <w:t xml:space="preserve"> (i) </w:t>
            </w:r>
            <w:r w:rsidRPr="00895819">
              <w:rPr>
                <w:sz w:val="22"/>
                <w:lang w:val="sr-Cyrl-CS"/>
              </w:rPr>
              <w:t>утврђује квантификоване потенцијалне фискалне ризике</w:t>
            </w:r>
            <w:r w:rsidR="00D71966" w:rsidRPr="00895819">
              <w:rPr>
                <w:sz w:val="22"/>
                <w:lang w:val="sr-Cyrl-CS"/>
              </w:rPr>
              <w:t xml:space="preserve">; </w:t>
            </w:r>
            <w:r w:rsidRPr="00895819">
              <w:rPr>
                <w:sz w:val="22"/>
                <w:lang w:val="sr-Cyrl-CS"/>
              </w:rPr>
              <w:t>и</w:t>
            </w:r>
            <w:r w:rsidR="00D71966" w:rsidRPr="00895819">
              <w:rPr>
                <w:sz w:val="22"/>
                <w:lang w:val="sr-Cyrl-CS"/>
              </w:rPr>
              <w:t xml:space="preserve"> (ii)</w:t>
            </w:r>
            <w:r w:rsidR="00844134" w:rsidRPr="00895819">
              <w:rPr>
                <w:sz w:val="22"/>
                <w:lang w:val="sr-Cyrl-CS"/>
              </w:rPr>
              <w:t xml:space="preserve"> </w:t>
            </w:r>
            <w:r w:rsidRPr="00895819">
              <w:rPr>
                <w:sz w:val="22"/>
                <w:lang w:val="sr-Cyrl-CS"/>
              </w:rPr>
              <w:t>у наративном делу годишњег буџета, наводи фискална прилагођавања потребна у случају материјализације фискалних ризика</w:t>
            </w:r>
            <w:r w:rsidR="00D71966" w:rsidRPr="00895819">
              <w:rPr>
                <w:sz w:val="22"/>
                <w:lang w:val="sr-Cyrl-CS"/>
              </w:rPr>
              <w:t xml:space="preserve"> (</w:t>
            </w:r>
            <w:r w:rsidRPr="00895819">
              <w:rPr>
                <w:sz w:val="22"/>
                <w:lang w:val="sr-Cyrl-CS"/>
              </w:rPr>
              <w:t>као што је коришћење резе</w:t>
            </w:r>
            <w:r w:rsidR="00137601" w:rsidRPr="00895819">
              <w:rPr>
                <w:sz w:val="22"/>
                <w:lang w:val="sr-Cyrl-CS"/>
              </w:rPr>
              <w:t>рвни, буџетске реалокације</w:t>
            </w:r>
            <w:r w:rsidR="00D71966" w:rsidRPr="00895819">
              <w:rPr>
                <w:sz w:val="22"/>
                <w:lang w:val="sr-Cyrl-CS"/>
              </w:rPr>
              <w:t>).</w:t>
            </w:r>
          </w:p>
        </w:tc>
        <w:tc>
          <w:tcPr>
            <w:tcW w:w="2693" w:type="dxa"/>
            <w:vAlign w:val="center"/>
          </w:tcPr>
          <w:p w14:paraId="7043DF1C" w14:textId="77777777" w:rsidR="00B16F8D" w:rsidRPr="00895819" w:rsidRDefault="00B16F8D" w:rsidP="00485361">
            <w:pPr>
              <w:spacing w:before="120" w:after="120"/>
              <w:jc w:val="center"/>
              <w:rPr>
                <w:sz w:val="22"/>
                <w:lang w:val="sr-Cyrl-CS"/>
              </w:rPr>
            </w:pPr>
            <w:r w:rsidRPr="00895819">
              <w:rPr>
                <w:sz w:val="22"/>
                <w:lang w:val="sr-Cyrl-CS"/>
              </w:rPr>
              <w:t>2</w:t>
            </w:r>
            <w:r w:rsidR="00D62EAB" w:rsidRPr="00895819">
              <w:rPr>
                <w:sz w:val="22"/>
                <w:lang w:val="sr-Cyrl-CS"/>
              </w:rPr>
              <w:t>,</w:t>
            </w:r>
            <w:r w:rsidRPr="00895819">
              <w:rPr>
                <w:sz w:val="22"/>
                <w:lang w:val="sr-Cyrl-CS"/>
              </w:rPr>
              <w:t xml:space="preserve">0 </w:t>
            </w:r>
            <w:r w:rsidR="000D7E23" w:rsidRPr="00895819">
              <w:rPr>
                <w:sz w:val="22"/>
                <w:lang w:val="sr-Cyrl-CS"/>
              </w:rPr>
              <w:t>мил. ЕУР</w:t>
            </w:r>
          </w:p>
        </w:tc>
        <w:tc>
          <w:tcPr>
            <w:tcW w:w="3260" w:type="dxa"/>
            <w:vAlign w:val="center"/>
          </w:tcPr>
          <w:p w14:paraId="76D31FB8" w14:textId="77777777" w:rsidR="00B16F8D" w:rsidRPr="00895819" w:rsidRDefault="000D7E23" w:rsidP="00485361">
            <w:pPr>
              <w:spacing w:before="120" w:after="120"/>
              <w:jc w:val="center"/>
              <w:rPr>
                <w:sz w:val="22"/>
                <w:lang w:val="sr-Cyrl-CS"/>
              </w:rPr>
            </w:pPr>
            <w:r w:rsidRPr="00895819">
              <w:rPr>
                <w:sz w:val="22"/>
                <w:lang w:val="sr-Cyrl-CS"/>
              </w:rPr>
              <w:t>Када се постигне</w:t>
            </w:r>
          </w:p>
        </w:tc>
      </w:tr>
    </w:tbl>
    <w:p w14:paraId="45398AAA" w14:textId="77777777" w:rsidR="00B16F8D" w:rsidRPr="00895819" w:rsidRDefault="00B16F8D" w:rsidP="00B16F8D">
      <w:pPr>
        <w:pStyle w:val="BodyText"/>
        <w:jc w:val="left"/>
        <w:rPr>
          <w:rFonts w:cs="Times New Roman"/>
          <w:b/>
          <w:iCs/>
          <w:color w:val="000000"/>
          <w:lang w:val="sr-Cyrl-CS"/>
        </w:rPr>
      </w:pPr>
      <w:r w:rsidRPr="00895819">
        <w:rPr>
          <w:rFonts w:cs="Times New Roman"/>
          <w:b/>
          <w:iCs/>
          <w:color w:val="000000"/>
          <w:lang w:val="sr-Cyrl-CS"/>
        </w:rPr>
        <w:br w:type="page"/>
      </w:r>
    </w:p>
    <w:tbl>
      <w:tblPr>
        <w:tblStyle w:val="TableGrid"/>
        <w:tblW w:w="0" w:type="auto"/>
        <w:tblLook w:val="04A0" w:firstRow="1" w:lastRow="0" w:firstColumn="1" w:lastColumn="0" w:noHBand="0" w:noVBand="1"/>
      </w:tblPr>
      <w:tblGrid>
        <w:gridCol w:w="1171"/>
        <w:gridCol w:w="8180"/>
        <w:gridCol w:w="2551"/>
        <w:gridCol w:w="3261"/>
      </w:tblGrid>
      <w:tr w:rsidR="00B16F8D" w:rsidRPr="00895819" w14:paraId="72886ABA" w14:textId="77777777" w:rsidTr="00485361">
        <w:tc>
          <w:tcPr>
            <w:tcW w:w="15163" w:type="dxa"/>
            <w:gridSpan w:val="4"/>
            <w:shd w:val="clear" w:color="auto" w:fill="002060"/>
            <w:vAlign w:val="center"/>
          </w:tcPr>
          <w:p w14:paraId="4B896F87" w14:textId="77777777" w:rsidR="00B16F8D" w:rsidRPr="00895819" w:rsidRDefault="00844134" w:rsidP="00485361">
            <w:pPr>
              <w:spacing w:before="120" w:after="120"/>
              <w:jc w:val="center"/>
              <w:rPr>
                <w:sz w:val="22"/>
                <w:lang w:val="sr-Cyrl-CS"/>
              </w:rPr>
            </w:pPr>
            <w:r w:rsidRPr="00895819">
              <w:rPr>
                <w:sz w:val="22"/>
                <w:lang w:val="sr-Cyrl-CS"/>
              </w:rPr>
              <w:lastRenderedPageBreak/>
              <w:t>ДЛИ</w:t>
            </w:r>
            <w:r w:rsidR="00B16F8D" w:rsidRPr="00895819">
              <w:rPr>
                <w:sz w:val="22"/>
                <w:lang w:val="sr-Cyrl-CS"/>
              </w:rPr>
              <w:t xml:space="preserve">.8 – </w:t>
            </w:r>
            <w:r w:rsidRPr="00895819">
              <w:rPr>
                <w:sz w:val="22"/>
                <w:lang w:val="sr-Cyrl-CS"/>
              </w:rPr>
              <w:t>Операционализација система МРВ за емисије гаса са ефектом стаклене баште</w:t>
            </w:r>
          </w:p>
        </w:tc>
      </w:tr>
      <w:tr w:rsidR="00D62EAB" w:rsidRPr="00895819" w14:paraId="3CFE7191" w14:textId="77777777" w:rsidTr="00485361">
        <w:tc>
          <w:tcPr>
            <w:tcW w:w="1171" w:type="dxa"/>
            <w:shd w:val="clear" w:color="auto" w:fill="002060"/>
            <w:vAlign w:val="center"/>
          </w:tcPr>
          <w:p w14:paraId="767355DB" w14:textId="77777777" w:rsidR="00D62EAB" w:rsidRPr="00895819" w:rsidRDefault="00D62EAB" w:rsidP="00D62EAB">
            <w:pPr>
              <w:spacing w:before="120" w:after="120"/>
              <w:jc w:val="center"/>
              <w:rPr>
                <w:sz w:val="22"/>
                <w:lang w:val="sr-Cyrl-CS"/>
              </w:rPr>
            </w:pPr>
            <w:r w:rsidRPr="00895819">
              <w:rPr>
                <w:sz w:val="22"/>
                <w:lang w:val="sr-Cyrl-CS"/>
              </w:rPr>
              <w:t>Период</w:t>
            </w:r>
          </w:p>
        </w:tc>
        <w:tc>
          <w:tcPr>
            <w:tcW w:w="8180" w:type="dxa"/>
            <w:shd w:val="clear" w:color="auto" w:fill="002060"/>
            <w:vAlign w:val="center"/>
          </w:tcPr>
          <w:p w14:paraId="41B1AF2A" w14:textId="77777777" w:rsidR="00D62EAB" w:rsidRPr="00895819" w:rsidRDefault="00D62EAB" w:rsidP="00D62EAB">
            <w:pPr>
              <w:spacing w:before="120" w:after="120"/>
              <w:jc w:val="center"/>
              <w:rPr>
                <w:sz w:val="22"/>
                <w:lang w:val="sr-Cyrl-CS"/>
              </w:rPr>
            </w:pPr>
            <w:r w:rsidRPr="00895819">
              <w:rPr>
                <w:sz w:val="22"/>
                <w:lang w:val="sr-Cyrl-CS"/>
              </w:rPr>
              <w:t>Вредност</w:t>
            </w:r>
          </w:p>
        </w:tc>
        <w:tc>
          <w:tcPr>
            <w:tcW w:w="2551" w:type="dxa"/>
            <w:shd w:val="clear" w:color="auto" w:fill="002060"/>
          </w:tcPr>
          <w:p w14:paraId="5899BACB" w14:textId="77777777" w:rsidR="00D62EAB" w:rsidRPr="00895819" w:rsidRDefault="00D62EAB" w:rsidP="00D62EAB">
            <w:pPr>
              <w:spacing w:before="120" w:after="120"/>
              <w:jc w:val="center"/>
              <w:rPr>
                <w:sz w:val="22"/>
                <w:lang w:val="sr-Cyrl-CS"/>
              </w:rPr>
            </w:pPr>
            <w:r w:rsidRPr="00895819">
              <w:rPr>
                <w:sz w:val="22"/>
                <w:lang w:val="sr-Cyrl-CS"/>
              </w:rPr>
              <w:t>Износ који обезбеђује АФД</w:t>
            </w:r>
          </w:p>
        </w:tc>
        <w:tc>
          <w:tcPr>
            <w:tcW w:w="3261" w:type="dxa"/>
            <w:shd w:val="clear" w:color="auto" w:fill="002060"/>
            <w:vAlign w:val="center"/>
          </w:tcPr>
          <w:p w14:paraId="1C9FE41A" w14:textId="77777777" w:rsidR="00D62EAB" w:rsidRPr="00895819" w:rsidRDefault="00D62EAB" w:rsidP="00D62EAB">
            <w:pPr>
              <w:spacing w:before="120" w:after="120"/>
              <w:jc w:val="center"/>
              <w:rPr>
                <w:sz w:val="22"/>
                <w:lang w:val="sr-Cyrl-CS"/>
              </w:rPr>
            </w:pPr>
            <w:r w:rsidRPr="00895819">
              <w:rPr>
                <w:sz w:val="22"/>
                <w:lang w:val="sr-Cyrl-CS"/>
              </w:rPr>
              <w:t>Формула за алокацију</w:t>
            </w:r>
          </w:p>
        </w:tc>
      </w:tr>
      <w:tr w:rsidR="00B16F8D" w:rsidRPr="00895819" w14:paraId="6F3D28C7" w14:textId="77777777" w:rsidTr="00485361">
        <w:tc>
          <w:tcPr>
            <w:tcW w:w="1171" w:type="dxa"/>
            <w:vAlign w:val="center"/>
          </w:tcPr>
          <w:p w14:paraId="0857A364" w14:textId="77777777" w:rsidR="00B16F8D" w:rsidRPr="00895819" w:rsidRDefault="00D62EAB" w:rsidP="00485361">
            <w:pPr>
              <w:spacing w:before="120" w:after="120"/>
              <w:rPr>
                <w:sz w:val="22"/>
                <w:lang w:val="sr-Cyrl-CS"/>
              </w:rPr>
            </w:pPr>
            <w:r w:rsidRPr="00895819">
              <w:rPr>
                <w:sz w:val="22"/>
                <w:lang w:val="sr-Cyrl-CS"/>
              </w:rPr>
              <w:t>Полазна основа</w:t>
            </w:r>
          </w:p>
        </w:tc>
        <w:tc>
          <w:tcPr>
            <w:tcW w:w="13992" w:type="dxa"/>
            <w:gridSpan w:val="3"/>
          </w:tcPr>
          <w:p w14:paraId="2523F365" w14:textId="77777777" w:rsidR="00B16F8D" w:rsidRPr="00895819" w:rsidRDefault="00D62EAB" w:rsidP="00485361">
            <w:pPr>
              <w:spacing w:before="120" w:after="120"/>
              <w:rPr>
                <w:sz w:val="22"/>
                <w:lang w:val="sr-Cyrl-CS"/>
              </w:rPr>
            </w:pPr>
            <w:r w:rsidRPr="00895819">
              <w:rPr>
                <w:sz w:val="22"/>
                <w:lang w:val="sr-Cyrl-CS"/>
              </w:rPr>
              <w:t>Закон о климатским променама усвојен 2020. године утврђује глобалну архитектуру система МРВ у Србији. Међутим, МРВ систем још увек није у функцији. МРВ за индустријска постројења није почео и Србија након 2014. године није објавила податке о гасу са ефектом стаклене баште</w:t>
            </w:r>
            <w:r w:rsidR="00B16F8D" w:rsidRPr="00895819">
              <w:rPr>
                <w:sz w:val="22"/>
                <w:lang w:val="sr-Cyrl-CS"/>
              </w:rPr>
              <w:t>.</w:t>
            </w:r>
          </w:p>
        </w:tc>
      </w:tr>
      <w:tr w:rsidR="00B16F8D" w:rsidRPr="00895819" w14:paraId="51CC5C83" w14:textId="77777777" w:rsidTr="00485361">
        <w:tc>
          <w:tcPr>
            <w:tcW w:w="1171" w:type="dxa"/>
            <w:vAlign w:val="center"/>
          </w:tcPr>
          <w:p w14:paraId="18525840" w14:textId="77777777" w:rsidR="00B16F8D" w:rsidRPr="00895819" w:rsidRDefault="00B16F8D" w:rsidP="00485361">
            <w:pPr>
              <w:spacing w:before="120" w:after="120"/>
              <w:rPr>
                <w:sz w:val="22"/>
                <w:lang w:val="sr-Cyrl-CS"/>
              </w:rPr>
            </w:pPr>
            <w:r w:rsidRPr="00895819">
              <w:rPr>
                <w:sz w:val="22"/>
                <w:lang w:val="sr-Cyrl-CS"/>
              </w:rPr>
              <w:t>2023</w:t>
            </w:r>
          </w:p>
        </w:tc>
        <w:tc>
          <w:tcPr>
            <w:tcW w:w="8180" w:type="dxa"/>
          </w:tcPr>
          <w:p w14:paraId="2A104FC4" w14:textId="77777777" w:rsidR="00B16F8D" w:rsidRPr="00895819" w:rsidRDefault="00D62EAB" w:rsidP="00485361">
            <w:pPr>
              <w:spacing w:before="120" w:after="120"/>
              <w:rPr>
                <w:sz w:val="22"/>
                <w:lang w:val="sr-Cyrl-CS"/>
              </w:rPr>
            </w:pPr>
            <w:r w:rsidRPr="00895819">
              <w:rPr>
                <w:b/>
                <w:sz w:val="22"/>
                <w:lang w:val="sr-Cyrl-CS"/>
              </w:rPr>
              <w:t>ИРИ</w:t>
            </w:r>
            <w:r w:rsidR="00B16F8D" w:rsidRPr="00895819">
              <w:rPr>
                <w:b/>
                <w:sz w:val="22"/>
                <w:lang w:val="sr-Cyrl-CS"/>
              </w:rPr>
              <w:t xml:space="preserve">. </w:t>
            </w:r>
            <w:r w:rsidRPr="00895819">
              <w:rPr>
                <w:bCs/>
                <w:sz w:val="22"/>
                <w:lang w:val="sr-Cyrl-CS"/>
              </w:rPr>
              <w:t xml:space="preserve">Усвојена су подзаконска акта о МРВ систему националних емисија и емисија постројења </w:t>
            </w:r>
            <w:r w:rsidRPr="00895819">
              <w:rPr>
                <w:sz w:val="22"/>
                <w:lang w:val="sr-Cyrl-CS"/>
              </w:rPr>
              <w:t>и МЗЖС и СЕПА имају адекватне људске ресурсе за потребе имплементације</w:t>
            </w:r>
            <w:r w:rsidR="00B16F8D" w:rsidRPr="00895819">
              <w:rPr>
                <w:sz w:val="22"/>
                <w:lang w:val="sr-Cyrl-CS"/>
              </w:rPr>
              <w:t xml:space="preserve">. </w:t>
            </w:r>
          </w:p>
        </w:tc>
        <w:tc>
          <w:tcPr>
            <w:tcW w:w="2551" w:type="dxa"/>
            <w:vAlign w:val="center"/>
          </w:tcPr>
          <w:p w14:paraId="4ED0D4BD" w14:textId="77777777" w:rsidR="00B16F8D" w:rsidRPr="00895819" w:rsidRDefault="00B16F8D" w:rsidP="00485361">
            <w:pPr>
              <w:spacing w:before="120" w:after="120"/>
              <w:jc w:val="center"/>
              <w:rPr>
                <w:sz w:val="22"/>
                <w:lang w:val="sr-Cyrl-CS"/>
              </w:rPr>
            </w:pPr>
            <w:r w:rsidRPr="00895819">
              <w:rPr>
                <w:sz w:val="22"/>
                <w:lang w:val="sr-Cyrl-CS"/>
              </w:rPr>
              <w:t>-</w:t>
            </w:r>
          </w:p>
        </w:tc>
        <w:tc>
          <w:tcPr>
            <w:tcW w:w="3261" w:type="dxa"/>
            <w:vAlign w:val="center"/>
          </w:tcPr>
          <w:p w14:paraId="3C7E3BE4" w14:textId="77777777" w:rsidR="00B16F8D" w:rsidRPr="00895819" w:rsidRDefault="00D62EAB" w:rsidP="00485361">
            <w:pPr>
              <w:spacing w:before="120" w:after="120"/>
              <w:jc w:val="center"/>
              <w:rPr>
                <w:sz w:val="22"/>
                <w:lang w:val="sr-Cyrl-CS"/>
              </w:rPr>
            </w:pPr>
            <w:r w:rsidRPr="00895819">
              <w:rPr>
                <w:sz w:val="22"/>
                <w:lang w:val="sr-Cyrl-CS"/>
              </w:rPr>
              <w:t>Само праћење</w:t>
            </w:r>
          </w:p>
        </w:tc>
      </w:tr>
      <w:tr w:rsidR="00B16F8D" w:rsidRPr="00895819" w14:paraId="625FDC39" w14:textId="77777777" w:rsidTr="00485361">
        <w:tc>
          <w:tcPr>
            <w:tcW w:w="1171" w:type="dxa"/>
            <w:vAlign w:val="center"/>
          </w:tcPr>
          <w:p w14:paraId="280600C2" w14:textId="77777777" w:rsidR="00B16F8D" w:rsidRPr="00895819" w:rsidRDefault="00B16F8D" w:rsidP="00485361">
            <w:pPr>
              <w:spacing w:before="120" w:after="120"/>
              <w:rPr>
                <w:sz w:val="22"/>
                <w:lang w:val="sr-Cyrl-CS"/>
              </w:rPr>
            </w:pPr>
            <w:r w:rsidRPr="00895819">
              <w:rPr>
                <w:sz w:val="22"/>
                <w:lang w:val="sr-Cyrl-CS"/>
              </w:rPr>
              <w:t>2024</w:t>
            </w:r>
          </w:p>
        </w:tc>
        <w:tc>
          <w:tcPr>
            <w:tcW w:w="8180" w:type="dxa"/>
          </w:tcPr>
          <w:p w14:paraId="0957CCED" w14:textId="2201BF6B" w:rsidR="00B16F8D" w:rsidRPr="00895819" w:rsidRDefault="00D62EAB" w:rsidP="00D71966">
            <w:pPr>
              <w:spacing w:before="120" w:after="120"/>
              <w:rPr>
                <w:sz w:val="22"/>
                <w:lang w:val="sr-Cyrl-CS"/>
              </w:rPr>
            </w:pPr>
            <w:r w:rsidRPr="00895819">
              <w:rPr>
                <w:b/>
                <w:sz w:val="22"/>
                <w:lang w:val="sr-Cyrl-CS"/>
              </w:rPr>
              <w:t>ДЛР</w:t>
            </w:r>
            <w:r w:rsidR="00B16F8D" w:rsidRPr="00895819">
              <w:rPr>
                <w:b/>
                <w:sz w:val="22"/>
                <w:lang w:val="sr-Cyrl-CS"/>
              </w:rPr>
              <w:t xml:space="preserve"> 8.1. </w:t>
            </w:r>
            <w:r w:rsidRPr="00895819">
              <w:rPr>
                <w:bCs/>
                <w:sz w:val="22"/>
                <w:lang w:val="sr-Cyrl-CS"/>
              </w:rPr>
              <w:t xml:space="preserve">СЕПА објављује годишњи извештај, укључујући и национални инвентар </w:t>
            </w:r>
            <w:r w:rsidR="007A6BE0" w:rsidRPr="00895819">
              <w:rPr>
                <w:lang w:val="sr-Cyrl-CS"/>
              </w:rPr>
              <w:t>GHG</w:t>
            </w:r>
            <w:r w:rsidRPr="00895819">
              <w:rPr>
                <w:bCs/>
                <w:sz w:val="22"/>
                <w:lang w:val="sr-Cyrl-CS"/>
              </w:rPr>
              <w:t>, који обухвата минимум седам гасова који су уврштени у НДЦ, у складу са Законом о климатским променама и релевантним подзаконским актима</w:t>
            </w:r>
            <w:r w:rsidR="00D71966" w:rsidRPr="00895819">
              <w:rPr>
                <w:sz w:val="22"/>
                <w:lang w:val="sr-Cyrl-CS"/>
              </w:rPr>
              <w:t>.</w:t>
            </w:r>
          </w:p>
        </w:tc>
        <w:tc>
          <w:tcPr>
            <w:tcW w:w="2551" w:type="dxa"/>
            <w:vAlign w:val="center"/>
          </w:tcPr>
          <w:p w14:paraId="085D474A" w14:textId="4992DE3E" w:rsidR="00B16F8D" w:rsidRPr="00895819" w:rsidRDefault="00F3744B" w:rsidP="00485361">
            <w:pPr>
              <w:spacing w:before="120" w:after="120"/>
              <w:jc w:val="center"/>
              <w:rPr>
                <w:sz w:val="22"/>
                <w:lang w:val="sr-Cyrl-CS"/>
              </w:rPr>
            </w:pPr>
            <w:r w:rsidRPr="00895819">
              <w:rPr>
                <w:sz w:val="22"/>
                <w:lang w:val="sr-Cyrl-CS"/>
              </w:rPr>
              <w:t>4</w:t>
            </w:r>
            <w:r w:rsidR="00D62EAB" w:rsidRPr="00895819">
              <w:rPr>
                <w:sz w:val="22"/>
                <w:lang w:val="sr-Cyrl-CS"/>
              </w:rPr>
              <w:t>,</w:t>
            </w:r>
            <w:r w:rsidR="00B16F8D" w:rsidRPr="00895819">
              <w:rPr>
                <w:sz w:val="22"/>
                <w:lang w:val="sr-Cyrl-CS"/>
              </w:rPr>
              <w:t xml:space="preserve">0 </w:t>
            </w:r>
            <w:r w:rsidR="00D62EAB" w:rsidRPr="00895819">
              <w:rPr>
                <w:sz w:val="22"/>
                <w:lang w:val="sr-Cyrl-CS"/>
              </w:rPr>
              <w:t>мил. ЕУР</w:t>
            </w:r>
          </w:p>
        </w:tc>
        <w:tc>
          <w:tcPr>
            <w:tcW w:w="3261" w:type="dxa"/>
            <w:vAlign w:val="center"/>
          </w:tcPr>
          <w:p w14:paraId="7D849548" w14:textId="77777777" w:rsidR="00B16F8D" w:rsidRPr="00895819" w:rsidRDefault="00D62EAB" w:rsidP="00485361">
            <w:pPr>
              <w:spacing w:before="120" w:after="120"/>
              <w:jc w:val="center"/>
              <w:rPr>
                <w:sz w:val="22"/>
                <w:lang w:val="sr-Cyrl-CS"/>
              </w:rPr>
            </w:pPr>
            <w:r w:rsidRPr="00895819">
              <w:rPr>
                <w:sz w:val="22"/>
                <w:lang w:val="sr-Cyrl-CS"/>
              </w:rPr>
              <w:t>Када се постигне</w:t>
            </w:r>
          </w:p>
        </w:tc>
      </w:tr>
      <w:tr w:rsidR="00B16F8D" w:rsidRPr="00895819" w14:paraId="1B787572" w14:textId="77777777" w:rsidTr="00485361">
        <w:tc>
          <w:tcPr>
            <w:tcW w:w="1171" w:type="dxa"/>
            <w:vAlign w:val="center"/>
          </w:tcPr>
          <w:p w14:paraId="1290544C" w14:textId="77777777" w:rsidR="00B16F8D" w:rsidRPr="00895819" w:rsidRDefault="00B16F8D" w:rsidP="00485361">
            <w:pPr>
              <w:spacing w:before="120" w:after="120"/>
              <w:rPr>
                <w:sz w:val="22"/>
                <w:lang w:val="sr-Cyrl-CS"/>
              </w:rPr>
            </w:pPr>
            <w:r w:rsidRPr="00895819">
              <w:rPr>
                <w:sz w:val="22"/>
                <w:lang w:val="sr-Cyrl-CS"/>
              </w:rPr>
              <w:t>2025</w:t>
            </w:r>
          </w:p>
        </w:tc>
        <w:tc>
          <w:tcPr>
            <w:tcW w:w="8180" w:type="dxa"/>
          </w:tcPr>
          <w:p w14:paraId="45FE9611" w14:textId="6021B773" w:rsidR="00B16F8D" w:rsidRPr="00895819" w:rsidRDefault="00D62EAB" w:rsidP="006412B3">
            <w:pPr>
              <w:spacing w:before="120" w:after="120"/>
              <w:rPr>
                <w:sz w:val="22"/>
                <w:lang w:val="sr-Cyrl-CS"/>
              </w:rPr>
            </w:pPr>
            <w:r w:rsidRPr="00895819">
              <w:rPr>
                <w:b/>
                <w:sz w:val="22"/>
                <w:lang w:val="sr-Cyrl-CS"/>
              </w:rPr>
              <w:t>ДЛР</w:t>
            </w:r>
            <w:r w:rsidR="00B16F8D" w:rsidRPr="00895819">
              <w:rPr>
                <w:b/>
                <w:sz w:val="22"/>
                <w:lang w:val="sr-Cyrl-CS"/>
              </w:rPr>
              <w:t xml:space="preserve"> 8.2. </w:t>
            </w:r>
            <w:r w:rsidRPr="00895819">
              <w:rPr>
                <w:bCs/>
                <w:sz w:val="22"/>
                <w:lang w:val="sr-Cyrl-CS"/>
              </w:rPr>
              <w:t xml:space="preserve">МЗЖС </w:t>
            </w:r>
            <w:r w:rsidR="004B2182" w:rsidRPr="00895819">
              <w:rPr>
                <w:bCs/>
                <w:sz w:val="22"/>
                <w:lang w:val="sr-Cyrl-CS"/>
              </w:rPr>
              <w:t xml:space="preserve">је </w:t>
            </w:r>
            <w:r w:rsidRPr="00895819">
              <w:rPr>
                <w:bCs/>
                <w:sz w:val="22"/>
                <w:lang w:val="sr-Cyrl-CS"/>
              </w:rPr>
              <w:t>изда</w:t>
            </w:r>
            <w:r w:rsidR="004B2182" w:rsidRPr="00895819">
              <w:rPr>
                <w:bCs/>
                <w:sz w:val="22"/>
                <w:lang w:val="sr-Cyrl-CS"/>
              </w:rPr>
              <w:t>ло</w:t>
            </w:r>
            <w:r w:rsidRPr="00895819">
              <w:rPr>
                <w:bCs/>
                <w:sz w:val="22"/>
                <w:lang w:val="sr-Cyrl-CS"/>
              </w:rPr>
              <w:t xml:space="preserve"> дозволе за емисије </w:t>
            </w:r>
            <w:r w:rsidR="007A6BE0" w:rsidRPr="00895819">
              <w:rPr>
                <w:lang w:val="sr-Cyrl-CS"/>
              </w:rPr>
              <w:t>GHG</w:t>
            </w:r>
            <w:r w:rsidR="007A6BE0" w:rsidRPr="00895819">
              <w:rPr>
                <w:bCs/>
                <w:sz w:val="22"/>
                <w:lang w:val="sr-Cyrl-CS"/>
              </w:rPr>
              <w:t xml:space="preserve"> </w:t>
            </w:r>
            <w:r w:rsidRPr="00895819">
              <w:rPr>
                <w:bCs/>
                <w:sz w:val="22"/>
                <w:lang w:val="sr-Cyrl-CS"/>
              </w:rPr>
              <w:t xml:space="preserve">за </w:t>
            </w:r>
            <w:r w:rsidR="00D71966" w:rsidRPr="00895819">
              <w:rPr>
                <w:sz w:val="22"/>
                <w:lang w:val="sr-Cyrl-CS"/>
              </w:rPr>
              <w:t xml:space="preserve">50% </w:t>
            </w:r>
            <w:r w:rsidRPr="00895819">
              <w:rPr>
                <w:sz w:val="22"/>
                <w:lang w:val="sr-Cyrl-CS"/>
              </w:rPr>
              <w:t xml:space="preserve">или више подносиоца захтева који су поднели захтев у </w:t>
            </w:r>
            <w:r w:rsidR="00D71966" w:rsidRPr="00895819">
              <w:rPr>
                <w:sz w:val="22"/>
                <w:lang w:val="sr-Cyrl-CS"/>
              </w:rPr>
              <w:t>202</w:t>
            </w:r>
            <w:r w:rsidR="006412B3" w:rsidRPr="00895819">
              <w:rPr>
                <w:sz w:val="22"/>
                <w:lang w:val="sr-Cyrl-CS"/>
              </w:rPr>
              <w:t>5</w:t>
            </w:r>
            <w:r w:rsidR="00D71966" w:rsidRPr="00895819">
              <w:rPr>
                <w:sz w:val="22"/>
                <w:lang w:val="sr-Cyrl-CS"/>
              </w:rPr>
              <w:t>.</w:t>
            </w:r>
            <w:r w:rsidR="00594ABC" w:rsidRPr="00895819">
              <w:rPr>
                <w:sz w:val="22"/>
                <w:lang w:val="sr-Cyrl-CS"/>
              </w:rPr>
              <w:t xml:space="preserve"> години.</w:t>
            </w:r>
          </w:p>
        </w:tc>
        <w:tc>
          <w:tcPr>
            <w:tcW w:w="2551" w:type="dxa"/>
            <w:vAlign w:val="center"/>
          </w:tcPr>
          <w:p w14:paraId="52CFD554" w14:textId="77777777" w:rsidR="00B16F8D" w:rsidRPr="00895819" w:rsidRDefault="00B16F8D" w:rsidP="00485361">
            <w:pPr>
              <w:spacing w:before="120" w:after="120"/>
              <w:jc w:val="center"/>
              <w:rPr>
                <w:sz w:val="22"/>
                <w:lang w:val="sr-Cyrl-CS"/>
              </w:rPr>
            </w:pPr>
            <w:r w:rsidRPr="00895819">
              <w:rPr>
                <w:sz w:val="22"/>
                <w:lang w:val="sr-Cyrl-CS"/>
              </w:rPr>
              <w:t>3</w:t>
            </w:r>
            <w:r w:rsidR="00D62EAB" w:rsidRPr="00895819">
              <w:rPr>
                <w:sz w:val="22"/>
                <w:lang w:val="sr-Cyrl-CS"/>
              </w:rPr>
              <w:t>,</w:t>
            </w:r>
            <w:r w:rsidRPr="00895819">
              <w:rPr>
                <w:sz w:val="22"/>
                <w:lang w:val="sr-Cyrl-CS"/>
              </w:rPr>
              <w:t xml:space="preserve">0 </w:t>
            </w:r>
            <w:r w:rsidR="00D62EAB" w:rsidRPr="00895819">
              <w:rPr>
                <w:sz w:val="22"/>
                <w:lang w:val="sr-Cyrl-CS"/>
              </w:rPr>
              <w:t>мил. ЕУР</w:t>
            </w:r>
          </w:p>
        </w:tc>
        <w:tc>
          <w:tcPr>
            <w:tcW w:w="3261" w:type="dxa"/>
            <w:vAlign w:val="center"/>
          </w:tcPr>
          <w:p w14:paraId="0A37D87A" w14:textId="77777777" w:rsidR="00B16F8D" w:rsidRPr="00895819" w:rsidRDefault="00922D71" w:rsidP="00922D71">
            <w:pPr>
              <w:spacing w:before="120" w:after="120"/>
              <w:jc w:val="center"/>
              <w:rPr>
                <w:sz w:val="22"/>
                <w:lang w:val="sr-Cyrl-CS"/>
              </w:rPr>
            </w:pPr>
            <w:r w:rsidRPr="00895819">
              <w:rPr>
                <w:sz w:val="22"/>
                <w:lang w:val="sr-Cyrl-CS"/>
              </w:rPr>
              <w:t>0</w:t>
            </w:r>
            <w:r w:rsidR="00D62EAB" w:rsidRPr="00895819">
              <w:rPr>
                <w:sz w:val="22"/>
                <w:lang w:val="sr-Cyrl-CS"/>
              </w:rPr>
              <w:t>,</w:t>
            </w:r>
            <w:r w:rsidRPr="00895819">
              <w:rPr>
                <w:sz w:val="22"/>
                <w:lang w:val="sr-Cyrl-CS"/>
              </w:rPr>
              <w:t xml:space="preserve">6 </w:t>
            </w:r>
            <w:r w:rsidR="00D62EAB" w:rsidRPr="00895819">
              <w:rPr>
                <w:sz w:val="22"/>
                <w:lang w:val="sr-Cyrl-CS"/>
              </w:rPr>
              <w:t>мил. ЕУР</w:t>
            </w:r>
            <w:r w:rsidRPr="00895819">
              <w:rPr>
                <w:sz w:val="22"/>
                <w:lang w:val="sr-Cyrl-CS"/>
              </w:rPr>
              <w:t xml:space="preserve"> </w:t>
            </w:r>
            <w:r w:rsidR="00D62EAB" w:rsidRPr="00895819">
              <w:rPr>
                <w:sz w:val="22"/>
                <w:lang w:val="sr-Cyrl-CS"/>
              </w:rPr>
              <w:t>за</w:t>
            </w:r>
            <w:r w:rsidRPr="00895819">
              <w:rPr>
                <w:sz w:val="22"/>
                <w:lang w:val="sr-Cyrl-CS"/>
              </w:rPr>
              <w:t xml:space="preserve"> </w:t>
            </w:r>
            <w:r w:rsidR="00D62EAB" w:rsidRPr="00895819">
              <w:rPr>
                <w:sz w:val="22"/>
                <w:lang w:val="sr-Cyrl-CS"/>
              </w:rPr>
              <w:t xml:space="preserve">повећање од </w:t>
            </w:r>
            <w:r w:rsidRPr="00895819">
              <w:rPr>
                <w:sz w:val="22"/>
                <w:lang w:val="sr-Cyrl-CS"/>
              </w:rPr>
              <w:t>10</w:t>
            </w:r>
            <w:r w:rsidR="00D62EAB" w:rsidRPr="00895819">
              <w:rPr>
                <w:sz w:val="22"/>
                <w:lang w:val="sr-Cyrl-CS"/>
              </w:rPr>
              <w:t>пп</w:t>
            </w:r>
          </w:p>
        </w:tc>
      </w:tr>
      <w:tr w:rsidR="00B16F8D" w:rsidRPr="00895819" w14:paraId="68A122B2" w14:textId="77777777" w:rsidTr="00485361">
        <w:tc>
          <w:tcPr>
            <w:tcW w:w="1171" w:type="dxa"/>
            <w:vAlign w:val="center"/>
          </w:tcPr>
          <w:p w14:paraId="773E67EF" w14:textId="77777777" w:rsidR="00B16F8D" w:rsidRPr="00895819" w:rsidRDefault="00B16F8D" w:rsidP="00485361">
            <w:pPr>
              <w:spacing w:before="120" w:after="120"/>
              <w:rPr>
                <w:sz w:val="22"/>
                <w:lang w:val="sr-Cyrl-CS"/>
              </w:rPr>
            </w:pPr>
            <w:r w:rsidRPr="00895819">
              <w:rPr>
                <w:sz w:val="22"/>
                <w:lang w:val="sr-Cyrl-CS"/>
              </w:rPr>
              <w:t>2026</w:t>
            </w:r>
          </w:p>
        </w:tc>
        <w:tc>
          <w:tcPr>
            <w:tcW w:w="8180" w:type="dxa"/>
          </w:tcPr>
          <w:p w14:paraId="30262DA4" w14:textId="77777777" w:rsidR="00B16F8D" w:rsidRPr="00895819" w:rsidRDefault="00D62EAB" w:rsidP="006412B3">
            <w:pPr>
              <w:spacing w:before="120" w:after="120"/>
              <w:rPr>
                <w:sz w:val="22"/>
                <w:lang w:val="sr-Cyrl-CS"/>
              </w:rPr>
            </w:pPr>
            <w:r w:rsidRPr="00895819">
              <w:rPr>
                <w:b/>
                <w:sz w:val="22"/>
                <w:lang w:val="sr-Cyrl-CS"/>
              </w:rPr>
              <w:t>ДЛР</w:t>
            </w:r>
            <w:r w:rsidR="00B16F8D" w:rsidRPr="00895819">
              <w:rPr>
                <w:b/>
                <w:sz w:val="22"/>
                <w:lang w:val="sr-Cyrl-CS"/>
              </w:rPr>
              <w:t xml:space="preserve"> 8.3. </w:t>
            </w:r>
            <w:r w:rsidRPr="00895819">
              <w:rPr>
                <w:bCs/>
                <w:sz w:val="22"/>
                <w:lang w:val="sr-Cyrl-CS"/>
              </w:rPr>
              <w:t>МЗЖС и СЕПА</w:t>
            </w:r>
            <w:r w:rsidRPr="00895819">
              <w:rPr>
                <w:b/>
                <w:sz w:val="22"/>
                <w:lang w:val="sr-Cyrl-CS"/>
              </w:rPr>
              <w:t xml:space="preserve"> </w:t>
            </w:r>
            <w:r w:rsidR="000836A6" w:rsidRPr="00895819">
              <w:rPr>
                <w:bCs/>
                <w:sz w:val="22"/>
                <w:lang w:val="sr-Cyrl-CS"/>
              </w:rPr>
              <w:t>добијају верификоване извештаје о емисијама од минимум 75</w:t>
            </w:r>
            <w:r w:rsidR="006412B3" w:rsidRPr="00895819">
              <w:rPr>
                <w:sz w:val="22"/>
                <w:lang w:val="sr-Cyrl-CS"/>
              </w:rPr>
              <w:t xml:space="preserve">% </w:t>
            </w:r>
            <w:r w:rsidR="000836A6" w:rsidRPr="00895819">
              <w:rPr>
                <w:sz w:val="22"/>
                <w:lang w:val="sr-Cyrl-CS"/>
              </w:rPr>
              <w:t>држалаца дозволе у 2026. години</w:t>
            </w:r>
            <w:r w:rsidR="006412B3" w:rsidRPr="00895819">
              <w:rPr>
                <w:sz w:val="22"/>
                <w:lang w:val="sr-Cyrl-CS"/>
              </w:rPr>
              <w:t>.</w:t>
            </w:r>
          </w:p>
        </w:tc>
        <w:tc>
          <w:tcPr>
            <w:tcW w:w="2551" w:type="dxa"/>
            <w:vAlign w:val="center"/>
          </w:tcPr>
          <w:p w14:paraId="43B1C31F" w14:textId="77777777" w:rsidR="00B16F8D" w:rsidRPr="00895819" w:rsidRDefault="00B16F8D" w:rsidP="00485361">
            <w:pPr>
              <w:spacing w:before="120" w:after="120"/>
              <w:jc w:val="center"/>
              <w:rPr>
                <w:sz w:val="22"/>
                <w:lang w:val="sr-Cyrl-CS"/>
              </w:rPr>
            </w:pPr>
            <w:r w:rsidRPr="00895819">
              <w:rPr>
                <w:sz w:val="22"/>
                <w:lang w:val="sr-Cyrl-CS"/>
              </w:rPr>
              <w:t>3</w:t>
            </w:r>
            <w:r w:rsidR="00D62EAB" w:rsidRPr="00895819">
              <w:rPr>
                <w:sz w:val="22"/>
                <w:lang w:val="sr-Cyrl-CS"/>
              </w:rPr>
              <w:t>,</w:t>
            </w:r>
            <w:r w:rsidRPr="00895819">
              <w:rPr>
                <w:sz w:val="22"/>
                <w:lang w:val="sr-Cyrl-CS"/>
              </w:rPr>
              <w:t xml:space="preserve">0 </w:t>
            </w:r>
            <w:r w:rsidR="00D62EAB" w:rsidRPr="00895819">
              <w:rPr>
                <w:sz w:val="22"/>
                <w:lang w:val="sr-Cyrl-CS"/>
              </w:rPr>
              <w:t>мил. ЕУР</w:t>
            </w:r>
          </w:p>
        </w:tc>
        <w:tc>
          <w:tcPr>
            <w:tcW w:w="3261" w:type="dxa"/>
            <w:vAlign w:val="center"/>
          </w:tcPr>
          <w:p w14:paraId="15974E3C" w14:textId="77777777" w:rsidR="00B16F8D" w:rsidRPr="00895819" w:rsidRDefault="00922D71" w:rsidP="00922D71">
            <w:pPr>
              <w:spacing w:before="120" w:after="120"/>
              <w:jc w:val="center"/>
              <w:rPr>
                <w:sz w:val="22"/>
                <w:lang w:val="sr-Cyrl-CS"/>
              </w:rPr>
            </w:pPr>
            <w:r w:rsidRPr="00895819">
              <w:rPr>
                <w:sz w:val="22"/>
                <w:lang w:val="sr-Cyrl-CS"/>
              </w:rPr>
              <w:t>1</w:t>
            </w:r>
            <w:r w:rsidR="00D62EAB" w:rsidRPr="00895819">
              <w:rPr>
                <w:sz w:val="22"/>
                <w:lang w:val="sr-Cyrl-CS"/>
              </w:rPr>
              <w:t>,</w:t>
            </w:r>
            <w:r w:rsidRPr="00895819">
              <w:rPr>
                <w:sz w:val="22"/>
                <w:lang w:val="sr-Cyrl-CS"/>
              </w:rPr>
              <w:t xml:space="preserve">0 </w:t>
            </w:r>
            <w:r w:rsidR="00D62EAB" w:rsidRPr="00895819">
              <w:rPr>
                <w:sz w:val="22"/>
                <w:lang w:val="sr-Cyrl-CS"/>
              </w:rPr>
              <w:t>мил. ЕУР</w:t>
            </w:r>
            <w:r w:rsidRPr="00895819">
              <w:rPr>
                <w:sz w:val="22"/>
                <w:lang w:val="sr-Cyrl-CS"/>
              </w:rPr>
              <w:t xml:space="preserve"> </w:t>
            </w:r>
            <w:r w:rsidR="00D62EAB" w:rsidRPr="00895819">
              <w:rPr>
                <w:sz w:val="22"/>
                <w:lang w:val="sr-Cyrl-CS"/>
              </w:rPr>
              <w:t>за повећање од</w:t>
            </w:r>
            <w:r w:rsidRPr="00895819">
              <w:rPr>
                <w:sz w:val="22"/>
                <w:lang w:val="sr-Cyrl-CS"/>
              </w:rPr>
              <w:t xml:space="preserve"> 25</w:t>
            </w:r>
            <w:r w:rsidR="00D62EAB" w:rsidRPr="00895819">
              <w:rPr>
                <w:sz w:val="22"/>
                <w:lang w:val="sr-Cyrl-CS"/>
              </w:rPr>
              <w:t>пп</w:t>
            </w:r>
          </w:p>
        </w:tc>
      </w:tr>
    </w:tbl>
    <w:p w14:paraId="08BCEAC6" w14:textId="77777777" w:rsidR="00B16F8D" w:rsidRPr="00895819" w:rsidRDefault="00B16F8D" w:rsidP="00B16F8D">
      <w:pPr>
        <w:pStyle w:val="BodyText"/>
        <w:jc w:val="left"/>
        <w:rPr>
          <w:rFonts w:cs="Times New Roman"/>
          <w:b/>
          <w:iCs/>
          <w:color w:val="000000"/>
          <w:lang w:val="sr-Cyrl-CS"/>
        </w:rPr>
      </w:pPr>
    </w:p>
    <w:p w14:paraId="528754D1" w14:textId="77777777" w:rsidR="00B16F8D" w:rsidRPr="00895819" w:rsidRDefault="00B16F8D" w:rsidP="00B16F8D">
      <w:pPr>
        <w:pStyle w:val="BodyText"/>
        <w:jc w:val="left"/>
        <w:rPr>
          <w:rFonts w:cs="Times New Roman"/>
          <w:b/>
          <w:iCs/>
          <w:color w:val="000000"/>
          <w:lang w:val="sr-Cyrl-CS"/>
        </w:rPr>
      </w:pPr>
    </w:p>
    <w:p w14:paraId="2CCDBA2E" w14:textId="77777777" w:rsidR="00B16F8D" w:rsidRPr="00895819" w:rsidRDefault="00B16F8D" w:rsidP="00B16F8D">
      <w:pPr>
        <w:pStyle w:val="BodyText"/>
        <w:jc w:val="left"/>
        <w:rPr>
          <w:rFonts w:cs="Times New Roman"/>
          <w:b/>
          <w:iCs/>
          <w:color w:val="000000"/>
          <w:lang w:val="sr-Cyrl-CS"/>
        </w:rPr>
      </w:pPr>
    </w:p>
    <w:p w14:paraId="6B6C51E5" w14:textId="77777777" w:rsidR="00B16F8D" w:rsidRPr="00895819" w:rsidRDefault="00B16F8D" w:rsidP="00B16F8D">
      <w:pPr>
        <w:pStyle w:val="BodyText"/>
        <w:jc w:val="left"/>
        <w:rPr>
          <w:rFonts w:cs="Times New Roman"/>
          <w:b/>
          <w:iCs/>
          <w:color w:val="000000"/>
          <w:lang w:val="sr-Cyrl-CS"/>
        </w:rPr>
      </w:pPr>
    </w:p>
    <w:p w14:paraId="358EC091" w14:textId="77777777" w:rsidR="00B16F8D" w:rsidRPr="00895819" w:rsidRDefault="00B16F8D" w:rsidP="00B16F8D">
      <w:pPr>
        <w:pStyle w:val="BodyText"/>
        <w:jc w:val="left"/>
        <w:rPr>
          <w:rFonts w:cs="Times New Roman"/>
          <w:b/>
          <w:iCs/>
          <w:color w:val="000000"/>
          <w:lang w:val="sr-Cyrl-CS"/>
        </w:rPr>
      </w:pPr>
    </w:p>
    <w:p w14:paraId="407E569D" w14:textId="77777777" w:rsidR="00B16F8D" w:rsidRPr="00895819" w:rsidRDefault="00B16F8D" w:rsidP="00B16F8D">
      <w:pPr>
        <w:pStyle w:val="BodyText"/>
        <w:jc w:val="left"/>
        <w:rPr>
          <w:rFonts w:cs="Times New Roman"/>
          <w:b/>
          <w:iCs/>
          <w:color w:val="000000"/>
          <w:lang w:val="sr-Cyrl-CS"/>
        </w:rPr>
        <w:sectPr w:rsidR="00B16F8D" w:rsidRPr="00895819" w:rsidSect="00485361">
          <w:pgSz w:w="16838" w:h="11906" w:orient="landscape"/>
          <w:pgMar w:top="720" w:right="720" w:bottom="720" w:left="720" w:header="708" w:footer="400" w:gutter="0"/>
          <w:cols w:space="708"/>
          <w:formProt w:val="0"/>
          <w:titlePg/>
          <w:docGrid w:linePitch="360"/>
        </w:sectPr>
      </w:pPr>
    </w:p>
    <w:p w14:paraId="49CD9A01" w14:textId="008753DC" w:rsidR="00B16F8D" w:rsidRPr="00895819" w:rsidRDefault="00431702" w:rsidP="00B16F8D">
      <w:pPr>
        <w:pStyle w:val="Schhead"/>
        <w:outlineLvl w:val="0"/>
        <w:rPr>
          <w:rFonts w:ascii="Times New Roman" w:hAnsi="Times New Roman"/>
          <w:lang w:val="sr-Cyrl-CS"/>
        </w:rPr>
      </w:pPr>
      <w:bookmarkStart w:id="172" w:name="_Toc129873705"/>
      <w:r w:rsidRPr="00895819">
        <w:rPr>
          <w:rFonts w:ascii="Times New Roman" w:hAnsi="Times New Roman"/>
          <w:lang w:val="sr-Cyrl-CS"/>
        </w:rPr>
        <w:lastRenderedPageBreak/>
        <w:t>ПРИЛОГ</w:t>
      </w:r>
      <w:r w:rsidR="00B02E95" w:rsidRPr="00895819">
        <w:rPr>
          <w:rFonts w:ascii="Times New Roman" w:hAnsi="Times New Roman"/>
          <w:lang w:val="sr-Cyrl-CS"/>
        </w:rPr>
        <w:t xml:space="preserve"> 3Д</w:t>
      </w:r>
      <w:r w:rsidR="00B16F8D" w:rsidRPr="00895819">
        <w:rPr>
          <w:rFonts w:ascii="Times New Roman" w:hAnsi="Times New Roman"/>
          <w:lang w:val="sr-Cyrl-CS"/>
        </w:rPr>
        <w:t xml:space="preserve"> – </w:t>
      </w:r>
      <w:r w:rsidR="00B02E95" w:rsidRPr="00895819">
        <w:rPr>
          <w:rFonts w:ascii="Times New Roman" w:hAnsi="Times New Roman"/>
          <w:lang w:val="sr-Cyrl-CS"/>
        </w:rPr>
        <w:t>ПЛАН АНГАЖОВАЊА У ОБ</w:t>
      </w:r>
      <w:r w:rsidRPr="00895819">
        <w:rPr>
          <w:rFonts w:ascii="Times New Roman" w:hAnsi="Times New Roman"/>
          <w:lang w:val="sr-Cyrl-CS"/>
        </w:rPr>
        <w:t>Л</w:t>
      </w:r>
      <w:r w:rsidR="00B02E95" w:rsidRPr="00895819">
        <w:rPr>
          <w:rFonts w:ascii="Times New Roman" w:hAnsi="Times New Roman"/>
          <w:lang w:val="sr-Cyrl-CS"/>
        </w:rPr>
        <w:t>А</w:t>
      </w:r>
      <w:r w:rsidRPr="00895819">
        <w:rPr>
          <w:rFonts w:ascii="Times New Roman" w:hAnsi="Times New Roman"/>
          <w:lang w:val="sr-Cyrl-CS"/>
        </w:rPr>
        <w:t xml:space="preserve">СТИ ЖИВОТНЕ СРЕДИНЕ И </w:t>
      </w:r>
      <w:r w:rsidR="00327BEE" w:rsidRPr="00895819">
        <w:rPr>
          <w:rFonts w:ascii="Times New Roman" w:hAnsi="Times New Roman"/>
          <w:lang w:val="sr-Cyrl-CS"/>
        </w:rPr>
        <w:t xml:space="preserve">СОЦИJAЛНИХ </w:t>
      </w:r>
      <w:r w:rsidRPr="00895819">
        <w:rPr>
          <w:rFonts w:ascii="Times New Roman" w:hAnsi="Times New Roman"/>
          <w:lang w:val="sr-Cyrl-CS"/>
        </w:rPr>
        <w:t>ПИТАЊА</w:t>
      </w:r>
      <w:bookmarkEnd w:id="172"/>
    </w:p>
    <w:p w14:paraId="6F99F173" w14:textId="7E109B2B" w:rsidR="00B16F8D" w:rsidRPr="00895819" w:rsidRDefault="00431702" w:rsidP="00B16F8D">
      <w:pPr>
        <w:pStyle w:val="ListParagraph"/>
        <w:numPr>
          <w:ilvl w:val="0"/>
          <w:numId w:val="46"/>
        </w:numPr>
        <w:spacing w:after="240"/>
        <w:ind w:left="426" w:hanging="426"/>
        <w:rPr>
          <w:lang w:val="sr-Cyrl-CS"/>
        </w:rPr>
      </w:pPr>
      <w:r w:rsidRPr="00895819">
        <w:rPr>
          <w:lang w:val="sr-Cyrl-CS"/>
        </w:rPr>
        <w:t xml:space="preserve">Република Србија ће реализовати Операцију под називом </w:t>
      </w:r>
      <w:r w:rsidR="00584985" w:rsidRPr="00895819">
        <w:rPr>
          <w:i/>
          <w:iCs/>
          <w:lang w:val="sr-Cyrl-CS"/>
        </w:rPr>
        <w:t xml:space="preserve">Унапређење управљања јавним финансијама за пружање услуга и зелени раст </w:t>
      </w:r>
      <w:r w:rsidR="00B16F8D" w:rsidRPr="00895819">
        <w:rPr>
          <w:lang w:val="sr-Cyrl-CS"/>
        </w:rPr>
        <w:t>(</w:t>
      </w:r>
      <w:r w:rsidRPr="00895819">
        <w:rPr>
          <w:lang w:val="sr-Cyrl-CS"/>
        </w:rPr>
        <w:t>„Операција</w:t>
      </w:r>
      <w:r w:rsidR="007C25D7" w:rsidRPr="00895819">
        <w:rPr>
          <w:lang w:val="sr-Cyrl-CS"/>
        </w:rPr>
        <w:t>”</w:t>
      </w:r>
      <w:r w:rsidR="00B16F8D" w:rsidRPr="00895819">
        <w:rPr>
          <w:lang w:val="sr-Cyrl-CS"/>
        </w:rPr>
        <w:t xml:space="preserve">) </w:t>
      </w:r>
      <w:r w:rsidRPr="00895819">
        <w:rPr>
          <w:lang w:val="sr-Cyrl-CS"/>
        </w:rPr>
        <w:t xml:space="preserve">уз ангажовање </w:t>
      </w:r>
      <w:r w:rsidR="00F76D97" w:rsidRPr="00895819">
        <w:rPr>
          <w:lang w:val="sr-Cyrl-CS"/>
        </w:rPr>
        <w:t>Министарств</w:t>
      </w:r>
      <w:r w:rsidRPr="00895819">
        <w:rPr>
          <w:lang w:val="sr-Cyrl-CS"/>
        </w:rPr>
        <w:t>а</w:t>
      </w:r>
      <w:r w:rsidR="00F76D97" w:rsidRPr="00895819">
        <w:rPr>
          <w:lang w:val="sr-Cyrl-CS"/>
        </w:rPr>
        <w:t xml:space="preserve"> финансија</w:t>
      </w:r>
      <w:r w:rsidR="00D70BE5" w:rsidRPr="00895819">
        <w:rPr>
          <w:lang w:val="sr-Cyrl-CS"/>
        </w:rPr>
        <w:t xml:space="preserve"> (</w:t>
      </w:r>
      <w:r w:rsidRPr="00895819">
        <w:rPr>
          <w:lang w:val="sr-Cyrl-CS"/>
        </w:rPr>
        <w:t>МФ</w:t>
      </w:r>
      <w:r w:rsidR="00D70BE5" w:rsidRPr="00895819">
        <w:rPr>
          <w:lang w:val="sr-Cyrl-CS"/>
        </w:rPr>
        <w:t>)</w:t>
      </w:r>
      <w:r w:rsidRPr="00895819">
        <w:rPr>
          <w:lang w:val="sr-Cyrl-CS"/>
        </w:rPr>
        <w:t xml:space="preserve">, као и других буџетских корисника. Операција </w:t>
      </w:r>
      <w:r w:rsidR="00584985" w:rsidRPr="00895819">
        <w:rPr>
          <w:lang w:val="sr-Cyrl-CS"/>
        </w:rPr>
        <w:t xml:space="preserve">је власништво Владе Републике Србије и она је и крајњи корисник. </w:t>
      </w:r>
      <w:r w:rsidR="007B749E" w:rsidRPr="00895819">
        <w:rPr>
          <w:i/>
          <w:iCs/>
          <w:lang w:val="sr-Cyrl-CS"/>
        </w:rPr>
        <w:t>А</w:t>
      </w:r>
      <w:r w:rsidR="00B16F8D" w:rsidRPr="00895819">
        <w:rPr>
          <w:i/>
          <w:lang w:val="sr-Cyrl-CS"/>
        </w:rPr>
        <w:t>gence Française de Développement</w:t>
      </w:r>
      <w:r w:rsidR="00B16F8D" w:rsidRPr="00895819">
        <w:rPr>
          <w:lang w:val="sr-Cyrl-CS"/>
        </w:rPr>
        <w:t xml:space="preserve"> (</w:t>
      </w:r>
      <w:r w:rsidR="00584985" w:rsidRPr="00895819">
        <w:rPr>
          <w:lang w:val="sr-Cyrl-CS"/>
        </w:rPr>
        <w:t>АФД</w:t>
      </w:r>
      <w:r w:rsidR="00B16F8D" w:rsidRPr="00895819">
        <w:rPr>
          <w:lang w:val="sr-Cyrl-CS"/>
        </w:rPr>
        <w:t xml:space="preserve">) </w:t>
      </w:r>
      <w:r w:rsidR="00584985" w:rsidRPr="00895819">
        <w:rPr>
          <w:lang w:val="sr-Cyrl-CS"/>
        </w:rPr>
        <w:t>се сагласила да ће обезбедити финансирање Операције</w:t>
      </w:r>
      <w:r w:rsidR="00B16F8D" w:rsidRPr="00895819">
        <w:rPr>
          <w:lang w:val="sr-Cyrl-CS"/>
        </w:rPr>
        <w:t xml:space="preserve">. </w:t>
      </w:r>
    </w:p>
    <w:p w14:paraId="7FD0C7DA" w14:textId="77777777" w:rsidR="00B16F8D" w:rsidRPr="00895819" w:rsidRDefault="00CC5044" w:rsidP="00B16F8D">
      <w:pPr>
        <w:pStyle w:val="ListParagraph"/>
        <w:numPr>
          <w:ilvl w:val="0"/>
          <w:numId w:val="46"/>
        </w:numPr>
        <w:spacing w:after="240"/>
        <w:ind w:left="426" w:hanging="426"/>
        <w:rPr>
          <w:spacing w:val="1"/>
          <w:lang w:val="sr-Cyrl-CS"/>
        </w:rPr>
      </w:pPr>
      <w:r w:rsidRPr="00895819">
        <w:rPr>
          <w:lang w:val="sr-Cyrl-CS"/>
        </w:rPr>
        <w:t>Министарство финансија ће спровести конкретне мере и радње које су неопходне како би се обезбедило да се Програм спроводи у складу са важећим прописима и основним/кључним конвенцијама МОР-а које је Србија ратификовала</w:t>
      </w:r>
      <w:r w:rsidR="00B16F8D" w:rsidRPr="00895819">
        <w:rPr>
          <w:bCs/>
          <w:lang w:val="sr-Cyrl-CS"/>
        </w:rPr>
        <w:t>.</w:t>
      </w:r>
    </w:p>
    <w:p w14:paraId="078FF8CD" w14:textId="77777777" w:rsidR="00B16F8D" w:rsidRPr="00895819" w:rsidRDefault="00CC5044" w:rsidP="00B16F8D">
      <w:pPr>
        <w:pStyle w:val="ListParagraph"/>
        <w:numPr>
          <w:ilvl w:val="0"/>
          <w:numId w:val="46"/>
        </w:numPr>
        <w:spacing w:after="240"/>
        <w:ind w:left="426" w:hanging="426"/>
        <w:rPr>
          <w:lang w:val="sr-Cyrl-CS"/>
        </w:rPr>
      </w:pPr>
      <w:r w:rsidRPr="00895819">
        <w:rPr>
          <w:lang w:val="sr-Cyrl-CS"/>
        </w:rPr>
        <w:t xml:space="preserve">Различити директни буџетски корисници наведени у Оквиру расхода ће реализовати материјалне мере и радње како би се Програм спроводио у складу са еколошким и социјалним стандардима Светске банке </w:t>
      </w:r>
      <w:r w:rsidR="00B16F8D" w:rsidRPr="00895819">
        <w:rPr>
          <w:lang w:val="sr-Cyrl-CS"/>
        </w:rPr>
        <w:t>(</w:t>
      </w:r>
      <w:r w:rsidRPr="00895819">
        <w:rPr>
          <w:lang w:val="sr-Cyrl-CS"/>
        </w:rPr>
        <w:t>ЕСС</w:t>
      </w:r>
      <w:r w:rsidR="00B16F8D" w:rsidRPr="00895819">
        <w:rPr>
          <w:lang w:val="sr-Cyrl-CS"/>
        </w:rPr>
        <w:t xml:space="preserve">). </w:t>
      </w:r>
      <w:r w:rsidRPr="00895819">
        <w:rPr>
          <w:lang w:val="sr-Cyrl-CS"/>
        </w:rPr>
        <w:t xml:space="preserve">Стога, овај План ангажовања у области животне средине и социјалних питања </w:t>
      </w:r>
      <w:r w:rsidR="00B16F8D" w:rsidRPr="00895819">
        <w:rPr>
          <w:lang w:val="sr-Cyrl-CS"/>
        </w:rPr>
        <w:t>(</w:t>
      </w:r>
      <w:r w:rsidRPr="00895819">
        <w:rPr>
          <w:lang w:val="sr-Cyrl-CS"/>
        </w:rPr>
        <w:t>ЕСЦП</w:t>
      </w:r>
      <w:r w:rsidR="00B16F8D" w:rsidRPr="00895819">
        <w:rPr>
          <w:lang w:val="sr-Cyrl-CS"/>
        </w:rPr>
        <w:t xml:space="preserve">) </w:t>
      </w:r>
      <w:r w:rsidRPr="00895819">
        <w:rPr>
          <w:lang w:val="sr-Cyrl-CS"/>
        </w:rPr>
        <w:t>утврђује материјалне мере и радње, посебна документа или планове, као и рокове за реализацију</w:t>
      </w:r>
      <w:r w:rsidR="00B16F8D" w:rsidRPr="00895819">
        <w:rPr>
          <w:lang w:val="sr-Cyrl-CS"/>
        </w:rPr>
        <w:t xml:space="preserve">. </w:t>
      </w:r>
    </w:p>
    <w:p w14:paraId="394874AA" w14:textId="77777777" w:rsidR="00B16F8D" w:rsidRPr="00895819" w:rsidRDefault="00E70346" w:rsidP="00B16F8D">
      <w:pPr>
        <w:pStyle w:val="ListParagraph"/>
        <w:numPr>
          <w:ilvl w:val="0"/>
          <w:numId w:val="46"/>
        </w:numPr>
        <w:spacing w:after="240"/>
        <w:ind w:left="426" w:hanging="426"/>
        <w:rPr>
          <w:lang w:val="sr-Cyrl-CS"/>
        </w:rPr>
      </w:pPr>
      <w:r w:rsidRPr="00895819">
        <w:rPr>
          <w:lang w:val="sr-Cyrl-CS"/>
        </w:rPr>
        <w:t xml:space="preserve">Различити директни буџетски корисници наведени у </w:t>
      </w:r>
      <w:r w:rsidR="00832047" w:rsidRPr="00895819">
        <w:rPr>
          <w:lang w:val="sr-Cyrl-CS"/>
        </w:rPr>
        <w:t>О</w:t>
      </w:r>
      <w:r w:rsidRPr="00895819">
        <w:rPr>
          <w:lang w:val="sr-Cyrl-CS"/>
        </w:rPr>
        <w:t xml:space="preserve">квиру расхода такође ће се придржавати одредби свих других доступних докумената </w:t>
      </w:r>
      <w:r w:rsidR="00832047" w:rsidRPr="00895819">
        <w:rPr>
          <w:lang w:val="sr-Cyrl-CS"/>
        </w:rPr>
        <w:t>који се односе на област животне средине и социјалних питања</w:t>
      </w:r>
      <w:r w:rsidRPr="00895819">
        <w:rPr>
          <w:lang w:val="sr-Cyrl-CS"/>
        </w:rPr>
        <w:t xml:space="preserve"> који би могли бити </w:t>
      </w:r>
      <w:r w:rsidR="00486F93" w:rsidRPr="00895819">
        <w:rPr>
          <w:lang w:val="sr-Cyrl-CS"/>
        </w:rPr>
        <w:t>израђени</w:t>
      </w:r>
      <w:r w:rsidRPr="00895819">
        <w:rPr>
          <w:lang w:val="sr-Cyrl-CS"/>
        </w:rPr>
        <w:t xml:space="preserve"> као део Програма и на које се позива овај ЕСЦП</w:t>
      </w:r>
      <w:r w:rsidR="00B16F8D" w:rsidRPr="00895819">
        <w:rPr>
          <w:lang w:val="sr-Cyrl-CS"/>
        </w:rPr>
        <w:t xml:space="preserve">. </w:t>
      </w:r>
    </w:p>
    <w:p w14:paraId="2BB06D55" w14:textId="77777777" w:rsidR="00747AAE" w:rsidRPr="00895819" w:rsidRDefault="00832047" w:rsidP="00B16F8D">
      <w:pPr>
        <w:pStyle w:val="ListParagraph"/>
        <w:numPr>
          <w:ilvl w:val="0"/>
          <w:numId w:val="46"/>
        </w:numPr>
        <w:spacing w:after="240"/>
        <w:ind w:left="426" w:hanging="426"/>
        <w:rPr>
          <w:lang w:val="sr-Cyrl-CS"/>
        </w:rPr>
      </w:pPr>
      <w:r w:rsidRPr="00895819">
        <w:rPr>
          <w:lang w:val="sr-Cyrl-CS"/>
        </w:rPr>
        <w:t>Различити директни буџетски корисници наведени у Оквиру расхода одговорни су за усаглашеност са свим захтевима ЕСЦП-а чак и када имплементацију конкретних мера и радњи спроводи други субјект</w:t>
      </w:r>
      <w:r w:rsidR="00B16F8D" w:rsidRPr="00895819">
        <w:rPr>
          <w:lang w:val="sr-Cyrl-CS"/>
        </w:rPr>
        <w:t xml:space="preserve">. </w:t>
      </w:r>
    </w:p>
    <w:p w14:paraId="2A5F2BF9" w14:textId="77777777" w:rsidR="00B16F8D" w:rsidRPr="00895819" w:rsidRDefault="009A63B4" w:rsidP="00D66957">
      <w:pPr>
        <w:pStyle w:val="ListParagraph"/>
        <w:numPr>
          <w:ilvl w:val="0"/>
          <w:numId w:val="46"/>
        </w:numPr>
        <w:spacing w:after="240"/>
        <w:ind w:left="426" w:hanging="426"/>
        <w:rPr>
          <w:lang w:val="sr-Cyrl-CS"/>
        </w:rPr>
      </w:pPr>
      <w:r w:rsidRPr="00895819">
        <w:rPr>
          <w:lang w:val="sr-Cyrl-CS"/>
        </w:rPr>
        <w:t xml:space="preserve">Јединица за координацију операцијом (ЈКО) при Сектору за </w:t>
      </w:r>
      <w:r w:rsidR="00ED6A43" w:rsidRPr="00895819">
        <w:rPr>
          <w:lang w:val="sr-Cyrl-CS"/>
        </w:rPr>
        <w:t>међународну</w:t>
      </w:r>
      <w:r w:rsidRPr="00895819">
        <w:rPr>
          <w:lang w:val="sr-Cyrl-CS"/>
        </w:rPr>
        <w:t xml:space="preserve"> сарадњу и европске интеграције (СМСЕИ) – Министарств</w:t>
      </w:r>
      <w:r w:rsidR="002517E1" w:rsidRPr="00895819">
        <w:rPr>
          <w:lang w:val="sr-Cyrl-CS"/>
        </w:rPr>
        <w:t>а</w:t>
      </w:r>
      <w:r w:rsidRPr="00895819">
        <w:rPr>
          <w:lang w:val="sr-Cyrl-CS"/>
        </w:rPr>
        <w:t xml:space="preserve"> финансија (МФ) с</w:t>
      </w:r>
      <w:r w:rsidR="00832047" w:rsidRPr="00895819">
        <w:rPr>
          <w:lang w:val="sr-Cyrl-CS"/>
        </w:rPr>
        <w:t>прово</w:t>
      </w:r>
      <w:r w:rsidRPr="00895819">
        <w:rPr>
          <w:lang w:val="sr-Cyrl-CS"/>
        </w:rPr>
        <w:t xml:space="preserve">диће </w:t>
      </w:r>
      <w:r w:rsidR="00832047" w:rsidRPr="00895819">
        <w:rPr>
          <w:lang w:val="sr-Cyrl-CS"/>
        </w:rPr>
        <w:t>материјалн</w:t>
      </w:r>
      <w:r w:rsidRPr="00895819">
        <w:rPr>
          <w:lang w:val="sr-Cyrl-CS"/>
        </w:rPr>
        <w:t>е</w:t>
      </w:r>
      <w:r w:rsidR="00832047" w:rsidRPr="00895819">
        <w:rPr>
          <w:lang w:val="sr-Cyrl-CS"/>
        </w:rPr>
        <w:t xml:space="preserve"> мер</w:t>
      </w:r>
      <w:r w:rsidRPr="00895819">
        <w:rPr>
          <w:lang w:val="sr-Cyrl-CS"/>
        </w:rPr>
        <w:t>е</w:t>
      </w:r>
      <w:r w:rsidR="00832047" w:rsidRPr="00895819">
        <w:rPr>
          <w:lang w:val="sr-Cyrl-CS"/>
        </w:rPr>
        <w:t xml:space="preserve"> и радњ</w:t>
      </w:r>
      <w:r w:rsidRPr="00895819">
        <w:rPr>
          <w:lang w:val="sr-Cyrl-CS"/>
        </w:rPr>
        <w:t>е</w:t>
      </w:r>
      <w:r w:rsidR="00832047" w:rsidRPr="00895819">
        <w:rPr>
          <w:lang w:val="sr-Cyrl-CS"/>
        </w:rPr>
        <w:t xml:space="preserve"> наведен</w:t>
      </w:r>
      <w:r w:rsidRPr="00895819">
        <w:rPr>
          <w:lang w:val="sr-Cyrl-CS"/>
        </w:rPr>
        <w:t>е</w:t>
      </w:r>
      <w:r w:rsidR="00832047" w:rsidRPr="00895819">
        <w:rPr>
          <w:lang w:val="sr-Cyrl-CS"/>
        </w:rPr>
        <w:t xml:space="preserve"> у овом ЕСЦП-у </w:t>
      </w:r>
      <w:r w:rsidRPr="00895819">
        <w:rPr>
          <w:lang w:val="sr-Cyrl-CS"/>
        </w:rPr>
        <w:t>и о томе извештавати АФД, у складу са захтевима из ЕСЦП-а и условима правног уговора, а АФД ће пратити и проценити напредак и окончање материјалних мера и радњи током имплементације Програма</w:t>
      </w:r>
      <w:r w:rsidR="00B16F8D" w:rsidRPr="00895819">
        <w:rPr>
          <w:lang w:val="sr-Cyrl-CS"/>
        </w:rPr>
        <w:t xml:space="preserve">. </w:t>
      </w:r>
    </w:p>
    <w:p w14:paraId="2026BDFC" w14:textId="77777777" w:rsidR="00B16F8D" w:rsidRPr="00895819" w:rsidRDefault="002517E1" w:rsidP="00B16F8D">
      <w:pPr>
        <w:pStyle w:val="ListParagraph"/>
        <w:numPr>
          <w:ilvl w:val="0"/>
          <w:numId w:val="46"/>
        </w:numPr>
        <w:spacing w:after="240"/>
        <w:ind w:left="426" w:hanging="426"/>
        <w:rPr>
          <w:lang w:val="sr-Cyrl-CS"/>
        </w:rPr>
      </w:pPr>
      <w:r w:rsidRPr="00895819">
        <w:rPr>
          <w:lang w:val="sr-Cyrl-CS"/>
        </w:rPr>
        <w:t>Како су се договорили Зајмопримац и АФД, овај ЕСЦП може бити ревидиран с времена на време током имплементације Програма, како би се узе</w:t>
      </w:r>
      <w:r w:rsidR="00486F93" w:rsidRPr="00895819">
        <w:rPr>
          <w:lang w:val="sr-Cyrl-CS"/>
        </w:rPr>
        <w:t>ло</w:t>
      </w:r>
      <w:r w:rsidRPr="00895819">
        <w:rPr>
          <w:lang w:val="sr-Cyrl-CS"/>
        </w:rPr>
        <w:t xml:space="preserve"> у обзир прилагодљиво управљање </w:t>
      </w:r>
      <w:r w:rsidR="00486F93" w:rsidRPr="00895819">
        <w:rPr>
          <w:lang w:val="sr-Cyrl-CS"/>
        </w:rPr>
        <w:t>променама</w:t>
      </w:r>
      <w:r w:rsidRPr="00895819">
        <w:rPr>
          <w:lang w:val="sr-Cyrl-CS"/>
        </w:rPr>
        <w:t xml:space="preserve"> Програма и непредвиђене околности или као одговор на процену учинка Програма спроведену у оквиру ЕСЦП-а. У таквим околностима, Зајмопримац ће се са АФД-ом усагласити око промена и ажурираће ЕСЦП документ како би се наведене промене унеле</w:t>
      </w:r>
      <w:r w:rsidR="00B16F8D" w:rsidRPr="00895819">
        <w:rPr>
          <w:lang w:val="sr-Cyrl-CS"/>
        </w:rPr>
        <w:t xml:space="preserve">. </w:t>
      </w:r>
      <w:r w:rsidRPr="00895819">
        <w:rPr>
          <w:lang w:val="sr-Cyrl-CS"/>
        </w:rPr>
        <w:t xml:space="preserve">Споразум о изменама ЕСЦП биће документован разменом писама потписаних између Министарства финансија и АФД-а преко овлашћених лица која </w:t>
      </w:r>
      <w:r w:rsidR="00486F93" w:rsidRPr="00895819">
        <w:rPr>
          <w:lang w:val="sr-Cyrl-CS"/>
        </w:rPr>
        <w:t>ће</w:t>
      </w:r>
      <w:r w:rsidRPr="00895819">
        <w:rPr>
          <w:lang w:val="sr-Cyrl-CS"/>
        </w:rPr>
        <w:t xml:space="preserve"> бити постављена. </w:t>
      </w:r>
      <w:r w:rsidR="00F76D97" w:rsidRPr="00895819">
        <w:rPr>
          <w:lang w:val="sr-Cyrl-CS"/>
        </w:rPr>
        <w:t>Министарство финансија</w:t>
      </w:r>
      <w:r w:rsidR="00B16F8D" w:rsidRPr="00895819">
        <w:rPr>
          <w:lang w:val="sr-Cyrl-CS"/>
        </w:rPr>
        <w:t xml:space="preserve">, </w:t>
      </w:r>
      <w:r w:rsidRPr="00895819">
        <w:rPr>
          <w:lang w:val="sr-Cyrl-CS"/>
        </w:rPr>
        <w:t>преко овлашћених лица која ће бити постављена, објављује ажурирани ЕСЦП промптно</w:t>
      </w:r>
      <w:r w:rsidR="00B16F8D" w:rsidRPr="00895819">
        <w:rPr>
          <w:lang w:val="sr-Cyrl-CS"/>
        </w:rPr>
        <w:t xml:space="preserve">. </w:t>
      </w:r>
    </w:p>
    <w:p w14:paraId="09532DD0" w14:textId="77777777" w:rsidR="00B16F8D" w:rsidRPr="00895819" w:rsidRDefault="002517E1" w:rsidP="00B16F8D">
      <w:pPr>
        <w:pStyle w:val="ListParagraph"/>
        <w:numPr>
          <w:ilvl w:val="0"/>
          <w:numId w:val="46"/>
        </w:numPr>
        <w:spacing w:after="240"/>
        <w:ind w:left="426" w:hanging="426"/>
        <w:rPr>
          <w:lang w:val="sr-Cyrl-CS"/>
        </w:rPr>
      </w:pPr>
      <w:r w:rsidRPr="00895819">
        <w:rPr>
          <w:lang w:val="sr-Cyrl-CS"/>
        </w:rPr>
        <w:t>Када промене Програма, непредвиђене околности или учинак Програма доведу до промена ризика и утицаја током имплементације Програма, Зајмопримац ће обезбедити додатна средства, ако је потребно, за спровођење радњи и мера за решавање таквих ризика и утицаја, што може укључивати: на пример, утицај на животну средину, здравље и безбедност, прилив радне снаге, родно засновано насиље</w:t>
      </w:r>
      <w:r w:rsidR="00B16F8D" w:rsidRPr="00895819">
        <w:rPr>
          <w:lang w:val="sr-Cyrl-CS"/>
        </w:rPr>
        <w:t>.</w:t>
      </w:r>
    </w:p>
    <w:p w14:paraId="5711400E" w14:textId="77777777" w:rsidR="00B16F8D" w:rsidRPr="00895819" w:rsidRDefault="00B16F8D" w:rsidP="00B16F8D">
      <w:pPr>
        <w:rPr>
          <w:lang w:val="sr-Cyrl-CS"/>
        </w:rPr>
      </w:pPr>
    </w:p>
    <w:p w14:paraId="4BD33B77" w14:textId="77777777" w:rsidR="006412B3" w:rsidRPr="00895819" w:rsidRDefault="006412B3" w:rsidP="00B16F8D">
      <w:pPr>
        <w:rPr>
          <w:lang w:val="sr-Cyrl-CS"/>
        </w:rPr>
      </w:pPr>
    </w:p>
    <w:p w14:paraId="019D3108" w14:textId="77777777" w:rsidR="006412B3" w:rsidRPr="00895819" w:rsidRDefault="006412B3" w:rsidP="00B16F8D">
      <w:pPr>
        <w:rPr>
          <w:lang w:val="sr-Cyrl-CS"/>
        </w:rPr>
        <w:sectPr w:rsidR="006412B3" w:rsidRPr="00895819" w:rsidSect="00485361">
          <w:headerReference w:type="even" r:id="rId21"/>
          <w:headerReference w:type="default" r:id="rId22"/>
          <w:footerReference w:type="even" r:id="rId23"/>
          <w:footerReference w:type="default" r:id="rId24"/>
          <w:headerReference w:type="first" r:id="rId25"/>
          <w:footerReference w:type="first" r:id="rId26"/>
          <w:pgSz w:w="11906" w:h="16838"/>
          <w:pgMar w:top="1417" w:right="1417" w:bottom="1417" w:left="1417" w:header="708" w:footer="400" w:gutter="0"/>
          <w:cols w:space="708"/>
          <w:formProt w:val="0"/>
          <w:titlePg/>
          <w:docGrid w:linePitch="360"/>
        </w:sectPr>
      </w:pPr>
    </w:p>
    <w:tbl>
      <w:tblPr>
        <w:tblW w:w="15900" w:type="dxa"/>
        <w:tblInd w:w="-60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584"/>
        <w:gridCol w:w="5103"/>
        <w:gridCol w:w="1701"/>
        <w:gridCol w:w="1559"/>
        <w:gridCol w:w="2551"/>
        <w:gridCol w:w="3402"/>
      </w:tblGrid>
      <w:tr w:rsidR="00B16F8D" w:rsidRPr="00895819" w14:paraId="65614348" w14:textId="77777777" w:rsidTr="004460D9">
        <w:trPr>
          <w:cantSplit/>
          <w:tblHeader/>
        </w:trPr>
        <w:tc>
          <w:tcPr>
            <w:tcW w:w="1584" w:type="dxa"/>
            <w:shd w:val="clear" w:color="auto" w:fill="002060"/>
            <w:vAlign w:val="center"/>
          </w:tcPr>
          <w:p w14:paraId="066EA97F" w14:textId="77777777" w:rsidR="00B16F8D" w:rsidRPr="00895819" w:rsidRDefault="00486F93" w:rsidP="004460D9">
            <w:pPr>
              <w:pStyle w:val="Tab"/>
              <w:spacing w:before="60" w:after="60"/>
              <w:rPr>
                <w:rFonts w:ascii="Times New Roman" w:hAnsi="Times New Roman"/>
                <w:b/>
                <w:color w:val="FFFFFF" w:themeColor="background1"/>
                <w:szCs w:val="20"/>
                <w:lang w:val="sr-Cyrl-CS"/>
              </w:rPr>
            </w:pPr>
            <w:r w:rsidRPr="00895819">
              <w:rPr>
                <w:rFonts w:ascii="Times New Roman" w:hAnsi="Times New Roman"/>
                <w:b/>
                <w:color w:val="FFFFFF" w:themeColor="background1"/>
                <w:szCs w:val="20"/>
                <w:lang w:val="sr-Cyrl-CS"/>
              </w:rPr>
              <w:lastRenderedPageBreak/>
              <w:t>Тема</w:t>
            </w:r>
          </w:p>
        </w:tc>
        <w:tc>
          <w:tcPr>
            <w:tcW w:w="5103" w:type="dxa"/>
            <w:shd w:val="clear" w:color="auto" w:fill="002060"/>
            <w:vAlign w:val="center"/>
          </w:tcPr>
          <w:p w14:paraId="5E691958" w14:textId="77777777" w:rsidR="00B16F8D" w:rsidRPr="00895819" w:rsidRDefault="00486F93" w:rsidP="004460D9">
            <w:pPr>
              <w:pStyle w:val="Tab"/>
              <w:spacing w:before="60" w:after="60"/>
              <w:rPr>
                <w:rFonts w:ascii="Times New Roman" w:hAnsi="Times New Roman"/>
                <w:b/>
                <w:color w:val="FFFFFF" w:themeColor="background1"/>
                <w:szCs w:val="20"/>
                <w:lang w:val="sr-Cyrl-CS"/>
              </w:rPr>
            </w:pPr>
            <w:r w:rsidRPr="00895819">
              <w:rPr>
                <w:rFonts w:ascii="Times New Roman" w:hAnsi="Times New Roman"/>
                <w:b/>
                <w:color w:val="FFFFFF" w:themeColor="background1"/>
                <w:szCs w:val="20"/>
                <w:lang w:val="sr-Cyrl-CS"/>
              </w:rPr>
              <w:t>Очекиване активности у области животне средине и социјалних питања</w:t>
            </w:r>
          </w:p>
        </w:tc>
        <w:tc>
          <w:tcPr>
            <w:tcW w:w="1701" w:type="dxa"/>
            <w:shd w:val="clear" w:color="auto" w:fill="002060"/>
            <w:vAlign w:val="center"/>
          </w:tcPr>
          <w:p w14:paraId="00FE30C1" w14:textId="77777777" w:rsidR="00B16F8D" w:rsidRPr="00895819" w:rsidRDefault="00486F93" w:rsidP="004460D9">
            <w:pPr>
              <w:pStyle w:val="Tab"/>
              <w:spacing w:before="60" w:after="60"/>
              <w:rPr>
                <w:rFonts w:ascii="Times New Roman" w:hAnsi="Times New Roman"/>
                <w:b/>
                <w:color w:val="FFFFFF" w:themeColor="background1"/>
                <w:szCs w:val="20"/>
                <w:lang w:val="sr-Cyrl-CS"/>
              </w:rPr>
            </w:pPr>
            <w:r w:rsidRPr="00895819">
              <w:rPr>
                <w:rFonts w:ascii="Times New Roman" w:hAnsi="Times New Roman"/>
                <w:b/>
                <w:color w:val="FFFFFF" w:themeColor="background1"/>
                <w:szCs w:val="20"/>
                <w:lang w:val="sr-Cyrl-CS"/>
              </w:rPr>
              <w:t>Ресурси</w:t>
            </w:r>
            <w:r w:rsidR="00B16F8D" w:rsidRPr="00895819">
              <w:rPr>
                <w:rFonts w:ascii="Times New Roman" w:hAnsi="Times New Roman"/>
                <w:b/>
                <w:color w:val="FFFFFF" w:themeColor="background1"/>
                <w:szCs w:val="20"/>
                <w:lang w:val="sr-Cyrl-CS"/>
              </w:rPr>
              <w:t xml:space="preserve"> &amp; </w:t>
            </w:r>
            <w:r w:rsidRPr="00895819">
              <w:rPr>
                <w:rFonts w:ascii="Times New Roman" w:hAnsi="Times New Roman"/>
                <w:b/>
                <w:color w:val="FFFFFF" w:themeColor="background1"/>
                <w:szCs w:val="20"/>
                <w:lang w:val="sr-Cyrl-CS"/>
              </w:rPr>
              <w:t>Одговорности</w:t>
            </w:r>
          </w:p>
        </w:tc>
        <w:tc>
          <w:tcPr>
            <w:tcW w:w="1559" w:type="dxa"/>
            <w:shd w:val="clear" w:color="auto" w:fill="002060"/>
            <w:vAlign w:val="center"/>
          </w:tcPr>
          <w:p w14:paraId="32A0FFEE" w14:textId="77777777" w:rsidR="00B16F8D" w:rsidRPr="00895819" w:rsidRDefault="00486F93" w:rsidP="006412B3">
            <w:pPr>
              <w:pStyle w:val="Tab"/>
              <w:spacing w:before="60" w:after="60"/>
              <w:rPr>
                <w:rFonts w:ascii="Times New Roman" w:hAnsi="Times New Roman"/>
                <w:b/>
                <w:color w:val="FFFFFF" w:themeColor="background1"/>
                <w:spacing w:val="-2"/>
                <w:szCs w:val="20"/>
                <w:lang w:val="sr-Cyrl-CS"/>
              </w:rPr>
            </w:pPr>
            <w:r w:rsidRPr="00895819">
              <w:rPr>
                <w:rFonts w:ascii="Times New Roman" w:hAnsi="Times New Roman"/>
                <w:b/>
                <w:color w:val="FFFFFF" w:themeColor="background1"/>
                <w:spacing w:val="-2"/>
                <w:szCs w:val="20"/>
                <w:lang w:val="sr-Cyrl-CS"/>
              </w:rPr>
              <w:t>Извори финансирања</w:t>
            </w:r>
          </w:p>
        </w:tc>
        <w:tc>
          <w:tcPr>
            <w:tcW w:w="2551" w:type="dxa"/>
            <w:shd w:val="clear" w:color="auto" w:fill="002060"/>
            <w:vAlign w:val="center"/>
          </w:tcPr>
          <w:p w14:paraId="6587208E" w14:textId="77777777" w:rsidR="00B16F8D" w:rsidRPr="00895819" w:rsidRDefault="00486F93" w:rsidP="004460D9">
            <w:pPr>
              <w:pStyle w:val="Tab"/>
              <w:spacing w:before="60" w:after="60"/>
              <w:rPr>
                <w:rFonts w:ascii="Times New Roman" w:hAnsi="Times New Roman"/>
                <w:b/>
                <w:color w:val="FFFFFF" w:themeColor="background1"/>
                <w:szCs w:val="20"/>
                <w:lang w:val="sr-Cyrl-CS"/>
              </w:rPr>
            </w:pPr>
            <w:r w:rsidRPr="00895819">
              <w:rPr>
                <w:rFonts w:ascii="Times New Roman" w:hAnsi="Times New Roman"/>
                <w:b/>
                <w:color w:val="FFFFFF" w:themeColor="background1"/>
                <w:spacing w:val="-2"/>
                <w:szCs w:val="20"/>
                <w:lang w:val="sr-Cyrl-CS"/>
              </w:rPr>
              <w:t>Календар</w:t>
            </w:r>
            <w:r w:rsidR="00B16F8D" w:rsidRPr="00895819">
              <w:rPr>
                <w:rFonts w:ascii="Times New Roman" w:hAnsi="Times New Roman"/>
                <w:b/>
                <w:color w:val="FFFFFF" w:themeColor="background1"/>
                <w:spacing w:val="-2"/>
                <w:szCs w:val="20"/>
                <w:lang w:val="sr-Cyrl-CS"/>
              </w:rPr>
              <w:t xml:space="preserve">: </w:t>
            </w:r>
            <w:r w:rsidRPr="00895819">
              <w:rPr>
                <w:rFonts w:ascii="Times New Roman" w:hAnsi="Times New Roman"/>
                <w:b/>
                <w:color w:val="FFFFFF" w:themeColor="background1"/>
                <w:spacing w:val="-2"/>
                <w:szCs w:val="20"/>
                <w:lang w:val="sr-Cyrl-CS"/>
              </w:rPr>
              <w:t>Концепт</w:t>
            </w:r>
            <w:r w:rsidR="00B16F8D" w:rsidRPr="00895819">
              <w:rPr>
                <w:rFonts w:ascii="Times New Roman" w:hAnsi="Times New Roman"/>
                <w:b/>
                <w:color w:val="FFFFFF" w:themeColor="background1"/>
                <w:spacing w:val="-2"/>
                <w:szCs w:val="20"/>
                <w:lang w:val="sr-Cyrl-CS"/>
              </w:rPr>
              <w:t xml:space="preserve"> &amp; </w:t>
            </w:r>
            <w:r w:rsidRPr="00895819">
              <w:rPr>
                <w:rFonts w:ascii="Times New Roman" w:hAnsi="Times New Roman"/>
                <w:b/>
                <w:color w:val="FFFFFF" w:themeColor="background1"/>
                <w:spacing w:val="-2"/>
                <w:szCs w:val="20"/>
                <w:lang w:val="sr-Cyrl-CS"/>
              </w:rPr>
              <w:t>имплементација</w:t>
            </w:r>
          </w:p>
        </w:tc>
        <w:tc>
          <w:tcPr>
            <w:tcW w:w="3402" w:type="dxa"/>
            <w:shd w:val="clear" w:color="auto" w:fill="002060"/>
            <w:vAlign w:val="center"/>
          </w:tcPr>
          <w:p w14:paraId="0BF8DDCA" w14:textId="77777777" w:rsidR="00B16F8D" w:rsidRPr="00895819" w:rsidRDefault="00486F93" w:rsidP="004460D9">
            <w:pPr>
              <w:pStyle w:val="Tab"/>
              <w:spacing w:before="60" w:after="60"/>
              <w:rPr>
                <w:rFonts w:ascii="Times New Roman" w:hAnsi="Times New Roman"/>
                <w:b/>
                <w:color w:val="FFFFFF" w:themeColor="background1"/>
                <w:szCs w:val="20"/>
                <w:lang w:val="sr-Cyrl-CS"/>
              </w:rPr>
            </w:pPr>
            <w:r w:rsidRPr="00895819">
              <w:rPr>
                <w:rFonts w:ascii="Times New Roman" w:hAnsi="Times New Roman"/>
                <w:b/>
                <w:color w:val="FFFFFF" w:themeColor="background1"/>
                <w:szCs w:val="20"/>
                <w:lang w:val="sr-Cyrl-CS"/>
              </w:rPr>
              <w:t>Показатељи постигнућа</w:t>
            </w:r>
          </w:p>
        </w:tc>
      </w:tr>
      <w:tr w:rsidR="00B16F8D" w:rsidRPr="00895819" w14:paraId="5B2E8A88" w14:textId="77777777" w:rsidTr="004460D9">
        <w:trPr>
          <w:cantSplit/>
        </w:trPr>
        <w:tc>
          <w:tcPr>
            <w:tcW w:w="15900" w:type="dxa"/>
            <w:gridSpan w:val="6"/>
            <w:shd w:val="clear" w:color="auto" w:fill="002060"/>
            <w:vAlign w:val="center"/>
          </w:tcPr>
          <w:p w14:paraId="5F5F0423" w14:textId="77777777" w:rsidR="00B16F8D" w:rsidRPr="00895819" w:rsidRDefault="006B4C00" w:rsidP="004460D9">
            <w:pPr>
              <w:pStyle w:val="Tab"/>
              <w:spacing w:before="60" w:after="60"/>
              <w:jc w:val="left"/>
              <w:rPr>
                <w:rFonts w:ascii="Times New Roman" w:hAnsi="Times New Roman"/>
                <w:b/>
                <w:color w:val="FFFFFF" w:themeColor="background1"/>
                <w:szCs w:val="20"/>
                <w:lang w:val="sr-Cyrl-CS"/>
              </w:rPr>
            </w:pPr>
            <w:r w:rsidRPr="00895819">
              <w:rPr>
                <w:rFonts w:ascii="Times New Roman" w:hAnsi="Times New Roman"/>
                <w:b/>
                <w:color w:val="FFFFFF" w:themeColor="background1"/>
                <w:szCs w:val="20"/>
                <w:lang w:val="sr-Cyrl-CS"/>
              </w:rPr>
              <w:t>Преамбула</w:t>
            </w:r>
          </w:p>
        </w:tc>
      </w:tr>
      <w:tr w:rsidR="00B16F8D" w:rsidRPr="00895819" w14:paraId="4C7A4A21" w14:textId="77777777" w:rsidTr="00485361">
        <w:trPr>
          <w:cantSplit/>
          <w:trHeight w:val="20"/>
        </w:trPr>
        <w:tc>
          <w:tcPr>
            <w:tcW w:w="1584" w:type="dxa"/>
            <w:vMerge w:val="restart"/>
            <w:vAlign w:val="center"/>
          </w:tcPr>
          <w:p w14:paraId="238558C0" w14:textId="77777777" w:rsidR="00B16F8D" w:rsidRPr="00895819" w:rsidRDefault="00486F93" w:rsidP="00485361">
            <w:pPr>
              <w:pStyle w:val="Tab"/>
              <w:spacing w:before="0" w:after="0"/>
              <w:jc w:val="left"/>
              <w:rPr>
                <w:rFonts w:ascii="Times New Roman" w:hAnsi="Times New Roman"/>
                <w:szCs w:val="20"/>
                <w:lang w:val="sr-Cyrl-CS"/>
              </w:rPr>
            </w:pPr>
            <w:r w:rsidRPr="00895819">
              <w:rPr>
                <w:rFonts w:ascii="Times New Roman" w:hAnsi="Times New Roman"/>
                <w:szCs w:val="20"/>
                <w:lang w:val="sr-Cyrl-CS"/>
              </w:rPr>
              <w:t>Праћење ЕСЦП</w:t>
            </w:r>
          </w:p>
        </w:tc>
        <w:tc>
          <w:tcPr>
            <w:tcW w:w="5103" w:type="dxa"/>
            <w:vAlign w:val="center"/>
          </w:tcPr>
          <w:p w14:paraId="4DAA9351" w14:textId="77777777" w:rsidR="00B16F8D" w:rsidRPr="00895819" w:rsidRDefault="00452E68" w:rsidP="00485361">
            <w:pPr>
              <w:pStyle w:val="Tab"/>
              <w:snapToGrid w:val="0"/>
              <w:spacing w:before="60" w:after="60"/>
              <w:jc w:val="left"/>
              <w:rPr>
                <w:rFonts w:ascii="Times New Roman" w:hAnsi="Times New Roman"/>
                <w:szCs w:val="20"/>
                <w:lang w:val="sr-Cyrl-CS" w:eastAsia="zh-CN"/>
              </w:rPr>
            </w:pPr>
            <w:r w:rsidRPr="00895819">
              <w:rPr>
                <w:rFonts w:ascii="Times New Roman" w:hAnsi="Times New Roman"/>
                <w:szCs w:val="20"/>
                <w:lang w:val="sr-Cyrl-CS" w:eastAsia="zh-CN"/>
              </w:rPr>
              <w:t>Потврђен је</w:t>
            </w:r>
            <w:r w:rsidR="00486F93" w:rsidRPr="00895819">
              <w:rPr>
                <w:rFonts w:ascii="Times New Roman" w:hAnsi="Times New Roman"/>
                <w:szCs w:val="20"/>
                <w:lang w:val="sr-Cyrl-CS" w:eastAsia="zh-CN"/>
              </w:rPr>
              <w:t xml:space="preserve"> образац извештаја о праћењу у области животне средине и социјалних потања ће се користити током трајања Програма</w:t>
            </w:r>
            <w:r w:rsidR="006B4C00" w:rsidRPr="00895819">
              <w:rPr>
                <w:rFonts w:ascii="Times New Roman" w:hAnsi="Times New Roman"/>
                <w:szCs w:val="20"/>
                <w:lang w:val="sr-Cyrl-CS" w:eastAsia="zh-CN"/>
              </w:rPr>
              <w:t>.</w:t>
            </w:r>
          </w:p>
        </w:tc>
        <w:tc>
          <w:tcPr>
            <w:tcW w:w="1701" w:type="dxa"/>
            <w:vAlign w:val="center"/>
          </w:tcPr>
          <w:p w14:paraId="23E274E7" w14:textId="77777777" w:rsidR="00B16F8D" w:rsidRPr="00895819" w:rsidRDefault="00F76D97" w:rsidP="00485361">
            <w:pPr>
              <w:pStyle w:val="Tab"/>
              <w:spacing w:before="0" w:after="0"/>
              <w:jc w:val="left"/>
              <w:rPr>
                <w:rFonts w:ascii="Times New Roman" w:hAnsi="Times New Roman"/>
                <w:szCs w:val="20"/>
                <w:lang w:val="sr-Cyrl-CS"/>
              </w:rPr>
            </w:pPr>
            <w:r w:rsidRPr="00895819">
              <w:rPr>
                <w:rFonts w:ascii="Times New Roman" w:hAnsi="Times New Roman"/>
                <w:szCs w:val="20"/>
                <w:lang w:val="sr-Cyrl-CS"/>
              </w:rPr>
              <w:t>Министарство финансија</w:t>
            </w:r>
            <w:r w:rsidR="00B16F8D" w:rsidRPr="00895819">
              <w:rPr>
                <w:rFonts w:ascii="Times New Roman" w:hAnsi="Times New Roman"/>
                <w:szCs w:val="20"/>
                <w:lang w:val="sr-Cyrl-CS"/>
              </w:rPr>
              <w:t xml:space="preserve"> </w:t>
            </w:r>
            <w:r w:rsidR="00486F93" w:rsidRPr="00895819">
              <w:rPr>
                <w:rFonts w:ascii="Times New Roman" w:hAnsi="Times New Roman"/>
                <w:szCs w:val="20"/>
                <w:lang w:val="sr-Cyrl-CS"/>
              </w:rPr>
              <w:t>и АФД</w:t>
            </w:r>
            <w:r w:rsidR="00B16F8D" w:rsidRPr="00895819">
              <w:rPr>
                <w:rFonts w:ascii="Times New Roman" w:hAnsi="Times New Roman"/>
                <w:szCs w:val="20"/>
                <w:lang w:val="sr-Cyrl-CS"/>
              </w:rPr>
              <w:t xml:space="preserve"> </w:t>
            </w:r>
          </w:p>
        </w:tc>
        <w:tc>
          <w:tcPr>
            <w:tcW w:w="1559" w:type="dxa"/>
            <w:vAlign w:val="center"/>
          </w:tcPr>
          <w:p w14:paraId="41AB79AA" w14:textId="77777777" w:rsidR="00B16F8D" w:rsidRPr="00895819" w:rsidRDefault="00B16F8D" w:rsidP="00485361">
            <w:pPr>
              <w:pStyle w:val="Tab"/>
              <w:spacing w:before="0" w:after="0"/>
              <w:rPr>
                <w:rFonts w:ascii="Times New Roman" w:hAnsi="Times New Roman"/>
                <w:szCs w:val="20"/>
                <w:lang w:val="sr-Cyrl-CS"/>
              </w:rPr>
            </w:pPr>
            <w:r w:rsidRPr="00895819">
              <w:rPr>
                <w:rFonts w:ascii="Times New Roman" w:hAnsi="Times New Roman"/>
                <w:szCs w:val="20"/>
                <w:lang w:val="sr-Cyrl-CS"/>
              </w:rPr>
              <w:t>/</w:t>
            </w:r>
          </w:p>
        </w:tc>
        <w:tc>
          <w:tcPr>
            <w:tcW w:w="2551" w:type="dxa"/>
            <w:vAlign w:val="center"/>
          </w:tcPr>
          <w:p w14:paraId="6A674DFD" w14:textId="77777777" w:rsidR="00B16F8D" w:rsidRPr="00895819" w:rsidRDefault="00452E68" w:rsidP="00D64073">
            <w:pPr>
              <w:pStyle w:val="Tab"/>
              <w:spacing w:before="0" w:after="0"/>
              <w:jc w:val="left"/>
              <w:rPr>
                <w:rFonts w:ascii="Times New Roman" w:hAnsi="Times New Roman"/>
                <w:szCs w:val="20"/>
                <w:lang w:val="sr-Cyrl-CS"/>
              </w:rPr>
            </w:pPr>
            <w:r w:rsidRPr="00895819">
              <w:rPr>
                <w:rFonts w:ascii="Times New Roman" w:hAnsi="Times New Roman"/>
                <w:szCs w:val="20"/>
                <w:lang w:val="sr-Cyrl-CS"/>
              </w:rPr>
              <w:t xml:space="preserve">У року од месец </w:t>
            </w:r>
            <w:r w:rsidR="00B16F8D" w:rsidRPr="00895819">
              <w:rPr>
                <w:rFonts w:ascii="Times New Roman" w:hAnsi="Times New Roman"/>
                <w:szCs w:val="20"/>
                <w:lang w:val="sr-Cyrl-CS"/>
              </w:rPr>
              <w:t xml:space="preserve">(1) </w:t>
            </w:r>
            <w:r w:rsidRPr="00895819">
              <w:rPr>
                <w:rFonts w:ascii="Times New Roman" w:hAnsi="Times New Roman"/>
                <w:szCs w:val="20"/>
                <w:lang w:val="sr-Cyrl-CS"/>
              </w:rPr>
              <w:t>дана након Датума ступања на снагу</w:t>
            </w:r>
          </w:p>
        </w:tc>
        <w:tc>
          <w:tcPr>
            <w:tcW w:w="3402" w:type="dxa"/>
            <w:vAlign w:val="center"/>
          </w:tcPr>
          <w:p w14:paraId="1827DDF2" w14:textId="77777777" w:rsidR="00B16F8D" w:rsidRPr="00895819" w:rsidRDefault="00F76D97" w:rsidP="00485361">
            <w:pPr>
              <w:pStyle w:val="Tab"/>
              <w:spacing w:before="0" w:after="0"/>
              <w:jc w:val="left"/>
              <w:rPr>
                <w:rFonts w:ascii="Times New Roman" w:hAnsi="Times New Roman"/>
                <w:szCs w:val="20"/>
                <w:lang w:val="sr-Cyrl-CS"/>
              </w:rPr>
            </w:pPr>
            <w:r w:rsidRPr="00895819">
              <w:rPr>
                <w:rFonts w:ascii="Times New Roman" w:hAnsi="Times New Roman"/>
                <w:szCs w:val="20"/>
                <w:lang w:val="sr-Cyrl-CS"/>
              </w:rPr>
              <w:t>Министарство финансија</w:t>
            </w:r>
            <w:r w:rsidR="00B16F8D" w:rsidRPr="00895819">
              <w:rPr>
                <w:rFonts w:ascii="Times New Roman" w:hAnsi="Times New Roman"/>
                <w:szCs w:val="20"/>
                <w:lang w:val="sr-Cyrl-CS"/>
              </w:rPr>
              <w:t xml:space="preserve"> </w:t>
            </w:r>
            <w:r w:rsidR="00452E68" w:rsidRPr="00895819">
              <w:rPr>
                <w:rFonts w:ascii="Times New Roman" w:hAnsi="Times New Roman"/>
                <w:szCs w:val="20"/>
                <w:lang w:val="sr-Cyrl-CS"/>
              </w:rPr>
              <w:t>и АФД одобравају образац извештаја о праћењу у области животне средине и социјалних питања</w:t>
            </w:r>
          </w:p>
        </w:tc>
      </w:tr>
      <w:tr w:rsidR="00B16F8D" w:rsidRPr="00895819" w14:paraId="2DCC219D" w14:textId="77777777" w:rsidTr="00485361">
        <w:trPr>
          <w:cantSplit/>
          <w:trHeight w:val="20"/>
        </w:trPr>
        <w:tc>
          <w:tcPr>
            <w:tcW w:w="1584" w:type="dxa"/>
            <w:vMerge/>
            <w:vAlign w:val="center"/>
          </w:tcPr>
          <w:p w14:paraId="0A7ABD31" w14:textId="77777777" w:rsidR="00B16F8D" w:rsidRPr="00895819" w:rsidRDefault="00B16F8D" w:rsidP="00485361">
            <w:pPr>
              <w:pStyle w:val="Tab"/>
              <w:spacing w:before="0" w:after="0"/>
              <w:jc w:val="left"/>
              <w:rPr>
                <w:rFonts w:ascii="Times New Roman" w:hAnsi="Times New Roman"/>
                <w:szCs w:val="20"/>
                <w:lang w:val="sr-Cyrl-CS"/>
              </w:rPr>
            </w:pPr>
          </w:p>
        </w:tc>
        <w:tc>
          <w:tcPr>
            <w:tcW w:w="5103" w:type="dxa"/>
            <w:vAlign w:val="center"/>
          </w:tcPr>
          <w:p w14:paraId="21B8B52E" w14:textId="77777777" w:rsidR="00B16F8D" w:rsidRPr="00895819" w:rsidRDefault="00452E68" w:rsidP="00D70BE5">
            <w:pPr>
              <w:pStyle w:val="Tab"/>
              <w:snapToGrid w:val="0"/>
              <w:spacing w:before="60" w:after="60"/>
              <w:jc w:val="left"/>
              <w:rPr>
                <w:rFonts w:ascii="Times New Roman" w:hAnsi="Times New Roman"/>
                <w:szCs w:val="20"/>
                <w:lang w:val="sr-Cyrl-CS" w:eastAsia="zh-CN"/>
              </w:rPr>
            </w:pPr>
            <w:r w:rsidRPr="00895819">
              <w:rPr>
                <w:rFonts w:ascii="Times New Roman" w:hAnsi="Times New Roman"/>
                <w:szCs w:val="20"/>
                <w:lang w:val="sr-Cyrl-CS" w:eastAsia="zh-CN"/>
              </w:rPr>
              <w:t>На основу потврђеног обрасца, извештај о праћењу у области животне средине и социјалних питања се подноси АФД-у на сваких 6 месеци</w:t>
            </w:r>
            <w:r w:rsidR="006B4C00" w:rsidRPr="00895819">
              <w:rPr>
                <w:rFonts w:ascii="Times New Roman" w:hAnsi="Times New Roman"/>
                <w:szCs w:val="20"/>
                <w:lang w:val="sr-Cyrl-CS" w:eastAsia="zh-CN"/>
              </w:rPr>
              <w:t>.</w:t>
            </w:r>
          </w:p>
        </w:tc>
        <w:tc>
          <w:tcPr>
            <w:tcW w:w="1701" w:type="dxa"/>
            <w:vAlign w:val="center"/>
          </w:tcPr>
          <w:p w14:paraId="460B57EA" w14:textId="77777777" w:rsidR="00B16F8D" w:rsidRPr="00895819" w:rsidRDefault="00F76D97" w:rsidP="00485361">
            <w:pPr>
              <w:pStyle w:val="Tab"/>
              <w:spacing w:before="0" w:after="0"/>
              <w:jc w:val="left"/>
              <w:rPr>
                <w:rFonts w:ascii="Times New Roman" w:hAnsi="Times New Roman"/>
                <w:szCs w:val="20"/>
                <w:lang w:val="sr-Cyrl-CS"/>
              </w:rPr>
            </w:pPr>
            <w:r w:rsidRPr="00895819">
              <w:rPr>
                <w:rFonts w:ascii="Times New Roman" w:hAnsi="Times New Roman"/>
                <w:szCs w:val="20"/>
                <w:lang w:val="sr-Cyrl-CS"/>
              </w:rPr>
              <w:t>Министарство финансија</w:t>
            </w:r>
          </w:p>
        </w:tc>
        <w:tc>
          <w:tcPr>
            <w:tcW w:w="1559" w:type="dxa"/>
            <w:vAlign w:val="center"/>
          </w:tcPr>
          <w:p w14:paraId="3C387A4F" w14:textId="77777777" w:rsidR="00B16F8D" w:rsidRPr="00895819" w:rsidRDefault="00452E68" w:rsidP="00485361">
            <w:pPr>
              <w:pStyle w:val="Tab"/>
              <w:spacing w:before="0" w:after="0"/>
              <w:jc w:val="left"/>
              <w:rPr>
                <w:rFonts w:ascii="Times New Roman" w:hAnsi="Times New Roman"/>
                <w:szCs w:val="20"/>
                <w:lang w:val="sr-Cyrl-CS"/>
              </w:rPr>
            </w:pPr>
            <w:r w:rsidRPr="00895819">
              <w:rPr>
                <w:rFonts w:ascii="Times New Roman" w:hAnsi="Times New Roman"/>
                <w:szCs w:val="20"/>
                <w:lang w:val="sr-Cyrl-CS"/>
              </w:rPr>
              <w:t>Програмски буџет</w:t>
            </w:r>
          </w:p>
        </w:tc>
        <w:tc>
          <w:tcPr>
            <w:tcW w:w="2551" w:type="dxa"/>
            <w:vAlign w:val="center"/>
          </w:tcPr>
          <w:p w14:paraId="5DB8FB6B" w14:textId="77777777" w:rsidR="00B16F8D" w:rsidRPr="00895819" w:rsidRDefault="00452E68" w:rsidP="00D70BE5">
            <w:pPr>
              <w:pStyle w:val="Tab"/>
              <w:spacing w:before="0" w:after="0"/>
              <w:jc w:val="left"/>
              <w:rPr>
                <w:rFonts w:ascii="Times New Roman" w:hAnsi="Times New Roman"/>
                <w:szCs w:val="20"/>
                <w:lang w:val="sr-Cyrl-CS"/>
              </w:rPr>
            </w:pPr>
            <w:r w:rsidRPr="00895819">
              <w:rPr>
                <w:rFonts w:ascii="Times New Roman" w:hAnsi="Times New Roman"/>
                <w:szCs w:val="20"/>
                <w:lang w:val="sr-Cyrl-CS"/>
              </w:rPr>
              <w:t>Сваких 6 месеци</w:t>
            </w:r>
          </w:p>
        </w:tc>
        <w:tc>
          <w:tcPr>
            <w:tcW w:w="3402" w:type="dxa"/>
            <w:vAlign w:val="center"/>
          </w:tcPr>
          <w:p w14:paraId="1C922618" w14:textId="77777777" w:rsidR="00B16F8D" w:rsidRPr="00895819" w:rsidRDefault="00452E68" w:rsidP="00D70BE5">
            <w:pPr>
              <w:pStyle w:val="Tab"/>
              <w:spacing w:before="0" w:after="0"/>
              <w:jc w:val="left"/>
              <w:rPr>
                <w:rFonts w:ascii="Times New Roman" w:hAnsi="Times New Roman"/>
                <w:szCs w:val="20"/>
                <w:lang w:val="sr-Cyrl-CS"/>
              </w:rPr>
            </w:pPr>
            <w:r w:rsidRPr="00895819">
              <w:rPr>
                <w:rFonts w:ascii="Times New Roman" w:hAnsi="Times New Roman"/>
                <w:szCs w:val="20"/>
                <w:lang w:val="sr-Cyrl-CS"/>
              </w:rPr>
              <w:t xml:space="preserve">АФД добија и одобрава извештаје о праћењу у области животне средине и социјалних питања </w:t>
            </w:r>
            <w:r w:rsidR="006B4C00" w:rsidRPr="00895819">
              <w:rPr>
                <w:rFonts w:ascii="Times New Roman" w:hAnsi="Times New Roman"/>
                <w:szCs w:val="20"/>
                <w:lang w:val="sr-Cyrl-CS"/>
              </w:rPr>
              <w:t xml:space="preserve">на </w:t>
            </w:r>
            <w:r w:rsidRPr="00895819">
              <w:rPr>
                <w:rFonts w:ascii="Times New Roman" w:hAnsi="Times New Roman"/>
                <w:szCs w:val="20"/>
                <w:lang w:val="sr-Cyrl-CS"/>
              </w:rPr>
              <w:t>сваких 6 месеци</w:t>
            </w:r>
          </w:p>
        </w:tc>
      </w:tr>
      <w:tr w:rsidR="00B16F8D" w:rsidRPr="00895819" w14:paraId="0EBC64FD" w14:textId="77777777" w:rsidTr="00485361">
        <w:trPr>
          <w:cantSplit/>
          <w:trHeight w:val="20"/>
        </w:trPr>
        <w:tc>
          <w:tcPr>
            <w:tcW w:w="1584" w:type="dxa"/>
            <w:vAlign w:val="center"/>
          </w:tcPr>
          <w:p w14:paraId="0B325509" w14:textId="77777777" w:rsidR="00B16F8D" w:rsidRPr="00895819" w:rsidRDefault="00452E68" w:rsidP="00485361">
            <w:pPr>
              <w:pStyle w:val="Tab"/>
              <w:spacing w:before="0" w:after="0"/>
              <w:jc w:val="left"/>
              <w:rPr>
                <w:rFonts w:ascii="Times New Roman" w:hAnsi="Times New Roman"/>
                <w:szCs w:val="20"/>
                <w:lang w:val="sr-Cyrl-CS"/>
              </w:rPr>
            </w:pPr>
            <w:r w:rsidRPr="00895819">
              <w:rPr>
                <w:rFonts w:ascii="Times New Roman" w:hAnsi="Times New Roman"/>
                <w:szCs w:val="20"/>
                <w:lang w:val="sr-Cyrl-CS"/>
              </w:rPr>
              <w:t xml:space="preserve">Обавештавање о инцидентима и несрећама </w:t>
            </w:r>
          </w:p>
        </w:tc>
        <w:tc>
          <w:tcPr>
            <w:tcW w:w="5103" w:type="dxa"/>
            <w:vAlign w:val="center"/>
          </w:tcPr>
          <w:p w14:paraId="24F4FB4F" w14:textId="77777777" w:rsidR="00B16F8D" w:rsidRPr="00895819" w:rsidRDefault="00452E68" w:rsidP="00485361">
            <w:pPr>
              <w:pStyle w:val="NoSpacing"/>
              <w:spacing w:before="60" w:after="60"/>
              <w:jc w:val="both"/>
              <w:rPr>
                <w:rFonts w:ascii="Times New Roman" w:hAnsi="Times New Roman" w:cs="Times New Roman"/>
                <w:sz w:val="20"/>
                <w:szCs w:val="20"/>
                <w:lang w:val="sr-Cyrl-CS"/>
              </w:rPr>
            </w:pPr>
            <w:r w:rsidRPr="00895819">
              <w:rPr>
                <w:rFonts w:ascii="Times New Roman" w:hAnsi="Times New Roman" w:cs="Times New Roman"/>
                <w:sz w:val="20"/>
                <w:szCs w:val="20"/>
                <w:lang w:val="sr-Cyrl-CS"/>
              </w:rPr>
              <w:t>Надлежни буџетски корисник ће преко ЈКО обавестити АФД у року од 48 сати о било којој тешкој несрећи у вези са Програмом која има, или је вероватно да ће имати значајан негативан утицај на животну средину и/или на погођене заједнице, јавност или запослене на Програму</w:t>
            </w:r>
            <w:r w:rsidR="00B16F8D" w:rsidRPr="00895819">
              <w:rPr>
                <w:rFonts w:ascii="Times New Roman" w:hAnsi="Times New Roman" w:cs="Times New Roman"/>
                <w:sz w:val="20"/>
                <w:szCs w:val="20"/>
                <w:lang w:val="sr-Cyrl-CS"/>
              </w:rPr>
              <w:t>.</w:t>
            </w:r>
          </w:p>
          <w:p w14:paraId="6559D2A6" w14:textId="77777777" w:rsidR="00B16F8D" w:rsidRPr="00895819" w:rsidRDefault="00452E68" w:rsidP="00485361">
            <w:pPr>
              <w:pStyle w:val="NoSpacing"/>
              <w:spacing w:before="60" w:after="60"/>
              <w:jc w:val="both"/>
              <w:rPr>
                <w:rFonts w:ascii="Times New Roman" w:hAnsi="Times New Roman" w:cs="Times New Roman"/>
                <w:sz w:val="20"/>
                <w:szCs w:val="20"/>
                <w:lang w:val="sr-Cyrl-CS"/>
              </w:rPr>
            </w:pPr>
            <w:r w:rsidRPr="00895819">
              <w:rPr>
                <w:rFonts w:ascii="Times New Roman" w:hAnsi="Times New Roman" w:cs="Times New Roman"/>
                <w:sz w:val="20"/>
                <w:szCs w:val="20"/>
                <w:lang w:val="sr-Cyrl-CS"/>
              </w:rPr>
              <w:t xml:space="preserve">Истовремено, одговорни буџетски корисник има рок од 5 дана да – преко Министарства финансија – достави детаљне </w:t>
            </w:r>
            <w:r w:rsidR="006B4C00" w:rsidRPr="00895819">
              <w:rPr>
                <w:rFonts w:ascii="Times New Roman" w:hAnsi="Times New Roman" w:cs="Times New Roman"/>
                <w:sz w:val="20"/>
                <w:szCs w:val="20"/>
                <w:lang w:val="sr-Cyrl-CS"/>
              </w:rPr>
              <w:t>информације</w:t>
            </w:r>
            <w:r w:rsidRPr="00895819">
              <w:rPr>
                <w:rFonts w:ascii="Times New Roman" w:hAnsi="Times New Roman" w:cs="Times New Roman"/>
                <w:sz w:val="20"/>
                <w:szCs w:val="20"/>
                <w:lang w:val="sr-Cyrl-CS"/>
              </w:rPr>
              <w:t xml:space="preserve"> у вези са несрећом, са назнаком хитних предузетих или планираних мера за отклањање, као и свим информације од било ког извођача и надзорног органа, зависно од случаја</w:t>
            </w:r>
            <w:r w:rsidR="00B16F8D" w:rsidRPr="00895819">
              <w:rPr>
                <w:rFonts w:ascii="Times New Roman" w:hAnsi="Times New Roman" w:cs="Times New Roman"/>
                <w:sz w:val="20"/>
                <w:szCs w:val="20"/>
                <w:lang w:val="sr-Cyrl-CS"/>
              </w:rPr>
              <w:t xml:space="preserve">. </w:t>
            </w:r>
          </w:p>
          <w:p w14:paraId="41F3190D" w14:textId="77777777" w:rsidR="00B16F8D" w:rsidRPr="00895819" w:rsidRDefault="00090696" w:rsidP="00485361">
            <w:pPr>
              <w:pStyle w:val="Tab"/>
              <w:spacing w:before="60" w:after="60"/>
              <w:jc w:val="left"/>
              <w:rPr>
                <w:rFonts w:ascii="Times New Roman" w:hAnsi="Times New Roman"/>
                <w:szCs w:val="20"/>
                <w:lang w:val="sr-Cyrl-CS"/>
              </w:rPr>
            </w:pPr>
            <w:r w:rsidRPr="00895819">
              <w:rPr>
                <w:rFonts w:ascii="Times New Roman" w:hAnsi="Times New Roman"/>
                <w:szCs w:val="20"/>
                <w:lang w:val="sr-Cyrl-CS"/>
              </w:rPr>
              <w:t>С</w:t>
            </w:r>
            <w:r w:rsidR="00452E68" w:rsidRPr="00895819">
              <w:rPr>
                <w:rFonts w:ascii="Times New Roman" w:hAnsi="Times New Roman"/>
                <w:szCs w:val="20"/>
                <w:lang w:val="sr-Cyrl-CS"/>
              </w:rPr>
              <w:t>ви друг</w:t>
            </w:r>
            <w:r w:rsidRPr="00895819">
              <w:rPr>
                <w:rFonts w:ascii="Times New Roman" w:hAnsi="Times New Roman"/>
                <w:szCs w:val="20"/>
                <w:lang w:val="sr-Cyrl-CS"/>
              </w:rPr>
              <w:t>и</w:t>
            </w:r>
            <w:r w:rsidR="00452E68" w:rsidRPr="00895819">
              <w:rPr>
                <w:rFonts w:ascii="Times New Roman" w:hAnsi="Times New Roman"/>
                <w:szCs w:val="20"/>
                <w:lang w:val="sr-Cyrl-CS"/>
              </w:rPr>
              <w:t xml:space="preserve"> инциденти и несреће на локацијама Програма који могу имати значајне негативне ефекте на животну средину, локално становништво и раднике </w:t>
            </w:r>
            <w:r w:rsidRPr="00895819">
              <w:rPr>
                <w:rFonts w:ascii="Times New Roman" w:hAnsi="Times New Roman"/>
                <w:szCs w:val="20"/>
                <w:lang w:val="sr-Cyrl-CS"/>
              </w:rPr>
              <w:t xml:space="preserve">предмет су интерног </w:t>
            </w:r>
            <w:r w:rsidR="00452E68" w:rsidRPr="00895819">
              <w:rPr>
                <w:rFonts w:ascii="Times New Roman" w:hAnsi="Times New Roman"/>
                <w:szCs w:val="20"/>
                <w:lang w:val="sr-Cyrl-CS"/>
              </w:rPr>
              <w:t>обавештава</w:t>
            </w:r>
            <w:r w:rsidRPr="00895819">
              <w:rPr>
                <w:rFonts w:ascii="Times New Roman" w:hAnsi="Times New Roman"/>
                <w:szCs w:val="20"/>
                <w:lang w:val="sr-Cyrl-CS"/>
              </w:rPr>
              <w:t xml:space="preserve">ња, као и навођење </w:t>
            </w:r>
            <w:r w:rsidR="00452E68" w:rsidRPr="00895819">
              <w:rPr>
                <w:rFonts w:ascii="Times New Roman" w:hAnsi="Times New Roman"/>
                <w:szCs w:val="20"/>
                <w:lang w:val="sr-Cyrl-CS"/>
              </w:rPr>
              <w:t>у извештају о праћењу који се доставља АФД-у</w:t>
            </w:r>
            <w:r w:rsidR="006B4C00" w:rsidRPr="00895819">
              <w:rPr>
                <w:rFonts w:ascii="Times New Roman" w:hAnsi="Times New Roman"/>
                <w:szCs w:val="20"/>
                <w:lang w:val="sr-Cyrl-CS"/>
              </w:rPr>
              <w:t>.</w:t>
            </w:r>
          </w:p>
        </w:tc>
        <w:tc>
          <w:tcPr>
            <w:tcW w:w="1701" w:type="dxa"/>
            <w:vAlign w:val="center"/>
          </w:tcPr>
          <w:p w14:paraId="2614CD09" w14:textId="77777777" w:rsidR="00452E68" w:rsidRPr="00895819" w:rsidRDefault="00452E68" w:rsidP="00452E68">
            <w:pPr>
              <w:pStyle w:val="Tab"/>
              <w:spacing w:before="0" w:after="60"/>
              <w:jc w:val="left"/>
              <w:rPr>
                <w:rFonts w:ascii="Times New Roman" w:hAnsi="Times New Roman"/>
                <w:szCs w:val="20"/>
                <w:lang w:val="sr-Cyrl-CS"/>
              </w:rPr>
            </w:pPr>
            <w:r w:rsidRPr="00895819">
              <w:rPr>
                <w:rFonts w:ascii="Times New Roman" w:hAnsi="Times New Roman"/>
                <w:szCs w:val="20"/>
                <w:lang w:val="sr-Cyrl-CS"/>
              </w:rPr>
              <w:t>Надлежни буџетски корисници</w:t>
            </w:r>
          </w:p>
          <w:p w14:paraId="070A866C" w14:textId="77777777" w:rsidR="00B16F8D" w:rsidRPr="00895819" w:rsidRDefault="00F76D97" w:rsidP="00452E68">
            <w:pPr>
              <w:pStyle w:val="Tab"/>
              <w:spacing w:before="0" w:after="60"/>
              <w:jc w:val="left"/>
              <w:rPr>
                <w:rFonts w:ascii="Times New Roman" w:hAnsi="Times New Roman"/>
                <w:szCs w:val="20"/>
                <w:lang w:val="sr-Cyrl-CS"/>
              </w:rPr>
            </w:pPr>
            <w:r w:rsidRPr="00895819">
              <w:rPr>
                <w:rFonts w:ascii="Times New Roman" w:hAnsi="Times New Roman"/>
                <w:szCs w:val="20"/>
                <w:lang w:val="sr-Cyrl-CS"/>
              </w:rPr>
              <w:t>Министарство финансија</w:t>
            </w:r>
            <w:r w:rsidR="00B16F8D" w:rsidRPr="00895819">
              <w:rPr>
                <w:rFonts w:ascii="Times New Roman" w:hAnsi="Times New Roman"/>
                <w:szCs w:val="20"/>
                <w:lang w:val="sr-Cyrl-CS"/>
              </w:rPr>
              <w:t xml:space="preserve"> </w:t>
            </w:r>
          </w:p>
        </w:tc>
        <w:tc>
          <w:tcPr>
            <w:tcW w:w="1559" w:type="dxa"/>
            <w:vAlign w:val="center"/>
          </w:tcPr>
          <w:p w14:paraId="39D3A0E5" w14:textId="77777777" w:rsidR="00B16F8D" w:rsidRPr="00895819" w:rsidRDefault="00452E68" w:rsidP="00485361">
            <w:pPr>
              <w:pStyle w:val="Tab"/>
              <w:spacing w:before="0" w:after="60"/>
              <w:jc w:val="left"/>
              <w:rPr>
                <w:rFonts w:ascii="Times New Roman" w:hAnsi="Times New Roman"/>
                <w:szCs w:val="20"/>
                <w:lang w:val="sr-Cyrl-CS"/>
              </w:rPr>
            </w:pPr>
            <w:r w:rsidRPr="00895819">
              <w:rPr>
                <w:rFonts w:ascii="Times New Roman" w:hAnsi="Times New Roman"/>
                <w:szCs w:val="20"/>
                <w:lang w:val="sr-Cyrl-CS"/>
              </w:rPr>
              <w:t>Програмски буџет</w:t>
            </w:r>
          </w:p>
        </w:tc>
        <w:tc>
          <w:tcPr>
            <w:tcW w:w="2551" w:type="dxa"/>
            <w:vAlign w:val="center"/>
          </w:tcPr>
          <w:p w14:paraId="06D04BDC" w14:textId="77777777" w:rsidR="00B16F8D" w:rsidRPr="00895819" w:rsidRDefault="00452E68" w:rsidP="00485361">
            <w:pPr>
              <w:pStyle w:val="Tab"/>
              <w:spacing w:before="0" w:after="0"/>
              <w:jc w:val="left"/>
              <w:rPr>
                <w:rFonts w:ascii="Times New Roman" w:hAnsi="Times New Roman"/>
                <w:szCs w:val="20"/>
                <w:lang w:val="sr-Cyrl-CS"/>
              </w:rPr>
            </w:pPr>
            <w:r w:rsidRPr="00895819">
              <w:rPr>
                <w:rFonts w:ascii="Times New Roman" w:hAnsi="Times New Roman"/>
                <w:szCs w:val="20"/>
                <w:lang w:val="sr-Cyrl-CS"/>
              </w:rPr>
              <w:t>Током трајања Програма</w:t>
            </w:r>
          </w:p>
        </w:tc>
        <w:tc>
          <w:tcPr>
            <w:tcW w:w="3402" w:type="dxa"/>
            <w:vAlign w:val="center"/>
          </w:tcPr>
          <w:p w14:paraId="7FFAE227" w14:textId="77777777" w:rsidR="00090696" w:rsidRPr="00895819" w:rsidRDefault="00090696" w:rsidP="00485361">
            <w:pPr>
              <w:pStyle w:val="Tab"/>
              <w:spacing w:before="0" w:after="60"/>
              <w:jc w:val="left"/>
              <w:rPr>
                <w:rFonts w:ascii="Times New Roman" w:hAnsi="Times New Roman"/>
                <w:color w:val="auto"/>
                <w:szCs w:val="20"/>
                <w:lang w:val="sr-Cyrl-CS"/>
              </w:rPr>
            </w:pPr>
            <w:r w:rsidRPr="00895819">
              <w:rPr>
                <w:rFonts w:ascii="Times New Roman" w:hAnsi="Times New Roman"/>
                <w:color w:val="auto"/>
                <w:szCs w:val="20"/>
                <w:lang w:val="sr-Cyrl-CS"/>
              </w:rPr>
              <w:t>У случају тешке несреће, АФД се упозорава путем е-поште/телефона у року од 48 сати, а конкретан извештај се шаље у року од 5 дана.</w:t>
            </w:r>
          </w:p>
          <w:p w14:paraId="56C2EAF4" w14:textId="77777777" w:rsidR="00B16F8D" w:rsidRPr="00895819" w:rsidRDefault="00090696" w:rsidP="00485361">
            <w:pPr>
              <w:pStyle w:val="Tab"/>
              <w:spacing w:before="0" w:after="60"/>
              <w:jc w:val="left"/>
              <w:rPr>
                <w:rFonts w:ascii="Times New Roman" w:hAnsi="Times New Roman"/>
                <w:szCs w:val="20"/>
                <w:lang w:val="sr-Cyrl-CS"/>
              </w:rPr>
            </w:pPr>
            <w:r w:rsidRPr="00895819">
              <w:rPr>
                <w:rFonts w:ascii="Times New Roman" w:hAnsi="Times New Roman"/>
                <w:color w:val="auto"/>
                <w:szCs w:val="20"/>
                <w:lang w:val="sr-Cyrl-CS"/>
              </w:rPr>
              <w:t>Остали инциденти/несреће су пријављени у извештају о мониторингу који се доставља АФД-у.</w:t>
            </w:r>
          </w:p>
        </w:tc>
      </w:tr>
      <w:tr w:rsidR="00B16F8D" w:rsidRPr="00895819" w14:paraId="47202B62" w14:textId="77777777" w:rsidTr="004460D9">
        <w:trPr>
          <w:cantSplit/>
          <w:trHeight w:val="20"/>
        </w:trPr>
        <w:tc>
          <w:tcPr>
            <w:tcW w:w="15900" w:type="dxa"/>
            <w:gridSpan w:val="6"/>
            <w:shd w:val="clear" w:color="auto" w:fill="002060"/>
            <w:vAlign w:val="center"/>
          </w:tcPr>
          <w:p w14:paraId="6C7B0949" w14:textId="77777777" w:rsidR="00B16F8D" w:rsidRPr="00895819" w:rsidRDefault="00B16F8D" w:rsidP="004460D9">
            <w:pPr>
              <w:pStyle w:val="Tab"/>
              <w:spacing w:before="60" w:after="60"/>
              <w:jc w:val="left"/>
              <w:rPr>
                <w:rFonts w:ascii="Times New Roman" w:hAnsi="Times New Roman"/>
                <w:color w:val="FFFFFF" w:themeColor="background1"/>
                <w:szCs w:val="20"/>
                <w:lang w:val="sr-Cyrl-CS"/>
              </w:rPr>
            </w:pPr>
            <w:r w:rsidRPr="00895819">
              <w:rPr>
                <w:rFonts w:ascii="Times New Roman" w:hAnsi="Times New Roman"/>
                <w:b/>
                <w:color w:val="FFFFFF" w:themeColor="background1"/>
                <w:szCs w:val="20"/>
                <w:lang w:val="sr-Cyrl-CS"/>
              </w:rPr>
              <w:t xml:space="preserve">1. </w:t>
            </w:r>
            <w:r w:rsidR="00090696" w:rsidRPr="00895819">
              <w:rPr>
                <w:rFonts w:ascii="Times New Roman" w:hAnsi="Times New Roman"/>
                <w:b/>
                <w:color w:val="FFFFFF" w:themeColor="background1"/>
                <w:szCs w:val="20"/>
                <w:lang w:val="sr-Cyrl-CS"/>
              </w:rPr>
              <w:t>Процена и управљање еколошким и социјалним ризицима и утицајима</w:t>
            </w:r>
          </w:p>
        </w:tc>
      </w:tr>
      <w:tr w:rsidR="00B16F8D" w:rsidRPr="00895819" w14:paraId="7ED70920" w14:textId="77777777" w:rsidTr="00485361">
        <w:trPr>
          <w:cantSplit/>
          <w:trHeight w:val="20"/>
        </w:trPr>
        <w:tc>
          <w:tcPr>
            <w:tcW w:w="1584" w:type="dxa"/>
            <w:vMerge w:val="restart"/>
            <w:vAlign w:val="center"/>
          </w:tcPr>
          <w:p w14:paraId="382D1DCD" w14:textId="77777777" w:rsidR="00B16F8D" w:rsidRPr="00895819" w:rsidRDefault="00B16F8D" w:rsidP="00485361">
            <w:pPr>
              <w:pStyle w:val="Tab"/>
              <w:spacing w:before="0" w:after="0"/>
              <w:jc w:val="left"/>
              <w:rPr>
                <w:rFonts w:ascii="Times New Roman" w:hAnsi="Times New Roman"/>
                <w:szCs w:val="20"/>
                <w:lang w:val="sr-Cyrl-CS"/>
              </w:rPr>
            </w:pPr>
            <w:r w:rsidRPr="00895819">
              <w:rPr>
                <w:rFonts w:ascii="Times New Roman" w:hAnsi="Times New Roman"/>
                <w:szCs w:val="20"/>
                <w:lang w:val="sr-Cyrl-CS"/>
              </w:rPr>
              <w:t xml:space="preserve">1.1 </w:t>
            </w:r>
            <w:r w:rsidR="005D3807" w:rsidRPr="00895819">
              <w:rPr>
                <w:rFonts w:ascii="Times New Roman" w:hAnsi="Times New Roman"/>
                <w:szCs w:val="20"/>
                <w:lang w:val="sr-Cyrl-CS"/>
              </w:rPr>
              <w:t>Управљање еколошким и социјалним ризицима</w:t>
            </w:r>
          </w:p>
        </w:tc>
        <w:tc>
          <w:tcPr>
            <w:tcW w:w="5103" w:type="dxa"/>
          </w:tcPr>
          <w:p w14:paraId="35DD1B16" w14:textId="77777777" w:rsidR="00B16F8D" w:rsidRPr="00895819" w:rsidRDefault="005D3807" w:rsidP="00485361">
            <w:pPr>
              <w:pStyle w:val="Tab"/>
              <w:snapToGrid w:val="0"/>
              <w:spacing w:before="60" w:after="60"/>
              <w:jc w:val="left"/>
              <w:rPr>
                <w:rFonts w:ascii="Times New Roman" w:hAnsi="Times New Roman"/>
                <w:szCs w:val="20"/>
                <w:lang w:val="sr-Cyrl-CS" w:eastAsia="zh-CN"/>
              </w:rPr>
            </w:pPr>
            <w:r w:rsidRPr="00895819">
              <w:rPr>
                <w:rFonts w:ascii="Times New Roman" w:hAnsi="Times New Roman"/>
                <w:szCs w:val="20"/>
                <w:lang w:val="sr-Cyrl-CS" w:eastAsia="zh-CN"/>
              </w:rPr>
              <w:t xml:space="preserve">Одредбе које се односе на животну средину и социјална питања консолидована су у Приручнику за имплементацију Операције </w:t>
            </w:r>
            <w:r w:rsidR="00127A1A" w:rsidRPr="00895819">
              <w:rPr>
                <w:rFonts w:ascii="Times New Roman" w:hAnsi="Times New Roman"/>
                <w:szCs w:val="20"/>
                <w:lang w:val="sr-Cyrl-CS" w:eastAsia="zh-CN"/>
              </w:rPr>
              <w:t>(</w:t>
            </w:r>
            <w:r w:rsidRPr="00895819">
              <w:rPr>
                <w:rFonts w:ascii="Times New Roman" w:hAnsi="Times New Roman"/>
                <w:szCs w:val="20"/>
                <w:lang w:val="sr-Cyrl-CS" w:eastAsia="zh-CN"/>
              </w:rPr>
              <w:t>ОИМ</w:t>
            </w:r>
            <w:r w:rsidR="00127A1A" w:rsidRPr="00895819">
              <w:rPr>
                <w:rFonts w:ascii="Times New Roman" w:hAnsi="Times New Roman"/>
                <w:szCs w:val="20"/>
                <w:lang w:val="sr-Cyrl-CS" w:eastAsia="zh-CN"/>
              </w:rPr>
              <w:t>)</w:t>
            </w:r>
            <w:r w:rsidR="00B16F8D" w:rsidRPr="00895819">
              <w:rPr>
                <w:rFonts w:ascii="Times New Roman" w:hAnsi="Times New Roman"/>
                <w:szCs w:val="20"/>
                <w:lang w:val="sr-Cyrl-CS" w:eastAsia="zh-CN"/>
              </w:rPr>
              <w:t xml:space="preserve"> </w:t>
            </w:r>
            <w:r w:rsidRPr="00895819">
              <w:rPr>
                <w:rFonts w:ascii="Times New Roman" w:hAnsi="Times New Roman"/>
                <w:szCs w:val="20"/>
                <w:lang w:val="sr-Cyrl-CS" w:eastAsia="zh-CN"/>
              </w:rPr>
              <w:t>пружајући Влади Србије заједнички и лако разумљив оквир за реализацију програма управљања еколошким и социјалним ризицима.</w:t>
            </w:r>
          </w:p>
        </w:tc>
        <w:tc>
          <w:tcPr>
            <w:tcW w:w="1701" w:type="dxa"/>
            <w:vAlign w:val="center"/>
          </w:tcPr>
          <w:p w14:paraId="7E64FE1E" w14:textId="77777777" w:rsidR="00B16F8D" w:rsidRPr="00895819" w:rsidRDefault="00F76D97" w:rsidP="00485361">
            <w:pPr>
              <w:pStyle w:val="Tab"/>
              <w:spacing w:before="0" w:after="0"/>
              <w:jc w:val="left"/>
              <w:rPr>
                <w:rFonts w:ascii="Times New Roman" w:hAnsi="Times New Roman"/>
                <w:szCs w:val="20"/>
                <w:lang w:val="sr-Cyrl-CS"/>
              </w:rPr>
            </w:pPr>
            <w:r w:rsidRPr="00895819">
              <w:rPr>
                <w:rFonts w:ascii="Times New Roman" w:hAnsi="Times New Roman"/>
                <w:szCs w:val="20"/>
                <w:lang w:val="sr-Cyrl-CS"/>
              </w:rPr>
              <w:t>Министарство финансија</w:t>
            </w:r>
          </w:p>
        </w:tc>
        <w:tc>
          <w:tcPr>
            <w:tcW w:w="1559" w:type="dxa"/>
            <w:vAlign w:val="center"/>
          </w:tcPr>
          <w:p w14:paraId="0375D105" w14:textId="77777777" w:rsidR="00B16F8D" w:rsidRPr="00895819" w:rsidRDefault="00090696" w:rsidP="00485361">
            <w:pPr>
              <w:pStyle w:val="Tab"/>
              <w:spacing w:before="0" w:after="60"/>
              <w:jc w:val="left"/>
              <w:rPr>
                <w:rFonts w:ascii="Times New Roman" w:hAnsi="Times New Roman"/>
                <w:szCs w:val="20"/>
                <w:lang w:val="sr-Cyrl-CS"/>
              </w:rPr>
            </w:pPr>
            <w:r w:rsidRPr="00895819">
              <w:rPr>
                <w:rFonts w:ascii="Times New Roman" w:hAnsi="Times New Roman"/>
                <w:szCs w:val="20"/>
                <w:lang w:val="sr-Cyrl-CS"/>
              </w:rPr>
              <w:t>Програмски буџет</w:t>
            </w:r>
          </w:p>
        </w:tc>
        <w:tc>
          <w:tcPr>
            <w:tcW w:w="2551" w:type="dxa"/>
            <w:vAlign w:val="center"/>
          </w:tcPr>
          <w:p w14:paraId="59E053B4" w14:textId="77777777" w:rsidR="00B16F8D" w:rsidRPr="00895819" w:rsidRDefault="00090696" w:rsidP="00D64073">
            <w:pPr>
              <w:pStyle w:val="Tab"/>
              <w:spacing w:before="0" w:after="0"/>
              <w:jc w:val="left"/>
              <w:rPr>
                <w:rFonts w:ascii="Times New Roman" w:hAnsi="Times New Roman"/>
                <w:szCs w:val="20"/>
                <w:lang w:val="sr-Cyrl-CS"/>
              </w:rPr>
            </w:pPr>
            <w:r w:rsidRPr="00895819">
              <w:rPr>
                <w:rFonts w:ascii="Times New Roman" w:hAnsi="Times New Roman"/>
                <w:szCs w:val="20"/>
                <w:lang w:val="sr-Cyrl-CS"/>
              </w:rPr>
              <w:t>До Датума ступања на снагу</w:t>
            </w:r>
          </w:p>
        </w:tc>
        <w:tc>
          <w:tcPr>
            <w:tcW w:w="3402" w:type="dxa"/>
            <w:vAlign w:val="center"/>
          </w:tcPr>
          <w:p w14:paraId="0DF804A6" w14:textId="77777777" w:rsidR="00B16F8D" w:rsidRPr="00895819" w:rsidRDefault="005D3807" w:rsidP="00485361">
            <w:pPr>
              <w:pStyle w:val="Tab"/>
              <w:spacing w:before="0" w:after="60"/>
              <w:jc w:val="left"/>
              <w:rPr>
                <w:rFonts w:ascii="Times New Roman" w:hAnsi="Times New Roman"/>
                <w:szCs w:val="20"/>
                <w:lang w:val="sr-Cyrl-CS"/>
              </w:rPr>
            </w:pPr>
            <w:r w:rsidRPr="00895819">
              <w:rPr>
                <w:rFonts w:ascii="Times New Roman" w:hAnsi="Times New Roman"/>
                <w:szCs w:val="20"/>
                <w:lang w:val="sr-Cyrl-CS"/>
              </w:rPr>
              <w:t>АФД одобрава Приручник за имплементацију операције</w:t>
            </w:r>
          </w:p>
        </w:tc>
      </w:tr>
      <w:tr w:rsidR="00B16F8D" w:rsidRPr="00895819" w14:paraId="02C841E5" w14:textId="77777777" w:rsidTr="00485361">
        <w:trPr>
          <w:cantSplit/>
          <w:trHeight w:val="20"/>
        </w:trPr>
        <w:tc>
          <w:tcPr>
            <w:tcW w:w="1584" w:type="dxa"/>
            <w:vMerge/>
            <w:vAlign w:val="center"/>
          </w:tcPr>
          <w:p w14:paraId="1A861301" w14:textId="77777777" w:rsidR="00B16F8D" w:rsidRPr="00895819" w:rsidRDefault="00B16F8D" w:rsidP="00485361">
            <w:pPr>
              <w:pStyle w:val="Tab"/>
              <w:spacing w:before="0" w:after="0"/>
              <w:jc w:val="left"/>
              <w:rPr>
                <w:rFonts w:ascii="Times New Roman" w:hAnsi="Times New Roman"/>
                <w:szCs w:val="20"/>
                <w:lang w:val="sr-Cyrl-CS"/>
              </w:rPr>
            </w:pPr>
          </w:p>
        </w:tc>
        <w:tc>
          <w:tcPr>
            <w:tcW w:w="5103" w:type="dxa"/>
            <w:vAlign w:val="center"/>
          </w:tcPr>
          <w:p w14:paraId="2493C2F0" w14:textId="77777777" w:rsidR="00B16F8D" w:rsidRPr="00895819" w:rsidRDefault="003C5C14" w:rsidP="00485361">
            <w:pPr>
              <w:pStyle w:val="Tab"/>
              <w:snapToGrid w:val="0"/>
              <w:spacing w:before="60" w:after="60"/>
              <w:jc w:val="left"/>
              <w:rPr>
                <w:rFonts w:ascii="Times New Roman" w:hAnsi="Times New Roman"/>
                <w:szCs w:val="20"/>
                <w:lang w:val="sr-Cyrl-CS" w:eastAsia="zh-CN"/>
              </w:rPr>
            </w:pPr>
            <w:r w:rsidRPr="00895819">
              <w:rPr>
                <w:rFonts w:ascii="Times New Roman" w:hAnsi="Times New Roman"/>
                <w:szCs w:val="20"/>
                <w:lang w:val="sr-Cyrl-CS" w:eastAsia="zh-CN"/>
              </w:rPr>
              <w:t>На основу првих доступних техничких студија, стручњаци за животну средину и социјална питања ангажовани у оквиру Операције (види 1.2 испод) процењују потенцијални ниво еколошких и социјалних ризика сваке инвестицију изградње/реновирања која је укључена у Оквир расхода, у складу са важећим прописима</w:t>
            </w:r>
            <w:r w:rsidR="00B16F8D" w:rsidRPr="00895819">
              <w:rPr>
                <w:rFonts w:ascii="Times New Roman" w:hAnsi="Times New Roman"/>
                <w:szCs w:val="20"/>
                <w:lang w:val="sr-Cyrl-CS" w:eastAsia="zh-CN"/>
              </w:rPr>
              <w:t xml:space="preserve">. </w:t>
            </w:r>
          </w:p>
        </w:tc>
        <w:tc>
          <w:tcPr>
            <w:tcW w:w="1701" w:type="dxa"/>
            <w:vAlign w:val="center"/>
          </w:tcPr>
          <w:p w14:paraId="53AA4628" w14:textId="77777777" w:rsidR="001477F2" w:rsidRPr="00895819" w:rsidRDefault="001477F2" w:rsidP="001477F2">
            <w:pPr>
              <w:pStyle w:val="Tab"/>
              <w:spacing w:before="0" w:after="60"/>
              <w:jc w:val="left"/>
              <w:rPr>
                <w:rFonts w:ascii="Times New Roman" w:hAnsi="Times New Roman"/>
                <w:szCs w:val="20"/>
                <w:lang w:val="sr-Cyrl-CS"/>
              </w:rPr>
            </w:pPr>
            <w:r w:rsidRPr="00895819">
              <w:rPr>
                <w:rFonts w:ascii="Times New Roman" w:hAnsi="Times New Roman"/>
                <w:szCs w:val="20"/>
                <w:lang w:val="sr-Cyrl-CS"/>
              </w:rPr>
              <w:t>Надлежни буџетски корисник</w:t>
            </w:r>
          </w:p>
          <w:p w14:paraId="4652459F" w14:textId="77777777" w:rsidR="00B16F8D" w:rsidRPr="00895819" w:rsidRDefault="001477F2" w:rsidP="001477F2">
            <w:pPr>
              <w:pStyle w:val="Tab"/>
              <w:spacing w:before="0" w:after="60"/>
              <w:jc w:val="left"/>
              <w:rPr>
                <w:rFonts w:ascii="Times New Roman" w:hAnsi="Times New Roman"/>
                <w:szCs w:val="20"/>
                <w:lang w:val="sr-Cyrl-CS"/>
              </w:rPr>
            </w:pPr>
            <w:r w:rsidRPr="00895819">
              <w:rPr>
                <w:rFonts w:ascii="Times New Roman" w:hAnsi="Times New Roman"/>
                <w:szCs w:val="20"/>
                <w:lang w:val="sr-Cyrl-CS"/>
              </w:rPr>
              <w:t>Стручњак за животну средину и социјална питања</w:t>
            </w:r>
          </w:p>
        </w:tc>
        <w:tc>
          <w:tcPr>
            <w:tcW w:w="1559" w:type="dxa"/>
            <w:vAlign w:val="center"/>
          </w:tcPr>
          <w:p w14:paraId="5D45BD7A" w14:textId="77777777" w:rsidR="001477F2" w:rsidRPr="00895819" w:rsidRDefault="001477F2" w:rsidP="00485361">
            <w:pPr>
              <w:pStyle w:val="Tab"/>
              <w:spacing w:before="0" w:after="60"/>
              <w:jc w:val="left"/>
              <w:rPr>
                <w:rFonts w:ascii="Times New Roman" w:hAnsi="Times New Roman"/>
                <w:szCs w:val="20"/>
                <w:lang w:val="sr-Cyrl-CS"/>
              </w:rPr>
            </w:pPr>
            <w:r w:rsidRPr="00895819">
              <w:rPr>
                <w:rFonts w:ascii="Times New Roman" w:hAnsi="Times New Roman"/>
                <w:szCs w:val="20"/>
                <w:lang w:val="sr-Cyrl-CS"/>
              </w:rPr>
              <w:t>Техничка помоћ</w:t>
            </w:r>
          </w:p>
          <w:p w14:paraId="5782CD8E" w14:textId="77777777" w:rsidR="00B16F8D" w:rsidRPr="00895819" w:rsidRDefault="001477F2" w:rsidP="003B3891">
            <w:pPr>
              <w:pStyle w:val="Tab"/>
              <w:spacing w:before="0" w:after="60"/>
              <w:jc w:val="left"/>
              <w:rPr>
                <w:rFonts w:ascii="Times New Roman" w:hAnsi="Times New Roman"/>
                <w:szCs w:val="20"/>
                <w:lang w:val="sr-Cyrl-CS"/>
              </w:rPr>
            </w:pPr>
            <w:r w:rsidRPr="00895819">
              <w:rPr>
                <w:rFonts w:ascii="Times New Roman" w:hAnsi="Times New Roman"/>
                <w:szCs w:val="20"/>
                <w:lang w:val="sr-Cyrl-CS"/>
              </w:rPr>
              <w:t>Бесповратна техничка помоћ АФД-а</w:t>
            </w:r>
            <w:r w:rsidR="00B16F8D" w:rsidRPr="00895819">
              <w:rPr>
                <w:rFonts w:ascii="Times New Roman" w:hAnsi="Times New Roman"/>
                <w:szCs w:val="20"/>
                <w:lang w:val="sr-Cyrl-CS"/>
              </w:rPr>
              <w:t xml:space="preserve"> (</w:t>
            </w:r>
            <w:r w:rsidR="003B3891" w:rsidRPr="00895819">
              <w:rPr>
                <w:rFonts w:ascii="Times New Roman" w:hAnsi="Times New Roman"/>
                <w:szCs w:val="20"/>
                <w:lang w:val="sr-Cyrl-CS"/>
              </w:rPr>
              <w:t>ЦРС</w:t>
            </w:r>
            <w:r w:rsidR="006412B3" w:rsidRPr="00895819">
              <w:rPr>
                <w:rFonts w:ascii="Times New Roman" w:hAnsi="Times New Roman"/>
                <w:szCs w:val="20"/>
                <w:lang w:val="sr-Cyrl-CS"/>
              </w:rPr>
              <w:t>1033 02</w:t>
            </w:r>
            <w:r w:rsidR="00B16F8D" w:rsidRPr="00895819">
              <w:rPr>
                <w:rFonts w:ascii="Times New Roman" w:hAnsi="Times New Roman"/>
                <w:szCs w:val="20"/>
                <w:lang w:val="sr-Cyrl-CS"/>
              </w:rPr>
              <w:t>)</w:t>
            </w:r>
          </w:p>
        </w:tc>
        <w:tc>
          <w:tcPr>
            <w:tcW w:w="2551" w:type="dxa"/>
            <w:vAlign w:val="center"/>
          </w:tcPr>
          <w:p w14:paraId="5014B16D" w14:textId="77777777" w:rsidR="00B16F8D" w:rsidRPr="00895819" w:rsidRDefault="001477F2" w:rsidP="00485361">
            <w:pPr>
              <w:pStyle w:val="Tab"/>
              <w:spacing w:before="0" w:after="0"/>
              <w:jc w:val="left"/>
              <w:rPr>
                <w:rFonts w:ascii="Times New Roman" w:hAnsi="Times New Roman"/>
                <w:szCs w:val="20"/>
                <w:lang w:val="sr-Cyrl-CS"/>
              </w:rPr>
            </w:pPr>
            <w:r w:rsidRPr="00895819">
              <w:rPr>
                <w:rFonts w:ascii="Times New Roman" w:hAnsi="Times New Roman"/>
                <w:szCs w:val="20"/>
                <w:lang w:val="sr-Cyrl-CS"/>
              </w:rPr>
              <w:t xml:space="preserve">Чим буду расположиве прве техничке студије </w:t>
            </w:r>
            <w:r w:rsidR="006B4C00" w:rsidRPr="00895819">
              <w:rPr>
                <w:rFonts w:ascii="Times New Roman" w:hAnsi="Times New Roman"/>
                <w:szCs w:val="20"/>
                <w:lang w:val="sr-Cyrl-CS"/>
              </w:rPr>
              <w:t>а</w:t>
            </w:r>
            <w:r w:rsidRPr="00895819">
              <w:rPr>
                <w:rFonts w:ascii="Times New Roman" w:hAnsi="Times New Roman"/>
                <w:szCs w:val="20"/>
                <w:lang w:val="sr-Cyrl-CS"/>
              </w:rPr>
              <w:t xml:space="preserve"> пре почетка грађевинских радова</w:t>
            </w:r>
          </w:p>
        </w:tc>
        <w:tc>
          <w:tcPr>
            <w:tcW w:w="3402" w:type="dxa"/>
            <w:vAlign w:val="center"/>
          </w:tcPr>
          <w:p w14:paraId="44E79191" w14:textId="77777777" w:rsidR="00B16F8D" w:rsidRPr="00895819" w:rsidRDefault="00901C97" w:rsidP="00485361">
            <w:pPr>
              <w:pStyle w:val="Tab"/>
              <w:spacing w:before="0" w:after="60"/>
              <w:jc w:val="left"/>
              <w:rPr>
                <w:rFonts w:ascii="Times New Roman" w:hAnsi="Times New Roman"/>
                <w:szCs w:val="20"/>
                <w:lang w:val="sr-Cyrl-CS"/>
              </w:rPr>
            </w:pPr>
            <w:r w:rsidRPr="00895819">
              <w:rPr>
                <w:rFonts w:ascii="Times New Roman" w:hAnsi="Times New Roman"/>
                <w:szCs w:val="20"/>
                <w:lang w:val="sr-Cyrl-CS"/>
              </w:rPr>
              <w:t>АФД прима и одобрава резултате еколошког и социјалног скрининга сваке инвестиције у изградњу/реновирање укључен</w:t>
            </w:r>
            <w:r w:rsidR="006B4C00" w:rsidRPr="00895819">
              <w:rPr>
                <w:rFonts w:ascii="Times New Roman" w:hAnsi="Times New Roman"/>
                <w:szCs w:val="20"/>
                <w:lang w:val="sr-Cyrl-CS"/>
              </w:rPr>
              <w:t>е</w:t>
            </w:r>
            <w:r w:rsidRPr="00895819">
              <w:rPr>
                <w:rFonts w:ascii="Times New Roman" w:hAnsi="Times New Roman"/>
                <w:szCs w:val="20"/>
                <w:lang w:val="sr-Cyrl-CS"/>
              </w:rPr>
              <w:t xml:space="preserve"> у Оквир расхода </w:t>
            </w:r>
          </w:p>
        </w:tc>
      </w:tr>
      <w:tr w:rsidR="00B16F8D" w:rsidRPr="00895819" w14:paraId="1126E57E" w14:textId="77777777" w:rsidTr="00485361">
        <w:trPr>
          <w:cantSplit/>
          <w:trHeight w:val="20"/>
        </w:trPr>
        <w:tc>
          <w:tcPr>
            <w:tcW w:w="1584" w:type="dxa"/>
            <w:vMerge/>
            <w:vAlign w:val="center"/>
          </w:tcPr>
          <w:p w14:paraId="579495FA" w14:textId="77777777" w:rsidR="00B16F8D" w:rsidRPr="00895819" w:rsidRDefault="00B16F8D" w:rsidP="00485361">
            <w:pPr>
              <w:pStyle w:val="Tab"/>
              <w:spacing w:before="0" w:after="0"/>
              <w:jc w:val="left"/>
              <w:rPr>
                <w:rFonts w:ascii="Times New Roman" w:hAnsi="Times New Roman"/>
                <w:szCs w:val="20"/>
                <w:lang w:val="sr-Cyrl-CS"/>
              </w:rPr>
            </w:pPr>
          </w:p>
        </w:tc>
        <w:tc>
          <w:tcPr>
            <w:tcW w:w="5103" w:type="dxa"/>
            <w:vAlign w:val="center"/>
          </w:tcPr>
          <w:p w14:paraId="7A4A82F8" w14:textId="77777777" w:rsidR="00B16F8D" w:rsidRPr="00895819" w:rsidRDefault="003C5C14" w:rsidP="00485361">
            <w:pPr>
              <w:pStyle w:val="Tab"/>
              <w:snapToGrid w:val="0"/>
              <w:spacing w:before="60" w:after="60"/>
              <w:jc w:val="left"/>
              <w:rPr>
                <w:rFonts w:ascii="Times New Roman" w:hAnsi="Times New Roman"/>
                <w:szCs w:val="20"/>
                <w:lang w:val="sr-Cyrl-CS" w:eastAsia="zh-CN"/>
              </w:rPr>
            </w:pPr>
            <w:r w:rsidRPr="00895819">
              <w:rPr>
                <w:rFonts w:ascii="Times New Roman" w:hAnsi="Times New Roman"/>
                <w:szCs w:val="20"/>
                <w:lang w:val="sr-Cyrl-CS" w:eastAsia="zh-CN"/>
              </w:rPr>
              <w:t>Инвестиције у изградњу/реновирање укључене у Оквир расхода које са собом носе ниске до умерене еколошке и социјалне ризике биће подвргнуте, ако је потребно, процени животне средине и социјалних питања (укључујући процену утицаја на животну средину и социјална питања и повезани Акциони план</w:t>
            </w:r>
            <w:r w:rsidR="00B16F8D" w:rsidRPr="00895819">
              <w:rPr>
                <w:rFonts w:ascii="Times New Roman" w:hAnsi="Times New Roman"/>
                <w:szCs w:val="20"/>
                <w:lang w:val="sr-Cyrl-CS" w:eastAsia="zh-CN"/>
              </w:rPr>
              <w:t xml:space="preserve">) </w:t>
            </w:r>
            <w:r w:rsidRPr="00895819">
              <w:rPr>
                <w:rFonts w:ascii="Times New Roman" w:hAnsi="Times New Roman"/>
                <w:szCs w:val="20"/>
                <w:lang w:val="sr-Cyrl-CS" w:eastAsia="zh-CN"/>
              </w:rPr>
              <w:t>у складу са важећим прописима у Србији.</w:t>
            </w:r>
          </w:p>
        </w:tc>
        <w:tc>
          <w:tcPr>
            <w:tcW w:w="1701" w:type="dxa"/>
            <w:vAlign w:val="center"/>
          </w:tcPr>
          <w:p w14:paraId="178F4B33" w14:textId="77777777" w:rsidR="00203026" w:rsidRPr="00895819" w:rsidRDefault="00203026" w:rsidP="00203026">
            <w:pPr>
              <w:pStyle w:val="Tab"/>
              <w:spacing w:before="0" w:after="60"/>
              <w:jc w:val="left"/>
              <w:rPr>
                <w:rFonts w:ascii="Times New Roman" w:hAnsi="Times New Roman"/>
                <w:szCs w:val="20"/>
                <w:lang w:val="sr-Cyrl-CS"/>
              </w:rPr>
            </w:pPr>
            <w:r w:rsidRPr="00895819">
              <w:rPr>
                <w:rFonts w:ascii="Times New Roman" w:hAnsi="Times New Roman"/>
                <w:szCs w:val="20"/>
                <w:lang w:val="sr-Cyrl-CS"/>
              </w:rPr>
              <w:t>Надлежни буџетски корисник</w:t>
            </w:r>
          </w:p>
          <w:p w14:paraId="6F44949A" w14:textId="77777777" w:rsidR="00B16F8D" w:rsidRPr="00895819" w:rsidRDefault="00203026" w:rsidP="00203026">
            <w:pPr>
              <w:pStyle w:val="Tab"/>
              <w:spacing w:before="0" w:after="60"/>
              <w:jc w:val="left"/>
              <w:rPr>
                <w:rFonts w:ascii="Times New Roman" w:hAnsi="Times New Roman"/>
                <w:szCs w:val="20"/>
                <w:lang w:val="sr-Cyrl-CS"/>
              </w:rPr>
            </w:pPr>
            <w:r w:rsidRPr="00895819">
              <w:rPr>
                <w:rFonts w:ascii="Times New Roman" w:hAnsi="Times New Roman"/>
                <w:szCs w:val="20"/>
                <w:lang w:val="sr-Cyrl-CS"/>
              </w:rPr>
              <w:t>Стручњак за животну средину и социјална питања</w:t>
            </w:r>
          </w:p>
        </w:tc>
        <w:tc>
          <w:tcPr>
            <w:tcW w:w="1559" w:type="dxa"/>
            <w:vAlign w:val="center"/>
          </w:tcPr>
          <w:p w14:paraId="3505D72D" w14:textId="77777777" w:rsidR="00B16F8D" w:rsidRPr="00895819" w:rsidRDefault="00203026" w:rsidP="00485361">
            <w:pPr>
              <w:pStyle w:val="Tab"/>
              <w:spacing w:before="0" w:after="60"/>
              <w:jc w:val="left"/>
              <w:rPr>
                <w:rFonts w:ascii="Times New Roman" w:hAnsi="Times New Roman"/>
                <w:szCs w:val="20"/>
                <w:lang w:val="sr-Cyrl-CS"/>
              </w:rPr>
            </w:pPr>
            <w:r w:rsidRPr="00895819">
              <w:rPr>
                <w:rFonts w:ascii="Times New Roman" w:hAnsi="Times New Roman"/>
                <w:szCs w:val="20"/>
                <w:lang w:val="sr-Cyrl-CS"/>
              </w:rPr>
              <w:t>Програмски буџет</w:t>
            </w:r>
          </w:p>
        </w:tc>
        <w:tc>
          <w:tcPr>
            <w:tcW w:w="2551" w:type="dxa"/>
            <w:vAlign w:val="center"/>
          </w:tcPr>
          <w:p w14:paraId="3C1C9D4F" w14:textId="77777777" w:rsidR="00B16F8D" w:rsidRPr="00895819" w:rsidRDefault="00203026" w:rsidP="00485361">
            <w:pPr>
              <w:pStyle w:val="Tab"/>
              <w:spacing w:before="0" w:after="0"/>
              <w:jc w:val="left"/>
              <w:rPr>
                <w:rFonts w:ascii="Times New Roman" w:hAnsi="Times New Roman"/>
                <w:szCs w:val="20"/>
                <w:lang w:val="sr-Cyrl-CS"/>
              </w:rPr>
            </w:pPr>
            <w:r w:rsidRPr="00895819">
              <w:rPr>
                <w:rFonts w:ascii="Times New Roman" w:hAnsi="Times New Roman"/>
                <w:szCs w:val="20"/>
                <w:lang w:val="sr-Cyrl-CS"/>
              </w:rPr>
              <w:t>Пре почетка грађевинских радова</w:t>
            </w:r>
          </w:p>
        </w:tc>
        <w:tc>
          <w:tcPr>
            <w:tcW w:w="3402" w:type="dxa"/>
            <w:vAlign w:val="center"/>
          </w:tcPr>
          <w:p w14:paraId="30CBAFE0" w14:textId="77777777" w:rsidR="00B16F8D" w:rsidRPr="00895819" w:rsidRDefault="00901C97" w:rsidP="00485361">
            <w:pPr>
              <w:pStyle w:val="Tab"/>
              <w:spacing w:before="0" w:after="60"/>
              <w:jc w:val="left"/>
              <w:rPr>
                <w:rFonts w:ascii="Times New Roman" w:hAnsi="Times New Roman"/>
                <w:szCs w:val="20"/>
                <w:lang w:val="sr-Cyrl-CS"/>
              </w:rPr>
            </w:pPr>
            <w:r w:rsidRPr="00895819">
              <w:rPr>
                <w:rFonts w:ascii="Times New Roman" w:hAnsi="Times New Roman"/>
                <w:szCs w:val="20"/>
                <w:lang w:val="sr-Cyrl-CS"/>
              </w:rPr>
              <w:t>Надлежни национални органи одобравају еколошку и социјалну процену, у складу са важећим прописима у Србији</w:t>
            </w:r>
          </w:p>
        </w:tc>
      </w:tr>
      <w:tr w:rsidR="00B16F8D" w:rsidRPr="00895819" w14:paraId="43BA23EF" w14:textId="77777777" w:rsidTr="00485361">
        <w:trPr>
          <w:cantSplit/>
          <w:trHeight w:val="20"/>
        </w:trPr>
        <w:tc>
          <w:tcPr>
            <w:tcW w:w="1584" w:type="dxa"/>
            <w:vMerge/>
            <w:vAlign w:val="center"/>
          </w:tcPr>
          <w:p w14:paraId="1C3EC055" w14:textId="77777777" w:rsidR="00B16F8D" w:rsidRPr="00895819" w:rsidRDefault="00B16F8D" w:rsidP="00485361">
            <w:pPr>
              <w:pStyle w:val="Tab"/>
              <w:spacing w:before="0" w:after="0"/>
              <w:jc w:val="left"/>
              <w:rPr>
                <w:rFonts w:ascii="Times New Roman" w:hAnsi="Times New Roman"/>
                <w:szCs w:val="20"/>
                <w:lang w:val="sr-Cyrl-CS"/>
              </w:rPr>
            </w:pPr>
          </w:p>
        </w:tc>
        <w:tc>
          <w:tcPr>
            <w:tcW w:w="5103" w:type="dxa"/>
            <w:vAlign w:val="center"/>
          </w:tcPr>
          <w:p w14:paraId="2E654124" w14:textId="77777777" w:rsidR="00B16F8D" w:rsidRPr="00895819" w:rsidRDefault="00203026" w:rsidP="00485361">
            <w:pPr>
              <w:pStyle w:val="Tab"/>
              <w:snapToGrid w:val="0"/>
              <w:spacing w:before="60" w:after="60"/>
              <w:jc w:val="left"/>
              <w:rPr>
                <w:szCs w:val="20"/>
                <w:lang w:val="sr-Cyrl-CS"/>
              </w:rPr>
            </w:pPr>
            <w:r w:rsidRPr="00895819">
              <w:rPr>
                <w:rFonts w:ascii="Times New Roman" w:hAnsi="Times New Roman"/>
                <w:szCs w:val="20"/>
                <w:lang w:val="sr-Cyrl-CS" w:eastAsia="zh-CN"/>
              </w:rPr>
              <w:t xml:space="preserve">Инвестиције у изградњу/реновирање укључене у Оквир расхода које са собом носе значајне до високе еколошке и социјалне ризике, биће предмет комплетне процене животне средине и социјалних питања </w:t>
            </w:r>
            <w:r w:rsidR="00B16F8D" w:rsidRPr="00895819">
              <w:rPr>
                <w:rFonts w:ascii="Times New Roman" w:hAnsi="Times New Roman"/>
                <w:szCs w:val="20"/>
                <w:lang w:val="sr-Cyrl-CS" w:eastAsia="zh-CN"/>
              </w:rPr>
              <w:t>(</w:t>
            </w:r>
            <w:r w:rsidRPr="00895819">
              <w:rPr>
                <w:rFonts w:ascii="Times New Roman" w:hAnsi="Times New Roman"/>
                <w:szCs w:val="20"/>
                <w:lang w:val="sr-Cyrl-CS" w:eastAsia="zh-CN"/>
              </w:rPr>
              <w:t>укључујући процену утицаја на животну средину и социјална питања и повезани Акциони план</w:t>
            </w:r>
            <w:r w:rsidR="00B16F8D" w:rsidRPr="00895819">
              <w:rPr>
                <w:rFonts w:ascii="Times New Roman" w:hAnsi="Times New Roman"/>
                <w:szCs w:val="20"/>
                <w:lang w:val="sr-Cyrl-CS" w:eastAsia="zh-CN"/>
              </w:rPr>
              <w:t xml:space="preserve">) </w:t>
            </w:r>
            <w:r w:rsidRPr="00895819">
              <w:rPr>
                <w:rFonts w:ascii="Times New Roman" w:hAnsi="Times New Roman"/>
                <w:szCs w:val="20"/>
                <w:lang w:val="sr-Cyrl-CS" w:eastAsia="zh-CN"/>
              </w:rPr>
              <w:t>односно, у мери у којој је то могуће у оквиру важећих прописа, усклађених са стандардима Светске банке и потврђених од стране надлежних националних органа.</w:t>
            </w:r>
          </w:p>
        </w:tc>
        <w:tc>
          <w:tcPr>
            <w:tcW w:w="1701" w:type="dxa"/>
            <w:vAlign w:val="center"/>
          </w:tcPr>
          <w:p w14:paraId="7D80C7C2" w14:textId="77777777" w:rsidR="00203026" w:rsidRPr="00895819" w:rsidRDefault="00203026" w:rsidP="00203026">
            <w:pPr>
              <w:pStyle w:val="Tab"/>
              <w:spacing w:before="0" w:after="60"/>
              <w:jc w:val="left"/>
              <w:rPr>
                <w:rFonts w:ascii="Times New Roman" w:hAnsi="Times New Roman"/>
                <w:szCs w:val="20"/>
                <w:lang w:val="sr-Cyrl-CS"/>
              </w:rPr>
            </w:pPr>
            <w:r w:rsidRPr="00895819">
              <w:rPr>
                <w:rFonts w:ascii="Times New Roman" w:hAnsi="Times New Roman"/>
                <w:szCs w:val="20"/>
                <w:lang w:val="sr-Cyrl-CS"/>
              </w:rPr>
              <w:t>Надлежни буџетски корисник</w:t>
            </w:r>
          </w:p>
          <w:p w14:paraId="507C5AD5" w14:textId="77777777" w:rsidR="00B16F8D" w:rsidRPr="00895819" w:rsidRDefault="00203026" w:rsidP="00203026">
            <w:pPr>
              <w:pStyle w:val="Tab"/>
              <w:spacing w:before="0" w:after="60"/>
              <w:jc w:val="left"/>
              <w:rPr>
                <w:rFonts w:ascii="Times New Roman" w:hAnsi="Times New Roman"/>
                <w:szCs w:val="20"/>
                <w:lang w:val="sr-Cyrl-CS"/>
              </w:rPr>
            </w:pPr>
            <w:r w:rsidRPr="00895819">
              <w:rPr>
                <w:rFonts w:ascii="Times New Roman" w:hAnsi="Times New Roman"/>
                <w:szCs w:val="20"/>
                <w:lang w:val="sr-Cyrl-CS"/>
              </w:rPr>
              <w:t>Стручњак за животну средину и социјална питања</w:t>
            </w:r>
          </w:p>
        </w:tc>
        <w:tc>
          <w:tcPr>
            <w:tcW w:w="1559" w:type="dxa"/>
            <w:vAlign w:val="center"/>
          </w:tcPr>
          <w:p w14:paraId="4DB572DF" w14:textId="77777777" w:rsidR="00B16F8D" w:rsidRPr="00895819" w:rsidRDefault="00203026" w:rsidP="00485361">
            <w:pPr>
              <w:pStyle w:val="Tab"/>
              <w:spacing w:before="0" w:after="60"/>
              <w:jc w:val="left"/>
              <w:rPr>
                <w:rFonts w:ascii="Times New Roman" w:hAnsi="Times New Roman"/>
                <w:szCs w:val="20"/>
                <w:lang w:val="sr-Cyrl-CS"/>
              </w:rPr>
            </w:pPr>
            <w:r w:rsidRPr="00895819">
              <w:rPr>
                <w:rFonts w:ascii="Times New Roman" w:hAnsi="Times New Roman"/>
                <w:szCs w:val="20"/>
                <w:lang w:val="sr-Cyrl-CS"/>
              </w:rPr>
              <w:t>Програмски буџет</w:t>
            </w:r>
          </w:p>
        </w:tc>
        <w:tc>
          <w:tcPr>
            <w:tcW w:w="2551" w:type="dxa"/>
            <w:vAlign w:val="center"/>
          </w:tcPr>
          <w:p w14:paraId="4504B884" w14:textId="77777777" w:rsidR="00B16F8D" w:rsidRPr="00895819" w:rsidRDefault="00203026" w:rsidP="00485361">
            <w:pPr>
              <w:pStyle w:val="Tab"/>
              <w:spacing w:before="0" w:after="0"/>
              <w:jc w:val="left"/>
              <w:rPr>
                <w:rFonts w:ascii="Times New Roman" w:hAnsi="Times New Roman"/>
                <w:szCs w:val="20"/>
                <w:lang w:val="sr-Cyrl-CS"/>
              </w:rPr>
            </w:pPr>
            <w:r w:rsidRPr="00895819">
              <w:rPr>
                <w:rFonts w:ascii="Times New Roman" w:hAnsi="Times New Roman"/>
                <w:szCs w:val="20"/>
                <w:lang w:val="sr-Cyrl-CS"/>
              </w:rPr>
              <w:t>Пре почетка грађевинских радова</w:t>
            </w:r>
          </w:p>
        </w:tc>
        <w:tc>
          <w:tcPr>
            <w:tcW w:w="3402" w:type="dxa"/>
            <w:vAlign w:val="center"/>
          </w:tcPr>
          <w:p w14:paraId="6127822F" w14:textId="77777777" w:rsidR="00B16F8D" w:rsidRPr="00895819" w:rsidRDefault="00381D23" w:rsidP="00485361">
            <w:pPr>
              <w:pStyle w:val="Tab"/>
              <w:spacing w:before="0" w:after="60"/>
              <w:jc w:val="left"/>
              <w:rPr>
                <w:rFonts w:ascii="Times New Roman" w:hAnsi="Times New Roman"/>
                <w:szCs w:val="20"/>
                <w:lang w:val="sr-Cyrl-CS"/>
              </w:rPr>
            </w:pPr>
            <w:r w:rsidRPr="00895819">
              <w:rPr>
                <w:rFonts w:ascii="Times New Roman" w:hAnsi="Times New Roman"/>
                <w:szCs w:val="20"/>
                <w:lang w:val="sr-Cyrl-CS"/>
              </w:rPr>
              <w:t>Надлежни национални органи и АФД одобравају еколошку и социјалну процену у складу са стандардима Светске банке</w:t>
            </w:r>
          </w:p>
        </w:tc>
      </w:tr>
      <w:tr w:rsidR="00B16F8D" w:rsidRPr="00895819" w14:paraId="0C78A16A" w14:textId="77777777" w:rsidTr="00485361">
        <w:trPr>
          <w:cantSplit/>
          <w:trHeight w:val="20"/>
        </w:trPr>
        <w:tc>
          <w:tcPr>
            <w:tcW w:w="1584" w:type="dxa"/>
            <w:vMerge/>
            <w:vAlign w:val="center"/>
          </w:tcPr>
          <w:p w14:paraId="57016004" w14:textId="77777777" w:rsidR="00B16F8D" w:rsidRPr="00895819" w:rsidRDefault="00B16F8D" w:rsidP="00485361">
            <w:pPr>
              <w:pStyle w:val="Tab"/>
              <w:spacing w:before="0" w:after="0"/>
              <w:jc w:val="left"/>
              <w:rPr>
                <w:rFonts w:ascii="Times New Roman" w:hAnsi="Times New Roman"/>
                <w:szCs w:val="20"/>
                <w:lang w:val="sr-Cyrl-CS"/>
              </w:rPr>
            </w:pPr>
          </w:p>
        </w:tc>
        <w:tc>
          <w:tcPr>
            <w:tcW w:w="5103" w:type="dxa"/>
            <w:vAlign w:val="center"/>
          </w:tcPr>
          <w:p w14:paraId="6ACD4B46" w14:textId="77777777" w:rsidR="00B16F8D" w:rsidRPr="00895819" w:rsidRDefault="00203026" w:rsidP="00EA6DDC">
            <w:pPr>
              <w:pStyle w:val="Tab"/>
              <w:snapToGrid w:val="0"/>
              <w:spacing w:before="60" w:after="60"/>
              <w:jc w:val="left"/>
              <w:rPr>
                <w:rFonts w:ascii="Times New Roman" w:hAnsi="Times New Roman"/>
                <w:szCs w:val="20"/>
                <w:lang w:val="sr-Cyrl-CS" w:eastAsia="zh-CN"/>
              </w:rPr>
            </w:pPr>
            <w:r w:rsidRPr="00895819">
              <w:rPr>
                <w:rFonts w:ascii="Times New Roman" w:hAnsi="Times New Roman"/>
                <w:szCs w:val="20"/>
                <w:lang w:val="sr-Cyrl-CS" w:eastAsia="zh-CN"/>
              </w:rPr>
              <w:t>На основу извештаја о праћењу који се доставља сваких 6 месеци (види Преамбулу), одговорни буџетски корисници достављају – преко Министарства финансија – релевантну документацију о високоризичним пројектима (нпр. Процена утицаја на животну средину и социјална питања, акциони план, одлуке о валидацији од стране надлежног националног органа) ако то захтева АФД</w:t>
            </w:r>
            <w:r w:rsidR="00B16F8D" w:rsidRPr="00895819">
              <w:rPr>
                <w:rFonts w:ascii="Times New Roman" w:hAnsi="Times New Roman"/>
                <w:szCs w:val="20"/>
                <w:lang w:val="sr-Cyrl-CS" w:eastAsia="zh-CN"/>
              </w:rPr>
              <w:t>.</w:t>
            </w:r>
          </w:p>
        </w:tc>
        <w:tc>
          <w:tcPr>
            <w:tcW w:w="1701" w:type="dxa"/>
            <w:vAlign w:val="center"/>
          </w:tcPr>
          <w:p w14:paraId="60CDA3C1" w14:textId="77777777" w:rsidR="00203026" w:rsidRPr="00895819" w:rsidRDefault="00203026" w:rsidP="00203026">
            <w:pPr>
              <w:pStyle w:val="Tab"/>
              <w:spacing w:before="0" w:after="60"/>
              <w:jc w:val="left"/>
              <w:rPr>
                <w:rFonts w:ascii="Times New Roman" w:hAnsi="Times New Roman"/>
                <w:szCs w:val="20"/>
                <w:lang w:val="sr-Cyrl-CS"/>
              </w:rPr>
            </w:pPr>
            <w:r w:rsidRPr="00895819">
              <w:rPr>
                <w:rFonts w:ascii="Times New Roman" w:hAnsi="Times New Roman"/>
                <w:szCs w:val="20"/>
                <w:lang w:val="sr-Cyrl-CS"/>
              </w:rPr>
              <w:t>Надлежни буџетски корисник</w:t>
            </w:r>
          </w:p>
          <w:p w14:paraId="4C100F89" w14:textId="77777777" w:rsidR="00B16F8D" w:rsidRPr="00895819" w:rsidRDefault="00F76D97" w:rsidP="00485361">
            <w:pPr>
              <w:pStyle w:val="Tab"/>
              <w:spacing w:before="0" w:after="60"/>
              <w:jc w:val="left"/>
              <w:rPr>
                <w:rFonts w:ascii="Times New Roman" w:hAnsi="Times New Roman"/>
                <w:szCs w:val="20"/>
                <w:lang w:val="sr-Cyrl-CS"/>
              </w:rPr>
            </w:pPr>
            <w:r w:rsidRPr="00895819">
              <w:rPr>
                <w:rFonts w:ascii="Times New Roman" w:hAnsi="Times New Roman"/>
                <w:szCs w:val="20"/>
                <w:lang w:val="sr-Cyrl-CS"/>
              </w:rPr>
              <w:t>Министарство финансија</w:t>
            </w:r>
            <w:r w:rsidR="00EA6DDC" w:rsidRPr="00895819">
              <w:rPr>
                <w:rFonts w:ascii="Times New Roman" w:hAnsi="Times New Roman"/>
                <w:szCs w:val="20"/>
                <w:lang w:val="sr-Cyrl-CS"/>
              </w:rPr>
              <w:t xml:space="preserve"> (</w:t>
            </w:r>
            <w:r w:rsidR="00203026" w:rsidRPr="00895819">
              <w:rPr>
                <w:rFonts w:ascii="Times New Roman" w:hAnsi="Times New Roman"/>
                <w:szCs w:val="20"/>
                <w:lang w:val="sr-Cyrl-CS"/>
              </w:rPr>
              <w:t>ЈКО</w:t>
            </w:r>
            <w:r w:rsidR="00EA6DDC" w:rsidRPr="00895819">
              <w:rPr>
                <w:rFonts w:ascii="Times New Roman" w:hAnsi="Times New Roman"/>
                <w:szCs w:val="20"/>
                <w:lang w:val="sr-Cyrl-CS"/>
              </w:rPr>
              <w:t>)</w:t>
            </w:r>
            <w:r w:rsidR="00B16F8D" w:rsidRPr="00895819">
              <w:rPr>
                <w:rFonts w:ascii="Times New Roman" w:hAnsi="Times New Roman"/>
                <w:szCs w:val="20"/>
                <w:lang w:val="sr-Cyrl-CS"/>
              </w:rPr>
              <w:t xml:space="preserve"> </w:t>
            </w:r>
          </w:p>
        </w:tc>
        <w:tc>
          <w:tcPr>
            <w:tcW w:w="1559" w:type="dxa"/>
            <w:vAlign w:val="center"/>
          </w:tcPr>
          <w:p w14:paraId="1F30CE3E" w14:textId="77777777" w:rsidR="00B16F8D" w:rsidRPr="00895819" w:rsidRDefault="00203026" w:rsidP="00485361">
            <w:pPr>
              <w:pStyle w:val="Tab"/>
              <w:spacing w:before="0" w:after="60"/>
              <w:jc w:val="left"/>
              <w:rPr>
                <w:rFonts w:ascii="Times New Roman" w:hAnsi="Times New Roman"/>
                <w:szCs w:val="20"/>
                <w:lang w:val="sr-Cyrl-CS"/>
              </w:rPr>
            </w:pPr>
            <w:r w:rsidRPr="00895819">
              <w:rPr>
                <w:rFonts w:ascii="Times New Roman" w:hAnsi="Times New Roman"/>
                <w:szCs w:val="20"/>
                <w:lang w:val="sr-Cyrl-CS"/>
              </w:rPr>
              <w:t>Програмски буџет</w:t>
            </w:r>
          </w:p>
        </w:tc>
        <w:tc>
          <w:tcPr>
            <w:tcW w:w="2551" w:type="dxa"/>
            <w:vAlign w:val="center"/>
          </w:tcPr>
          <w:p w14:paraId="2E64E156" w14:textId="77777777" w:rsidR="00B16F8D" w:rsidRPr="00895819" w:rsidRDefault="00203026" w:rsidP="00485361">
            <w:pPr>
              <w:pStyle w:val="Tab"/>
              <w:spacing w:before="0" w:after="0"/>
              <w:jc w:val="left"/>
              <w:rPr>
                <w:rFonts w:ascii="Times New Roman" w:hAnsi="Times New Roman"/>
                <w:szCs w:val="20"/>
                <w:lang w:val="sr-Cyrl-CS"/>
              </w:rPr>
            </w:pPr>
            <w:r w:rsidRPr="00895819">
              <w:rPr>
                <w:rFonts w:ascii="Times New Roman" w:hAnsi="Times New Roman"/>
                <w:szCs w:val="20"/>
                <w:lang w:val="sr-Cyrl-CS"/>
              </w:rPr>
              <w:t>Током трајања Програма</w:t>
            </w:r>
          </w:p>
        </w:tc>
        <w:tc>
          <w:tcPr>
            <w:tcW w:w="3402" w:type="dxa"/>
            <w:vAlign w:val="center"/>
          </w:tcPr>
          <w:p w14:paraId="6F257EA6" w14:textId="77777777" w:rsidR="00B16F8D" w:rsidRPr="00895819" w:rsidRDefault="002E18BE" w:rsidP="00485361">
            <w:pPr>
              <w:pStyle w:val="Tab"/>
              <w:spacing w:before="0" w:after="60"/>
              <w:jc w:val="left"/>
              <w:rPr>
                <w:rFonts w:ascii="Times New Roman" w:hAnsi="Times New Roman"/>
                <w:szCs w:val="20"/>
                <w:lang w:val="sr-Cyrl-CS"/>
              </w:rPr>
            </w:pPr>
            <w:r w:rsidRPr="00895819">
              <w:rPr>
                <w:rFonts w:ascii="Times New Roman" w:hAnsi="Times New Roman"/>
                <w:szCs w:val="20"/>
                <w:lang w:val="sr-Cyrl-CS"/>
              </w:rPr>
              <w:t xml:space="preserve">За потребе информисања и </w:t>
            </w:r>
            <w:r w:rsidR="00863D68" w:rsidRPr="00895819">
              <w:rPr>
                <w:rFonts w:ascii="Times New Roman" w:hAnsi="Times New Roman"/>
                <w:szCs w:val="20"/>
                <w:lang w:val="sr-Cyrl-CS"/>
              </w:rPr>
              <w:t>разматрања</w:t>
            </w:r>
            <w:r w:rsidRPr="00895819">
              <w:rPr>
                <w:rFonts w:ascii="Times New Roman" w:hAnsi="Times New Roman"/>
                <w:szCs w:val="20"/>
                <w:lang w:val="sr-Cyrl-CS"/>
              </w:rPr>
              <w:t>, надлежни национални органи деле са АФД-ом релевантну документацију о животној средини и социјалним питањима за високоризичне пројекте</w:t>
            </w:r>
            <w:r w:rsidR="00B16F8D" w:rsidRPr="00895819">
              <w:rPr>
                <w:rFonts w:ascii="Times New Roman" w:hAnsi="Times New Roman"/>
                <w:szCs w:val="20"/>
                <w:lang w:val="sr-Cyrl-CS"/>
              </w:rPr>
              <w:t xml:space="preserve">. </w:t>
            </w:r>
          </w:p>
        </w:tc>
      </w:tr>
      <w:tr w:rsidR="00B16F8D" w:rsidRPr="00895819" w14:paraId="3922C59B" w14:textId="77777777" w:rsidTr="00485361">
        <w:trPr>
          <w:cantSplit/>
          <w:trHeight w:val="20"/>
        </w:trPr>
        <w:tc>
          <w:tcPr>
            <w:tcW w:w="1584" w:type="dxa"/>
            <w:vMerge w:val="restart"/>
            <w:vAlign w:val="center"/>
          </w:tcPr>
          <w:p w14:paraId="0AD523C5" w14:textId="77777777" w:rsidR="00B16F8D" w:rsidRPr="00895819" w:rsidRDefault="00B16F8D" w:rsidP="00485361">
            <w:pPr>
              <w:pStyle w:val="Tab"/>
              <w:spacing w:before="0" w:after="0"/>
              <w:jc w:val="left"/>
              <w:rPr>
                <w:rFonts w:ascii="Times New Roman" w:hAnsi="Times New Roman"/>
                <w:szCs w:val="20"/>
                <w:lang w:val="sr-Cyrl-CS"/>
              </w:rPr>
            </w:pPr>
            <w:r w:rsidRPr="00895819">
              <w:rPr>
                <w:rFonts w:ascii="Times New Roman" w:hAnsi="Times New Roman"/>
                <w:szCs w:val="20"/>
                <w:lang w:val="sr-Cyrl-CS"/>
              </w:rPr>
              <w:lastRenderedPageBreak/>
              <w:t xml:space="preserve">1.2 </w:t>
            </w:r>
            <w:r w:rsidR="006A78C7" w:rsidRPr="00895819">
              <w:rPr>
                <w:rFonts w:ascii="Times New Roman" w:hAnsi="Times New Roman"/>
                <w:szCs w:val="20"/>
                <w:lang w:val="sr-Cyrl-CS"/>
              </w:rPr>
              <w:t>Техничка помоћ у области животне средине и социјалних питања</w:t>
            </w:r>
          </w:p>
        </w:tc>
        <w:tc>
          <w:tcPr>
            <w:tcW w:w="5103" w:type="dxa"/>
            <w:vAlign w:val="center"/>
          </w:tcPr>
          <w:p w14:paraId="2DCA0240" w14:textId="77777777" w:rsidR="00B16F8D" w:rsidRPr="00895819" w:rsidRDefault="00AB001F" w:rsidP="00485361">
            <w:pPr>
              <w:spacing w:before="60" w:after="60"/>
              <w:rPr>
                <w:sz w:val="20"/>
                <w:lang w:val="sr-Cyrl-CS"/>
              </w:rPr>
            </w:pPr>
            <w:r w:rsidRPr="00895819">
              <w:rPr>
                <w:sz w:val="20"/>
                <w:lang w:val="sr-Cyrl-CS"/>
              </w:rPr>
              <w:t>Министарство финансија ангажује експерта за животну средину на одређено време и</w:t>
            </w:r>
            <w:r w:rsidR="00B16F8D" w:rsidRPr="00895819">
              <w:rPr>
                <w:sz w:val="20"/>
                <w:lang w:val="sr-Cyrl-CS"/>
              </w:rPr>
              <w:t xml:space="preserve"> </w:t>
            </w:r>
            <w:r w:rsidRPr="00895819">
              <w:rPr>
                <w:sz w:val="20"/>
                <w:lang w:val="sr-Cyrl-CS"/>
              </w:rPr>
              <w:t xml:space="preserve">експерта за ангажовање грађана на одређено време у циљу јачања капацитета свих институција укључених на Програму. Главна мисија ових експерата је коректна примена Приручника за имплементацију Операције у области животне средине и социјалних питања и пружање подршке партнерима </w:t>
            </w:r>
            <w:r w:rsidR="00BE3569" w:rsidRPr="00895819">
              <w:rPr>
                <w:sz w:val="20"/>
                <w:lang w:val="sr-Cyrl-CS"/>
              </w:rPr>
              <w:t xml:space="preserve">у редовном извештавању које се односи на животну средину и социјална </w:t>
            </w:r>
            <w:r w:rsidR="00863D68" w:rsidRPr="00895819">
              <w:rPr>
                <w:sz w:val="20"/>
                <w:lang w:val="sr-Cyrl-CS"/>
              </w:rPr>
              <w:t>питања.</w:t>
            </w:r>
          </w:p>
        </w:tc>
        <w:tc>
          <w:tcPr>
            <w:tcW w:w="1701" w:type="dxa"/>
            <w:vAlign w:val="center"/>
          </w:tcPr>
          <w:p w14:paraId="39C5283E" w14:textId="77777777" w:rsidR="00B16F8D" w:rsidRPr="00895819" w:rsidRDefault="00F76D97" w:rsidP="00485361">
            <w:pPr>
              <w:pStyle w:val="Tab"/>
              <w:spacing w:before="0" w:after="60"/>
              <w:jc w:val="left"/>
              <w:rPr>
                <w:rFonts w:ascii="Times New Roman" w:hAnsi="Times New Roman"/>
                <w:szCs w:val="20"/>
                <w:lang w:val="sr-Cyrl-CS" w:eastAsia="zh-CN"/>
              </w:rPr>
            </w:pPr>
            <w:r w:rsidRPr="00895819">
              <w:rPr>
                <w:rFonts w:ascii="Times New Roman" w:hAnsi="Times New Roman"/>
                <w:szCs w:val="20"/>
                <w:lang w:val="sr-Cyrl-CS" w:eastAsia="zh-CN"/>
              </w:rPr>
              <w:t>Министарство финансија</w:t>
            </w:r>
          </w:p>
        </w:tc>
        <w:tc>
          <w:tcPr>
            <w:tcW w:w="1559" w:type="dxa"/>
            <w:vAlign w:val="center"/>
          </w:tcPr>
          <w:p w14:paraId="5BA5A7F1" w14:textId="77777777" w:rsidR="00B16F8D" w:rsidRPr="00895819" w:rsidRDefault="006A78C7" w:rsidP="00485361">
            <w:pPr>
              <w:pStyle w:val="Tab"/>
              <w:spacing w:before="0" w:after="60"/>
              <w:jc w:val="left"/>
              <w:rPr>
                <w:rFonts w:ascii="Times New Roman" w:hAnsi="Times New Roman"/>
                <w:szCs w:val="20"/>
                <w:lang w:val="sr-Cyrl-CS"/>
              </w:rPr>
            </w:pPr>
            <w:r w:rsidRPr="00895819">
              <w:rPr>
                <w:rFonts w:ascii="Times New Roman" w:hAnsi="Times New Roman"/>
                <w:szCs w:val="20"/>
                <w:lang w:val="sr-Cyrl-CS"/>
              </w:rPr>
              <w:t>Техничка помоћ</w:t>
            </w:r>
          </w:p>
        </w:tc>
        <w:tc>
          <w:tcPr>
            <w:tcW w:w="2551" w:type="dxa"/>
            <w:vAlign w:val="center"/>
          </w:tcPr>
          <w:p w14:paraId="7D28A515" w14:textId="77777777" w:rsidR="00B16F8D" w:rsidRPr="00895819" w:rsidRDefault="006A78C7" w:rsidP="00D64073">
            <w:pPr>
              <w:pStyle w:val="Tab"/>
              <w:spacing w:before="0" w:after="0"/>
              <w:jc w:val="left"/>
              <w:rPr>
                <w:rFonts w:ascii="Times New Roman" w:hAnsi="Times New Roman"/>
                <w:szCs w:val="20"/>
                <w:lang w:val="sr-Cyrl-CS"/>
              </w:rPr>
            </w:pPr>
            <w:r w:rsidRPr="00895819">
              <w:rPr>
                <w:rFonts w:ascii="Times New Roman" w:hAnsi="Times New Roman"/>
                <w:szCs w:val="20"/>
                <w:lang w:val="sr-Cyrl-CS"/>
              </w:rPr>
              <w:t xml:space="preserve">У року од месец (1) дана након Датума ступања на снагу </w:t>
            </w:r>
          </w:p>
        </w:tc>
        <w:tc>
          <w:tcPr>
            <w:tcW w:w="3402" w:type="dxa"/>
            <w:vAlign w:val="center"/>
          </w:tcPr>
          <w:p w14:paraId="1B522359" w14:textId="77777777" w:rsidR="00B16F8D" w:rsidRPr="00895819" w:rsidRDefault="006A78C7" w:rsidP="00485361">
            <w:pPr>
              <w:pStyle w:val="Tab"/>
              <w:spacing w:before="0" w:after="60"/>
              <w:jc w:val="left"/>
              <w:rPr>
                <w:rFonts w:ascii="Times New Roman" w:hAnsi="Times New Roman"/>
                <w:szCs w:val="20"/>
                <w:lang w:val="sr-Cyrl-CS"/>
              </w:rPr>
            </w:pPr>
            <w:r w:rsidRPr="00895819">
              <w:rPr>
                <w:rFonts w:ascii="Times New Roman" w:hAnsi="Times New Roman"/>
                <w:szCs w:val="20"/>
                <w:lang w:val="sr-Cyrl-CS"/>
              </w:rPr>
              <w:t>Потписани су уговори са експертима</w:t>
            </w:r>
          </w:p>
        </w:tc>
      </w:tr>
      <w:tr w:rsidR="00B16F8D" w:rsidRPr="00895819" w14:paraId="15B51A8B" w14:textId="77777777" w:rsidTr="00485361">
        <w:trPr>
          <w:cantSplit/>
          <w:trHeight w:val="20"/>
        </w:trPr>
        <w:tc>
          <w:tcPr>
            <w:tcW w:w="1584" w:type="dxa"/>
            <w:vMerge/>
            <w:vAlign w:val="center"/>
          </w:tcPr>
          <w:p w14:paraId="06038E99" w14:textId="77777777" w:rsidR="00B16F8D" w:rsidRPr="00895819" w:rsidRDefault="00B16F8D" w:rsidP="00485361">
            <w:pPr>
              <w:pStyle w:val="Tab"/>
              <w:spacing w:before="0" w:after="0"/>
              <w:jc w:val="left"/>
              <w:rPr>
                <w:rFonts w:ascii="Times New Roman" w:hAnsi="Times New Roman"/>
                <w:szCs w:val="20"/>
                <w:lang w:val="sr-Cyrl-CS"/>
              </w:rPr>
            </w:pPr>
          </w:p>
        </w:tc>
        <w:tc>
          <w:tcPr>
            <w:tcW w:w="5103" w:type="dxa"/>
            <w:vAlign w:val="center"/>
          </w:tcPr>
          <w:p w14:paraId="51823B67" w14:textId="77777777" w:rsidR="00B16F8D" w:rsidRPr="00895819" w:rsidRDefault="00BE3569" w:rsidP="00485361">
            <w:pPr>
              <w:pStyle w:val="Tab"/>
              <w:spacing w:before="60" w:after="60"/>
              <w:jc w:val="left"/>
              <w:rPr>
                <w:rFonts w:ascii="Times New Roman" w:hAnsi="Times New Roman"/>
                <w:szCs w:val="20"/>
                <w:lang w:val="sr-Cyrl-CS" w:eastAsia="zh-CN"/>
              </w:rPr>
            </w:pPr>
            <w:r w:rsidRPr="00895819">
              <w:rPr>
                <w:rFonts w:ascii="Times New Roman" w:hAnsi="Times New Roman"/>
                <w:szCs w:val="20"/>
                <w:lang w:val="sr-Cyrl-CS" w:eastAsia="zh-CN"/>
              </w:rPr>
              <w:t xml:space="preserve">Експерт за животну средину и социјална питања ангажован на одређено време од стране </w:t>
            </w:r>
            <w:r w:rsidR="00F76D97" w:rsidRPr="00895819">
              <w:rPr>
                <w:rFonts w:ascii="Times New Roman" w:hAnsi="Times New Roman"/>
                <w:szCs w:val="20"/>
                <w:lang w:val="sr-Cyrl-CS" w:eastAsia="zh-CN"/>
              </w:rPr>
              <w:t>Министарств</w:t>
            </w:r>
            <w:r w:rsidRPr="00895819">
              <w:rPr>
                <w:rFonts w:ascii="Times New Roman" w:hAnsi="Times New Roman"/>
                <w:szCs w:val="20"/>
                <w:lang w:val="sr-Cyrl-CS" w:eastAsia="zh-CN"/>
              </w:rPr>
              <w:t>а</w:t>
            </w:r>
            <w:r w:rsidR="00F76D97" w:rsidRPr="00895819">
              <w:rPr>
                <w:rFonts w:ascii="Times New Roman" w:hAnsi="Times New Roman"/>
                <w:szCs w:val="20"/>
                <w:lang w:val="sr-Cyrl-CS" w:eastAsia="zh-CN"/>
              </w:rPr>
              <w:t xml:space="preserve"> грађевинарства, саобраћаја и инфраструктуре</w:t>
            </w:r>
            <w:r w:rsidR="00B16F8D" w:rsidRPr="00895819">
              <w:rPr>
                <w:rFonts w:ascii="Times New Roman" w:hAnsi="Times New Roman"/>
                <w:szCs w:val="20"/>
                <w:lang w:val="sr-Cyrl-CS" w:eastAsia="zh-CN"/>
              </w:rPr>
              <w:t xml:space="preserve"> </w:t>
            </w:r>
            <w:r w:rsidRPr="00895819">
              <w:rPr>
                <w:rFonts w:ascii="Times New Roman" w:hAnsi="Times New Roman"/>
                <w:szCs w:val="20"/>
                <w:lang w:val="sr-Cyrl-CS" w:eastAsia="zh-CN"/>
              </w:rPr>
              <w:t xml:space="preserve">у оквиру ФАПС гранта који је обезбедио АФД треба да помогне </w:t>
            </w:r>
            <w:r w:rsidR="00F76D97" w:rsidRPr="00895819">
              <w:rPr>
                <w:rFonts w:ascii="Times New Roman" w:hAnsi="Times New Roman"/>
                <w:szCs w:val="20"/>
                <w:lang w:val="sr-Cyrl-CS" w:eastAsia="zh-CN"/>
              </w:rPr>
              <w:t>Министарство грађевинарства, саобраћаја и инфраструктуре</w:t>
            </w:r>
            <w:r w:rsidRPr="00895819">
              <w:rPr>
                <w:rFonts w:ascii="Times New Roman" w:hAnsi="Times New Roman"/>
                <w:szCs w:val="20"/>
                <w:lang w:val="sr-Cyrl-CS" w:eastAsia="zh-CN"/>
              </w:rPr>
              <w:t xml:space="preserve"> у припрему ревизији и праћењу еколошких и социјалних студија које се односе на инвестиције у изградњу/реконструкцију </w:t>
            </w:r>
            <w:r w:rsidR="00B16F8D" w:rsidRPr="00895819">
              <w:rPr>
                <w:rFonts w:ascii="Times New Roman" w:hAnsi="Times New Roman"/>
                <w:szCs w:val="20"/>
                <w:lang w:val="sr-Cyrl-CS" w:eastAsia="zh-CN"/>
              </w:rPr>
              <w:t xml:space="preserve"> </w:t>
            </w:r>
            <w:r w:rsidRPr="00895819">
              <w:rPr>
                <w:rFonts w:ascii="Times New Roman" w:hAnsi="Times New Roman"/>
                <w:szCs w:val="20"/>
                <w:lang w:val="sr-Cyrl-CS" w:eastAsia="zh-CN"/>
              </w:rPr>
              <w:t>обухваћене Оквиром расхода које представљају значајан еколошки и социјални ризик</w:t>
            </w:r>
          </w:p>
        </w:tc>
        <w:tc>
          <w:tcPr>
            <w:tcW w:w="1701" w:type="dxa"/>
            <w:vAlign w:val="center"/>
          </w:tcPr>
          <w:p w14:paraId="0C2DC4A0" w14:textId="77777777" w:rsidR="00B16F8D" w:rsidRPr="00895819" w:rsidRDefault="00F76D97" w:rsidP="00485361">
            <w:pPr>
              <w:pStyle w:val="Tab"/>
              <w:spacing w:before="0" w:after="60"/>
              <w:jc w:val="left"/>
              <w:rPr>
                <w:rFonts w:ascii="Times New Roman" w:hAnsi="Times New Roman"/>
                <w:szCs w:val="20"/>
                <w:lang w:val="sr-Cyrl-CS"/>
              </w:rPr>
            </w:pPr>
            <w:r w:rsidRPr="00895819">
              <w:rPr>
                <w:rFonts w:ascii="Times New Roman" w:hAnsi="Times New Roman"/>
                <w:szCs w:val="20"/>
                <w:lang w:val="sr-Cyrl-CS" w:eastAsia="zh-CN"/>
              </w:rPr>
              <w:t>Министарство грађевинарства, саобраћаја и инфраструктуре</w:t>
            </w:r>
          </w:p>
        </w:tc>
        <w:tc>
          <w:tcPr>
            <w:tcW w:w="1559" w:type="dxa"/>
            <w:vAlign w:val="center"/>
          </w:tcPr>
          <w:p w14:paraId="52DCD84F" w14:textId="77777777" w:rsidR="00B16F8D" w:rsidRPr="00895819" w:rsidRDefault="006A78C7" w:rsidP="003B3891">
            <w:pPr>
              <w:pStyle w:val="Tab"/>
              <w:spacing w:before="0" w:after="0"/>
              <w:jc w:val="left"/>
              <w:rPr>
                <w:rFonts w:ascii="Times New Roman" w:hAnsi="Times New Roman"/>
                <w:szCs w:val="20"/>
                <w:lang w:val="sr-Cyrl-CS"/>
              </w:rPr>
            </w:pPr>
            <w:r w:rsidRPr="00895819">
              <w:rPr>
                <w:rFonts w:ascii="Times New Roman" w:hAnsi="Times New Roman"/>
                <w:szCs w:val="20"/>
                <w:lang w:val="sr-Cyrl-CS"/>
              </w:rPr>
              <w:t xml:space="preserve">Бесповратна техничка помоћ АФД-а </w:t>
            </w:r>
            <w:r w:rsidR="00B16F8D" w:rsidRPr="00895819">
              <w:rPr>
                <w:rFonts w:ascii="Times New Roman" w:hAnsi="Times New Roman"/>
                <w:szCs w:val="20"/>
                <w:lang w:val="sr-Cyrl-CS"/>
              </w:rPr>
              <w:t>(</w:t>
            </w:r>
            <w:r w:rsidR="003B3891" w:rsidRPr="00895819">
              <w:rPr>
                <w:rFonts w:ascii="Times New Roman" w:hAnsi="Times New Roman"/>
                <w:szCs w:val="20"/>
                <w:lang w:val="sr-Cyrl-CS"/>
              </w:rPr>
              <w:t>ЦРС</w:t>
            </w:r>
            <w:r w:rsidR="006412B3" w:rsidRPr="00895819">
              <w:rPr>
                <w:rFonts w:ascii="Times New Roman" w:hAnsi="Times New Roman"/>
                <w:szCs w:val="20"/>
                <w:lang w:val="sr-Cyrl-CS"/>
              </w:rPr>
              <w:t>1033 02</w:t>
            </w:r>
            <w:r w:rsidR="00B16F8D" w:rsidRPr="00895819">
              <w:rPr>
                <w:rFonts w:ascii="Times New Roman" w:hAnsi="Times New Roman"/>
                <w:szCs w:val="20"/>
                <w:lang w:val="sr-Cyrl-CS"/>
              </w:rPr>
              <w:t>)</w:t>
            </w:r>
          </w:p>
        </w:tc>
        <w:tc>
          <w:tcPr>
            <w:tcW w:w="2551" w:type="dxa"/>
            <w:vAlign w:val="center"/>
          </w:tcPr>
          <w:p w14:paraId="7D6332A6" w14:textId="77777777" w:rsidR="00B16F8D" w:rsidRPr="00895819" w:rsidRDefault="006A78C7" w:rsidP="00D64073">
            <w:pPr>
              <w:pStyle w:val="Tab"/>
              <w:spacing w:before="0" w:after="60"/>
              <w:jc w:val="left"/>
              <w:rPr>
                <w:rFonts w:ascii="Times New Roman" w:hAnsi="Times New Roman"/>
                <w:szCs w:val="20"/>
                <w:lang w:val="sr-Cyrl-CS"/>
              </w:rPr>
            </w:pPr>
            <w:r w:rsidRPr="00895819">
              <w:rPr>
                <w:rFonts w:ascii="Times New Roman" w:hAnsi="Times New Roman"/>
                <w:szCs w:val="20"/>
                <w:lang w:val="sr-Cyrl-CS"/>
              </w:rPr>
              <w:t>У року од месец (1) дана након Датума ступања на снагу</w:t>
            </w:r>
          </w:p>
        </w:tc>
        <w:tc>
          <w:tcPr>
            <w:tcW w:w="3402" w:type="dxa"/>
            <w:vAlign w:val="center"/>
          </w:tcPr>
          <w:p w14:paraId="619B1658" w14:textId="77777777" w:rsidR="00B16F8D" w:rsidRPr="00895819" w:rsidRDefault="006A78C7" w:rsidP="00485361">
            <w:pPr>
              <w:pStyle w:val="Tab"/>
              <w:spacing w:before="60" w:after="0"/>
              <w:jc w:val="left"/>
              <w:rPr>
                <w:rFonts w:ascii="Times New Roman" w:hAnsi="Times New Roman"/>
                <w:szCs w:val="20"/>
                <w:lang w:val="sr-Cyrl-CS"/>
              </w:rPr>
            </w:pPr>
            <w:r w:rsidRPr="00895819">
              <w:rPr>
                <w:rFonts w:ascii="Times New Roman" w:hAnsi="Times New Roman"/>
                <w:szCs w:val="20"/>
                <w:lang w:val="sr-Cyrl-CS"/>
              </w:rPr>
              <w:t>Потписан је уговор са експертом</w:t>
            </w:r>
          </w:p>
        </w:tc>
      </w:tr>
      <w:tr w:rsidR="00B16F8D" w:rsidRPr="00895819" w14:paraId="662D9EEF" w14:textId="77777777" w:rsidTr="00485361">
        <w:trPr>
          <w:cantSplit/>
          <w:trHeight w:val="20"/>
        </w:trPr>
        <w:tc>
          <w:tcPr>
            <w:tcW w:w="1584" w:type="dxa"/>
            <w:vAlign w:val="center"/>
          </w:tcPr>
          <w:p w14:paraId="5FC8018A" w14:textId="77777777" w:rsidR="00B16F8D" w:rsidRPr="00895819" w:rsidRDefault="00B16F8D" w:rsidP="00485361">
            <w:pPr>
              <w:pStyle w:val="Tab"/>
              <w:spacing w:before="0" w:after="0"/>
              <w:jc w:val="left"/>
              <w:rPr>
                <w:rFonts w:ascii="Times New Roman" w:hAnsi="Times New Roman"/>
                <w:szCs w:val="20"/>
                <w:lang w:val="sr-Cyrl-CS"/>
              </w:rPr>
            </w:pPr>
            <w:r w:rsidRPr="00895819">
              <w:rPr>
                <w:rFonts w:ascii="Times New Roman" w:hAnsi="Times New Roman"/>
                <w:szCs w:val="20"/>
                <w:lang w:val="sr-Cyrl-CS"/>
              </w:rPr>
              <w:t xml:space="preserve">1.3 </w:t>
            </w:r>
            <w:r w:rsidR="00BE3569" w:rsidRPr="00895819">
              <w:rPr>
                <w:rFonts w:ascii="Times New Roman" w:hAnsi="Times New Roman"/>
                <w:szCs w:val="20"/>
                <w:lang w:val="sr-Cyrl-CS"/>
              </w:rPr>
              <w:t>Еколошки и социјални захтеви за грађевинске радове</w:t>
            </w:r>
          </w:p>
        </w:tc>
        <w:tc>
          <w:tcPr>
            <w:tcW w:w="5103" w:type="dxa"/>
            <w:vAlign w:val="center"/>
          </w:tcPr>
          <w:p w14:paraId="16EFEA12" w14:textId="77777777" w:rsidR="00B16F8D" w:rsidRPr="00895819" w:rsidRDefault="00BE3569" w:rsidP="00485361">
            <w:pPr>
              <w:pStyle w:val="Tab"/>
              <w:snapToGrid w:val="0"/>
              <w:spacing w:before="60" w:after="60"/>
              <w:jc w:val="left"/>
              <w:rPr>
                <w:rFonts w:ascii="Times New Roman" w:hAnsi="Times New Roman"/>
                <w:szCs w:val="20"/>
                <w:lang w:val="sr-Cyrl-CS"/>
              </w:rPr>
            </w:pPr>
            <w:r w:rsidRPr="00895819">
              <w:rPr>
                <w:rFonts w:ascii="Times New Roman" w:hAnsi="Times New Roman"/>
                <w:szCs w:val="20"/>
                <w:lang w:val="sr-Cyrl-CS"/>
              </w:rPr>
              <w:t xml:space="preserve">Одговарајуће еколошке и социјалне анализе у складу са националним прописима </w:t>
            </w:r>
            <w:r w:rsidR="00B16F8D" w:rsidRPr="00895819">
              <w:rPr>
                <w:rFonts w:ascii="Times New Roman" w:hAnsi="Times New Roman"/>
                <w:szCs w:val="20"/>
                <w:lang w:val="sr-Cyrl-CS"/>
              </w:rPr>
              <w:t>(</w:t>
            </w:r>
            <w:r w:rsidRPr="00895819">
              <w:rPr>
                <w:rFonts w:ascii="Times New Roman" w:hAnsi="Times New Roman"/>
                <w:szCs w:val="20"/>
                <w:lang w:val="sr-Cyrl-CS"/>
              </w:rPr>
              <w:t>посебно акциони план у области животне средине и социјалних питања</w:t>
            </w:r>
            <w:r w:rsidR="00B16F8D" w:rsidRPr="00895819">
              <w:rPr>
                <w:rFonts w:ascii="Times New Roman" w:hAnsi="Times New Roman"/>
                <w:szCs w:val="20"/>
                <w:lang w:val="sr-Cyrl-CS"/>
              </w:rPr>
              <w:t xml:space="preserve">) </w:t>
            </w:r>
            <w:r w:rsidRPr="00895819">
              <w:rPr>
                <w:rFonts w:ascii="Times New Roman" w:hAnsi="Times New Roman"/>
                <w:szCs w:val="20"/>
                <w:lang w:val="sr-Cyrl-CS"/>
              </w:rPr>
              <w:t>инкорпориране су у тендерску документацију за предузећа и подизвођаче који се ангажују на инвестицијама изградње/реконструкције обухваћен</w:t>
            </w:r>
            <w:r w:rsidR="00863D68" w:rsidRPr="00895819">
              <w:rPr>
                <w:rFonts w:ascii="Times New Roman" w:hAnsi="Times New Roman"/>
                <w:szCs w:val="20"/>
                <w:lang w:val="sr-Cyrl-CS"/>
              </w:rPr>
              <w:t>им</w:t>
            </w:r>
            <w:r w:rsidRPr="00895819">
              <w:rPr>
                <w:rFonts w:ascii="Times New Roman" w:hAnsi="Times New Roman"/>
                <w:szCs w:val="20"/>
                <w:lang w:val="sr-Cyrl-CS"/>
              </w:rPr>
              <w:t xml:space="preserve"> Оквиром расхода.</w:t>
            </w:r>
          </w:p>
        </w:tc>
        <w:tc>
          <w:tcPr>
            <w:tcW w:w="1701" w:type="dxa"/>
            <w:vAlign w:val="center"/>
          </w:tcPr>
          <w:p w14:paraId="0CF36D57" w14:textId="77777777" w:rsidR="00BE3569" w:rsidRPr="00895819" w:rsidRDefault="00BE3569" w:rsidP="00BE3569">
            <w:pPr>
              <w:pStyle w:val="Tab"/>
              <w:spacing w:before="0" w:after="60"/>
              <w:jc w:val="left"/>
              <w:rPr>
                <w:rFonts w:ascii="Times New Roman" w:hAnsi="Times New Roman"/>
                <w:szCs w:val="20"/>
                <w:lang w:val="sr-Cyrl-CS"/>
              </w:rPr>
            </w:pPr>
            <w:r w:rsidRPr="00895819">
              <w:rPr>
                <w:rFonts w:ascii="Times New Roman" w:hAnsi="Times New Roman"/>
                <w:szCs w:val="20"/>
                <w:lang w:val="sr-Cyrl-CS"/>
              </w:rPr>
              <w:t>Надлежни буџетски корисник</w:t>
            </w:r>
          </w:p>
          <w:p w14:paraId="71B649F1" w14:textId="77777777" w:rsidR="00B16F8D" w:rsidRPr="00895819" w:rsidRDefault="00B16F8D" w:rsidP="00485361">
            <w:pPr>
              <w:pStyle w:val="Tab"/>
              <w:spacing w:before="0" w:after="0"/>
              <w:jc w:val="left"/>
              <w:rPr>
                <w:rFonts w:ascii="Times New Roman" w:hAnsi="Times New Roman"/>
                <w:szCs w:val="20"/>
                <w:lang w:val="sr-Cyrl-CS"/>
              </w:rPr>
            </w:pPr>
          </w:p>
        </w:tc>
        <w:tc>
          <w:tcPr>
            <w:tcW w:w="1559" w:type="dxa"/>
            <w:vAlign w:val="center"/>
          </w:tcPr>
          <w:p w14:paraId="793F8A40" w14:textId="77777777" w:rsidR="00B16F8D" w:rsidRPr="00895819" w:rsidRDefault="00BE3569" w:rsidP="00485361">
            <w:pPr>
              <w:pStyle w:val="Tab"/>
              <w:spacing w:before="0" w:after="0"/>
              <w:jc w:val="left"/>
              <w:rPr>
                <w:rFonts w:ascii="Times New Roman" w:hAnsi="Times New Roman"/>
                <w:szCs w:val="20"/>
                <w:lang w:val="sr-Cyrl-CS"/>
              </w:rPr>
            </w:pPr>
            <w:r w:rsidRPr="00895819">
              <w:rPr>
                <w:rFonts w:ascii="Times New Roman" w:hAnsi="Times New Roman"/>
                <w:szCs w:val="20"/>
                <w:lang w:val="sr-Cyrl-CS"/>
              </w:rPr>
              <w:t>Програмски буџет</w:t>
            </w:r>
          </w:p>
        </w:tc>
        <w:tc>
          <w:tcPr>
            <w:tcW w:w="2551" w:type="dxa"/>
            <w:vAlign w:val="center"/>
          </w:tcPr>
          <w:p w14:paraId="15A7A214" w14:textId="77777777" w:rsidR="00B16F8D" w:rsidRPr="00895819" w:rsidRDefault="00BE3569" w:rsidP="00485361">
            <w:pPr>
              <w:pStyle w:val="Tab"/>
              <w:spacing w:before="0" w:after="0"/>
              <w:jc w:val="left"/>
              <w:rPr>
                <w:rFonts w:ascii="Times New Roman" w:hAnsi="Times New Roman"/>
                <w:szCs w:val="20"/>
                <w:lang w:val="sr-Cyrl-CS"/>
              </w:rPr>
            </w:pPr>
            <w:r w:rsidRPr="00895819">
              <w:rPr>
                <w:rFonts w:ascii="Times New Roman" w:hAnsi="Times New Roman"/>
                <w:szCs w:val="20"/>
                <w:lang w:val="sr-Cyrl-CS"/>
              </w:rPr>
              <w:t xml:space="preserve">Током </w:t>
            </w:r>
            <w:r w:rsidR="00B51D9A" w:rsidRPr="00895819">
              <w:rPr>
                <w:rFonts w:ascii="Times New Roman" w:hAnsi="Times New Roman"/>
                <w:szCs w:val="20"/>
                <w:lang w:val="sr-Cyrl-CS"/>
              </w:rPr>
              <w:t>израде тендерске документације за грађевинске радове</w:t>
            </w:r>
          </w:p>
        </w:tc>
        <w:tc>
          <w:tcPr>
            <w:tcW w:w="3402" w:type="dxa"/>
            <w:vAlign w:val="center"/>
          </w:tcPr>
          <w:p w14:paraId="5B01913C" w14:textId="77777777" w:rsidR="00B16F8D" w:rsidRPr="00895819" w:rsidRDefault="00B51D9A" w:rsidP="00485361">
            <w:pPr>
              <w:pStyle w:val="Tab"/>
              <w:spacing w:before="0" w:after="0"/>
              <w:jc w:val="left"/>
              <w:rPr>
                <w:rFonts w:ascii="Times New Roman" w:hAnsi="Times New Roman"/>
                <w:szCs w:val="20"/>
                <w:lang w:val="sr-Cyrl-CS"/>
              </w:rPr>
            </w:pPr>
            <w:r w:rsidRPr="00895819">
              <w:rPr>
                <w:rFonts w:ascii="Times New Roman" w:hAnsi="Times New Roman"/>
                <w:szCs w:val="20"/>
                <w:lang w:val="sr-Cyrl-CS"/>
              </w:rPr>
              <w:t>Еколошке и социјалне анализе инкорпориране су у сву тендерску документацију за грађевинске радове</w:t>
            </w:r>
          </w:p>
        </w:tc>
      </w:tr>
      <w:tr w:rsidR="00B16F8D" w:rsidRPr="00895819" w14:paraId="01A6377B" w14:textId="77777777" w:rsidTr="004460D9">
        <w:trPr>
          <w:cantSplit/>
          <w:trHeight w:val="20"/>
        </w:trPr>
        <w:tc>
          <w:tcPr>
            <w:tcW w:w="15900" w:type="dxa"/>
            <w:gridSpan w:val="6"/>
            <w:shd w:val="clear" w:color="auto" w:fill="002060"/>
            <w:vAlign w:val="center"/>
          </w:tcPr>
          <w:p w14:paraId="7F37257D" w14:textId="77777777" w:rsidR="00B16F8D" w:rsidRPr="00895819" w:rsidRDefault="00B16F8D" w:rsidP="004460D9">
            <w:pPr>
              <w:pStyle w:val="Tab"/>
              <w:spacing w:before="60" w:after="60"/>
              <w:jc w:val="left"/>
              <w:rPr>
                <w:rFonts w:ascii="Times New Roman" w:hAnsi="Times New Roman"/>
                <w:b/>
                <w:color w:val="FFFFFF" w:themeColor="background1"/>
                <w:szCs w:val="20"/>
                <w:lang w:val="sr-Cyrl-CS"/>
              </w:rPr>
            </w:pPr>
            <w:r w:rsidRPr="00895819">
              <w:rPr>
                <w:rFonts w:ascii="Times New Roman" w:hAnsi="Times New Roman"/>
                <w:b/>
                <w:color w:val="FFFFFF" w:themeColor="background1"/>
                <w:szCs w:val="20"/>
                <w:lang w:val="sr-Cyrl-CS"/>
              </w:rPr>
              <w:t xml:space="preserve">2. </w:t>
            </w:r>
            <w:r w:rsidR="00BE3569" w:rsidRPr="00895819">
              <w:rPr>
                <w:rFonts w:ascii="Times New Roman" w:hAnsi="Times New Roman"/>
                <w:b/>
                <w:color w:val="FFFFFF" w:themeColor="background1"/>
                <w:szCs w:val="20"/>
                <w:lang w:val="sr-Cyrl-CS"/>
              </w:rPr>
              <w:t>Услови рада и запошљавања</w:t>
            </w:r>
          </w:p>
        </w:tc>
      </w:tr>
      <w:tr w:rsidR="00B16F8D" w:rsidRPr="00895819" w14:paraId="44827089" w14:textId="77777777" w:rsidTr="00485361">
        <w:trPr>
          <w:cantSplit/>
          <w:trHeight w:val="1216"/>
        </w:trPr>
        <w:tc>
          <w:tcPr>
            <w:tcW w:w="1584" w:type="dxa"/>
            <w:vAlign w:val="center"/>
          </w:tcPr>
          <w:p w14:paraId="60AB21F4" w14:textId="77777777" w:rsidR="00B16F8D" w:rsidRPr="00895819" w:rsidRDefault="00B16F8D" w:rsidP="00485361">
            <w:pPr>
              <w:pStyle w:val="Tab"/>
              <w:spacing w:before="0" w:after="0"/>
              <w:jc w:val="left"/>
              <w:rPr>
                <w:rFonts w:ascii="Times New Roman" w:hAnsi="Times New Roman"/>
                <w:szCs w:val="20"/>
                <w:lang w:val="sr-Cyrl-CS"/>
              </w:rPr>
            </w:pPr>
            <w:r w:rsidRPr="00895819">
              <w:rPr>
                <w:rFonts w:ascii="Times New Roman" w:hAnsi="Times New Roman"/>
                <w:szCs w:val="20"/>
                <w:lang w:val="sr-Cyrl-CS"/>
              </w:rPr>
              <w:t xml:space="preserve">2.1 </w:t>
            </w:r>
            <w:r w:rsidR="00BE3569" w:rsidRPr="00895819">
              <w:rPr>
                <w:rFonts w:ascii="Times New Roman" w:hAnsi="Times New Roman"/>
                <w:szCs w:val="20"/>
                <w:lang w:val="sr-Cyrl-CS"/>
              </w:rPr>
              <w:t>Услови рада и запошљавања</w:t>
            </w:r>
          </w:p>
        </w:tc>
        <w:tc>
          <w:tcPr>
            <w:tcW w:w="5103" w:type="dxa"/>
            <w:vAlign w:val="center"/>
          </w:tcPr>
          <w:p w14:paraId="2042774B" w14:textId="77777777" w:rsidR="00B16F8D" w:rsidRPr="00895819" w:rsidRDefault="00BE3569" w:rsidP="00485361">
            <w:pPr>
              <w:pStyle w:val="Tab"/>
              <w:spacing w:before="0" w:after="0"/>
              <w:jc w:val="left"/>
              <w:rPr>
                <w:rFonts w:ascii="Times New Roman" w:hAnsi="Times New Roman"/>
                <w:szCs w:val="20"/>
                <w:lang w:val="sr-Cyrl-CS"/>
              </w:rPr>
            </w:pPr>
            <w:r w:rsidRPr="00895819">
              <w:rPr>
                <w:rFonts w:ascii="Times New Roman" w:hAnsi="Times New Roman"/>
                <w:color w:val="222222"/>
                <w:szCs w:val="20"/>
                <w:lang w:val="sr-Cyrl-CS"/>
              </w:rPr>
              <w:t>Сви уговори о раду потписани као део инвестиција за изградњу/реновирање укључени</w:t>
            </w:r>
            <w:r w:rsidR="00863D68" w:rsidRPr="00895819">
              <w:rPr>
                <w:rFonts w:ascii="Times New Roman" w:hAnsi="Times New Roman"/>
                <w:color w:val="222222"/>
                <w:szCs w:val="20"/>
                <w:lang w:val="sr-Cyrl-CS"/>
              </w:rPr>
              <w:t>х</w:t>
            </w:r>
            <w:r w:rsidRPr="00895819">
              <w:rPr>
                <w:rFonts w:ascii="Times New Roman" w:hAnsi="Times New Roman"/>
                <w:color w:val="222222"/>
                <w:szCs w:val="20"/>
                <w:lang w:val="sr-Cyrl-CS"/>
              </w:rPr>
              <w:t xml:space="preserve"> у Оквир расхода треба да буду усклађени и да се односе на националне прописе, основне конвенције МОР-а и оне које је ратификовала Република Србија</w:t>
            </w:r>
          </w:p>
        </w:tc>
        <w:tc>
          <w:tcPr>
            <w:tcW w:w="1701" w:type="dxa"/>
            <w:vAlign w:val="center"/>
          </w:tcPr>
          <w:p w14:paraId="30E73B88" w14:textId="77777777" w:rsidR="00BE3569" w:rsidRPr="00895819" w:rsidRDefault="00BE3569" w:rsidP="00BE3569">
            <w:pPr>
              <w:pStyle w:val="Tab"/>
              <w:spacing w:before="0" w:after="60"/>
              <w:jc w:val="left"/>
              <w:rPr>
                <w:rFonts w:ascii="Times New Roman" w:hAnsi="Times New Roman"/>
                <w:szCs w:val="20"/>
                <w:lang w:val="sr-Cyrl-CS"/>
              </w:rPr>
            </w:pPr>
            <w:r w:rsidRPr="00895819">
              <w:rPr>
                <w:rFonts w:ascii="Times New Roman" w:hAnsi="Times New Roman"/>
                <w:szCs w:val="20"/>
                <w:lang w:val="sr-Cyrl-CS"/>
              </w:rPr>
              <w:t>Надлежни буџетски корисник</w:t>
            </w:r>
          </w:p>
          <w:p w14:paraId="31E3AE98" w14:textId="77777777" w:rsidR="00B16F8D" w:rsidRPr="00895819" w:rsidRDefault="00B16F8D" w:rsidP="00485361">
            <w:pPr>
              <w:pStyle w:val="Tab"/>
              <w:spacing w:before="0" w:after="0"/>
              <w:jc w:val="left"/>
              <w:rPr>
                <w:rFonts w:ascii="Times New Roman" w:hAnsi="Times New Roman"/>
                <w:szCs w:val="20"/>
                <w:lang w:val="sr-Cyrl-CS"/>
              </w:rPr>
            </w:pPr>
          </w:p>
        </w:tc>
        <w:tc>
          <w:tcPr>
            <w:tcW w:w="1559" w:type="dxa"/>
            <w:vAlign w:val="center"/>
          </w:tcPr>
          <w:p w14:paraId="06ADBD10" w14:textId="77777777" w:rsidR="00B16F8D" w:rsidRPr="00895819" w:rsidRDefault="00BE3569" w:rsidP="00485361">
            <w:pPr>
              <w:pStyle w:val="Tab"/>
              <w:spacing w:before="0" w:after="0"/>
              <w:jc w:val="left"/>
              <w:rPr>
                <w:rFonts w:ascii="Times New Roman" w:hAnsi="Times New Roman"/>
                <w:szCs w:val="20"/>
                <w:lang w:val="sr-Cyrl-CS"/>
              </w:rPr>
            </w:pPr>
            <w:r w:rsidRPr="00895819">
              <w:rPr>
                <w:rFonts w:ascii="Times New Roman" w:hAnsi="Times New Roman"/>
                <w:szCs w:val="20"/>
                <w:lang w:val="sr-Cyrl-CS"/>
              </w:rPr>
              <w:t>Програмски буџет</w:t>
            </w:r>
          </w:p>
        </w:tc>
        <w:tc>
          <w:tcPr>
            <w:tcW w:w="2551" w:type="dxa"/>
            <w:vAlign w:val="center"/>
          </w:tcPr>
          <w:p w14:paraId="523AB8FF" w14:textId="77777777" w:rsidR="00B16F8D" w:rsidRPr="00895819" w:rsidRDefault="00BE3569" w:rsidP="00485361">
            <w:pPr>
              <w:pStyle w:val="Tab"/>
              <w:spacing w:before="0" w:after="0"/>
              <w:jc w:val="left"/>
              <w:rPr>
                <w:rFonts w:ascii="Times New Roman" w:eastAsia="SimSun" w:hAnsi="Times New Roman"/>
                <w:color w:val="auto"/>
                <w:szCs w:val="20"/>
                <w:lang w:val="sr-Cyrl-CS" w:eastAsia="zh-CN"/>
              </w:rPr>
            </w:pPr>
            <w:r w:rsidRPr="00895819">
              <w:rPr>
                <w:rFonts w:ascii="Times New Roman" w:hAnsi="Times New Roman"/>
                <w:szCs w:val="20"/>
                <w:lang w:val="sr-Cyrl-CS"/>
              </w:rPr>
              <w:t>Током трајања Програма</w:t>
            </w:r>
          </w:p>
        </w:tc>
        <w:tc>
          <w:tcPr>
            <w:tcW w:w="3402" w:type="dxa"/>
            <w:vAlign w:val="center"/>
          </w:tcPr>
          <w:p w14:paraId="31D7F298" w14:textId="77777777" w:rsidR="00B16F8D" w:rsidRPr="00895819" w:rsidRDefault="00B51D9A" w:rsidP="00485361">
            <w:pPr>
              <w:pStyle w:val="Tab"/>
              <w:spacing w:before="0" w:after="0"/>
              <w:jc w:val="left"/>
              <w:rPr>
                <w:rFonts w:ascii="Times New Roman" w:hAnsi="Times New Roman"/>
                <w:lang w:val="sr-Cyrl-CS"/>
              </w:rPr>
            </w:pPr>
            <w:r w:rsidRPr="00895819">
              <w:rPr>
                <w:rFonts w:ascii="Times New Roman" w:hAnsi="Times New Roman"/>
                <w:lang w:val="sr-Cyrl-CS"/>
              </w:rPr>
              <w:t>Водећи извођач</w:t>
            </w:r>
            <w:r w:rsidR="00863D68" w:rsidRPr="00895819">
              <w:rPr>
                <w:rFonts w:ascii="Times New Roman" w:hAnsi="Times New Roman"/>
                <w:lang w:val="sr-Cyrl-CS"/>
              </w:rPr>
              <w:t>и</w:t>
            </w:r>
            <w:r w:rsidRPr="00895819">
              <w:rPr>
                <w:rFonts w:ascii="Times New Roman" w:hAnsi="Times New Roman"/>
                <w:lang w:val="sr-Cyrl-CS"/>
              </w:rPr>
              <w:t xml:space="preserve"> </w:t>
            </w:r>
            <w:r w:rsidR="00863D68" w:rsidRPr="00895819">
              <w:rPr>
                <w:rFonts w:ascii="Times New Roman" w:hAnsi="Times New Roman"/>
                <w:lang w:val="sr-Cyrl-CS"/>
              </w:rPr>
              <w:t>и</w:t>
            </w:r>
            <w:r w:rsidRPr="00895819">
              <w:rPr>
                <w:rFonts w:ascii="Times New Roman" w:hAnsi="Times New Roman"/>
                <w:lang w:val="sr-Cyrl-CS"/>
              </w:rPr>
              <w:t xml:space="preserve"> подизвођачи ангажовани на инвестицијама изградње/реновирања обухваћени Оквиром расхода потписују Изјаву о усаглашености у својим уговорима</w:t>
            </w:r>
          </w:p>
        </w:tc>
      </w:tr>
      <w:tr w:rsidR="006412B3" w:rsidRPr="00895819" w14:paraId="0ED0615C" w14:textId="77777777" w:rsidTr="006412B3">
        <w:trPr>
          <w:cantSplit/>
          <w:trHeight w:val="23"/>
        </w:trPr>
        <w:tc>
          <w:tcPr>
            <w:tcW w:w="15900" w:type="dxa"/>
            <w:gridSpan w:val="6"/>
            <w:shd w:val="clear" w:color="auto" w:fill="002060"/>
            <w:vAlign w:val="center"/>
          </w:tcPr>
          <w:p w14:paraId="5B23FDE7" w14:textId="77777777" w:rsidR="006412B3" w:rsidRPr="00895819" w:rsidRDefault="006412B3" w:rsidP="006412B3">
            <w:pPr>
              <w:pStyle w:val="Tab"/>
              <w:spacing w:before="60" w:after="60"/>
              <w:jc w:val="left"/>
              <w:rPr>
                <w:rFonts w:ascii="Times New Roman" w:hAnsi="Times New Roman"/>
                <w:szCs w:val="20"/>
                <w:lang w:val="sr-Cyrl-CS"/>
              </w:rPr>
            </w:pPr>
            <w:r w:rsidRPr="00895819">
              <w:rPr>
                <w:rFonts w:ascii="Times New Roman" w:hAnsi="Times New Roman"/>
                <w:b/>
                <w:color w:val="FFFFFF" w:themeColor="background1"/>
                <w:szCs w:val="20"/>
                <w:lang w:val="sr-Cyrl-CS"/>
              </w:rPr>
              <w:t xml:space="preserve">3. </w:t>
            </w:r>
            <w:r w:rsidR="00BE3569" w:rsidRPr="00895819">
              <w:rPr>
                <w:rFonts w:ascii="Times New Roman" w:hAnsi="Times New Roman"/>
                <w:b/>
                <w:color w:val="FFFFFF" w:themeColor="background1"/>
                <w:szCs w:val="20"/>
                <w:lang w:val="sr-Cyrl-CS"/>
              </w:rPr>
              <w:t>Куповина земљишта, ограничење коришћења земљишта и принудно расељавање</w:t>
            </w:r>
          </w:p>
        </w:tc>
      </w:tr>
      <w:tr w:rsidR="006412B3" w:rsidRPr="00895819" w14:paraId="2BC1299D" w14:textId="77777777" w:rsidTr="006412B3">
        <w:trPr>
          <w:cantSplit/>
          <w:trHeight w:val="1620"/>
        </w:trPr>
        <w:tc>
          <w:tcPr>
            <w:tcW w:w="1584" w:type="dxa"/>
            <w:vAlign w:val="center"/>
          </w:tcPr>
          <w:p w14:paraId="6B33C31D" w14:textId="77777777" w:rsidR="006412B3" w:rsidRPr="00895819" w:rsidRDefault="006412B3" w:rsidP="006412B3">
            <w:pPr>
              <w:pStyle w:val="Tab"/>
              <w:spacing w:before="0" w:after="0"/>
              <w:jc w:val="left"/>
              <w:rPr>
                <w:rFonts w:ascii="Times New Roman" w:hAnsi="Times New Roman"/>
                <w:szCs w:val="20"/>
                <w:lang w:val="sr-Cyrl-CS"/>
              </w:rPr>
            </w:pPr>
            <w:r w:rsidRPr="00895819">
              <w:rPr>
                <w:rFonts w:ascii="Times New Roman" w:hAnsi="Times New Roman"/>
                <w:szCs w:val="20"/>
                <w:lang w:val="sr-Cyrl-CS"/>
              </w:rPr>
              <w:lastRenderedPageBreak/>
              <w:t xml:space="preserve">3.1 </w:t>
            </w:r>
            <w:r w:rsidR="00B0542E" w:rsidRPr="00895819">
              <w:rPr>
                <w:rFonts w:ascii="Times New Roman" w:hAnsi="Times New Roman"/>
                <w:szCs w:val="20"/>
                <w:lang w:val="sr-Cyrl-CS"/>
              </w:rPr>
              <w:t>Искључивање инвестиција које захтевају откуп земљишта и расељавање</w:t>
            </w:r>
          </w:p>
        </w:tc>
        <w:tc>
          <w:tcPr>
            <w:tcW w:w="5103" w:type="dxa"/>
            <w:vAlign w:val="center"/>
          </w:tcPr>
          <w:p w14:paraId="3BD10E52" w14:textId="77777777" w:rsidR="006412B3" w:rsidRPr="00895819" w:rsidRDefault="00B0542E" w:rsidP="006412B3">
            <w:pPr>
              <w:pStyle w:val="Tab"/>
              <w:spacing w:before="0" w:after="0"/>
              <w:jc w:val="left"/>
              <w:rPr>
                <w:rFonts w:ascii="Times New Roman" w:hAnsi="Times New Roman"/>
                <w:color w:val="222222"/>
                <w:szCs w:val="20"/>
                <w:lang w:val="sr-Cyrl-CS"/>
              </w:rPr>
            </w:pPr>
            <w:r w:rsidRPr="00895819">
              <w:rPr>
                <w:rFonts w:ascii="Times New Roman" w:hAnsi="Times New Roman"/>
                <w:szCs w:val="20"/>
                <w:lang w:val="sr-Cyrl-CS"/>
              </w:rPr>
              <w:t>Током имплементације Програма, одговорни буџетски корисници ће идентификовати и пријавити АФД</w:t>
            </w:r>
            <w:r w:rsidR="003C2ADE" w:rsidRPr="00895819">
              <w:rPr>
                <w:rFonts w:ascii="Times New Roman" w:hAnsi="Times New Roman"/>
                <w:szCs w:val="20"/>
                <w:lang w:val="sr-Cyrl-CS"/>
              </w:rPr>
              <w:t>-у</w:t>
            </w:r>
            <w:r w:rsidRPr="00895819">
              <w:rPr>
                <w:rFonts w:ascii="Times New Roman" w:hAnsi="Times New Roman"/>
                <w:szCs w:val="20"/>
                <w:lang w:val="sr-Cyrl-CS"/>
              </w:rPr>
              <w:t xml:space="preserve"> – преко Министарства финансија – оне грађевинске инвестиције које су обухваћене Оквиром расхода које захтевају куповину новог земљишта или расељавање</w:t>
            </w:r>
            <w:r w:rsidR="006412B3" w:rsidRPr="00895819">
              <w:rPr>
                <w:rFonts w:ascii="Times New Roman" w:hAnsi="Times New Roman"/>
                <w:szCs w:val="20"/>
                <w:lang w:val="sr-Cyrl-CS"/>
              </w:rPr>
              <w:t xml:space="preserve">. </w:t>
            </w:r>
            <w:r w:rsidRPr="00895819">
              <w:rPr>
                <w:rFonts w:ascii="Times New Roman" w:hAnsi="Times New Roman"/>
                <w:szCs w:val="20"/>
                <w:lang w:val="sr-Cyrl-CS"/>
              </w:rPr>
              <w:t>Те инвестиције ће бити искључене из оквира расхода</w:t>
            </w:r>
            <w:r w:rsidR="006412B3" w:rsidRPr="00895819">
              <w:rPr>
                <w:rFonts w:ascii="Times New Roman" w:hAnsi="Times New Roman"/>
                <w:szCs w:val="20"/>
                <w:lang w:val="sr-Cyrl-CS"/>
              </w:rPr>
              <w:t>.</w:t>
            </w:r>
          </w:p>
        </w:tc>
        <w:tc>
          <w:tcPr>
            <w:tcW w:w="1701" w:type="dxa"/>
            <w:vAlign w:val="center"/>
          </w:tcPr>
          <w:p w14:paraId="5E1F3116" w14:textId="77777777" w:rsidR="00B0542E" w:rsidRPr="00895819" w:rsidRDefault="00B0542E" w:rsidP="00B0542E">
            <w:pPr>
              <w:pStyle w:val="Tab"/>
              <w:spacing w:before="0" w:after="60"/>
              <w:jc w:val="left"/>
              <w:rPr>
                <w:rFonts w:ascii="Times New Roman" w:hAnsi="Times New Roman"/>
                <w:szCs w:val="20"/>
                <w:lang w:val="sr-Cyrl-CS"/>
              </w:rPr>
            </w:pPr>
            <w:r w:rsidRPr="00895819">
              <w:rPr>
                <w:rFonts w:ascii="Times New Roman" w:hAnsi="Times New Roman"/>
                <w:szCs w:val="20"/>
                <w:lang w:val="sr-Cyrl-CS"/>
              </w:rPr>
              <w:t>Надлежни буџетски корисник</w:t>
            </w:r>
          </w:p>
          <w:p w14:paraId="6DAAF5E7" w14:textId="77777777" w:rsidR="006412B3" w:rsidRPr="00895819" w:rsidRDefault="006412B3" w:rsidP="006412B3">
            <w:pPr>
              <w:pStyle w:val="Tab"/>
              <w:spacing w:before="0" w:after="0"/>
              <w:jc w:val="left"/>
              <w:rPr>
                <w:rFonts w:ascii="Times New Roman" w:hAnsi="Times New Roman"/>
                <w:szCs w:val="20"/>
                <w:lang w:val="sr-Cyrl-CS"/>
              </w:rPr>
            </w:pPr>
          </w:p>
        </w:tc>
        <w:tc>
          <w:tcPr>
            <w:tcW w:w="1559" w:type="dxa"/>
            <w:vAlign w:val="center"/>
          </w:tcPr>
          <w:p w14:paraId="52A881BF" w14:textId="77777777" w:rsidR="006412B3" w:rsidRPr="00895819" w:rsidRDefault="00B0542E" w:rsidP="006412B3">
            <w:pPr>
              <w:pStyle w:val="Tab"/>
              <w:spacing w:before="0" w:after="0"/>
              <w:jc w:val="left"/>
              <w:rPr>
                <w:rFonts w:ascii="Times New Roman" w:hAnsi="Times New Roman"/>
                <w:szCs w:val="20"/>
                <w:lang w:val="sr-Cyrl-CS"/>
              </w:rPr>
            </w:pPr>
            <w:r w:rsidRPr="00895819">
              <w:rPr>
                <w:rFonts w:ascii="Times New Roman" w:hAnsi="Times New Roman"/>
                <w:szCs w:val="20"/>
                <w:lang w:val="sr-Cyrl-CS"/>
              </w:rPr>
              <w:t>Програмски буџет</w:t>
            </w:r>
          </w:p>
        </w:tc>
        <w:tc>
          <w:tcPr>
            <w:tcW w:w="2551" w:type="dxa"/>
            <w:vAlign w:val="center"/>
          </w:tcPr>
          <w:p w14:paraId="25866CB5" w14:textId="77777777" w:rsidR="006412B3" w:rsidRPr="00895819" w:rsidRDefault="00B0542E" w:rsidP="006412B3">
            <w:pPr>
              <w:pStyle w:val="Tab"/>
              <w:spacing w:before="0" w:after="0"/>
              <w:jc w:val="left"/>
              <w:rPr>
                <w:rFonts w:ascii="Times New Roman" w:hAnsi="Times New Roman"/>
                <w:szCs w:val="20"/>
                <w:lang w:val="sr-Cyrl-CS"/>
              </w:rPr>
            </w:pPr>
            <w:r w:rsidRPr="00895819">
              <w:rPr>
                <w:rFonts w:ascii="Times New Roman" w:hAnsi="Times New Roman"/>
                <w:szCs w:val="20"/>
                <w:lang w:val="sr-Cyrl-CS"/>
              </w:rPr>
              <w:t>Током трајања Програма</w:t>
            </w:r>
          </w:p>
        </w:tc>
        <w:tc>
          <w:tcPr>
            <w:tcW w:w="3402" w:type="dxa"/>
            <w:vAlign w:val="center"/>
          </w:tcPr>
          <w:p w14:paraId="310519F2" w14:textId="77777777" w:rsidR="006412B3" w:rsidRPr="00895819" w:rsidRDefault="009A06DA" w:rsidP="006412B3">
            <w:pPr>
              <w:pStyle w:val="Tab"/>
              <w:spacing w:before="0" w:after="0"/>
              <w:jc w:val="left"/>
              <w:rPr>
                <w:rFonts w:ascii="Times New Roman" w:hAnsi="Times New Roman"/>
                <w:lang w:val="sr-Cyrl-CS"/>
              </w:rPr>
            </w:pPr>
            <w:r w:rsidRPr="00895819">
              <w:rPr>
                <w:rFonts w:ascii="Times New Roman" w:hAnsi="Times New Roman"/>
                <w:szCs w:val="20"/>
                <w:lang w:val="sr-Cyrl-CS"/>
              </w:rPr>
              <w:t xml:space="preserve">Ниједна грађевинска инвестиција која је део Оквира расхода не захтева куповину земљишта или расељавање </w:t>
            </w:r>
          </w:p>
        </w:tc>
      </w:tr>
    </w:tbl>
    <w:p w14:paraId="2C663790" w14:textId="77777777" w:rsidR="00770EE4" w:rsidRPr="00895819" w:rsidRDefault="00770EE4" w:rsidP="00770EE4">
      <w:pPr>
        <w:tabs>
          <w:tab w:val="left" w:pos="13305"/>
        </w:tabs>
        <w:rPr>
          <w:lang w:val="sr-Cyrl-CS"/>
        </w:rPr>
      </w:pPr>
    </w:p>
    <w:p w14:paraId="686E6CBF" w14:textId="77777777" w:rsidR="00B16F8D" w:rsidRPr="00895819" w:rsidRDefault="00770EE4" w:rsidP="00770EE4">
      <w:pPr>
        <w:tabs>
          <w:tab w:val="left" w:pos="13305"/>
        </w:tabs>
        <w:rPr>
          <w:lang w:val="sr-Cyrl-CS"/>
        </w:rPr>
        <w:sectPr w:rsidR="00B16F8D" w:rsidRPr="00895819" w:rsidSect="00485361">
          <w:pgSz w:w="16838" w:h="11906" w:orient="landscape"/>
          <w:pgMar w:top="1417" w:right="1417" w:bottom="1417" w:left="1417" w:header="708" w:footer="400" w:gutter="0"/>
          <w:cols w:space="708"/>
          <w:formProt w:val="0"/>
          <w:titlePg/>
          <w:docGrid w:linePitch="360"/>
        </w:sectPr>
      </w:pPr>
      <w:r w:rsidRPr="00895819">
        <w:rPr>
          <w:lang w:val="sr-Cyrl-CS"/>
        </w:rPr>
        <w:tab/>
      </w:r>
    </w:p>
    <w:p w14:paraId="6F4EC8A1" w14:textId="77777777" w:rsidR="00B16F8D" w:rsidRPr="00895819" w:rsidRDefault="00F76D97" w:rsidP="00B16F8D">
      <w:pPr>
        <w:pStyle w:val="Schhead"/>
        <w:outlineLvl w:val="0"/>
        <w:rPr>
          <w:rStyle w:val="AATitre1CarCar"/>
          <w:b w:val="0"/>
          <w:lang w:val="sr-Cyrl-CS"/>
        </w:rPr>
      </w:pPr>
      <w:bookmarkStart w:id="173" w:name="_Toc129873706"/>
      <w:r w:rsidRPr="00895819">
        <w:rPr>
          <w:rFonts w:ascii="Times New Roman" w:hAnsi="Times New Roman"/>
          <w:lang w:val="sr-Cyrl-CS"/>
        </w:rPr>
        <w:lastRenderedPageBreak/>
        <w:t xml:space="preserve">ПРИЛОГ </w:t>
      </w:r>
      <w:r w:rsidR="00B16F8D" w:rsidRPr="00895819">
        <w:rPr>
          <w:rFonts w:ascii="Times New Roman" w:hAnsi="Times New Roman"/>
          <w:lang w:val="sr-Cyrl-CS"/>
        </w:rPr>
        <w:t xml:space="preserve">4 </w:t>
      </w:r>
      <w:r w:rsidRPr="00895819">
        <w:rPr>
          <w:rFonts w:ascii="Times New Roman" w:hAnsi="Times New Roman"/>
          <w:lang w:val="sr-Cyrl-CS"/>
        </w:rPr>
        <w:t>–</w:t>
      </w:r>
      <w:r w:rsidR="00B16F8D" w:rsidRPr="00895819">
        <w:rPr>
          <w:rFonts w:ascii="Times New Roman" w:hAnsi="Times New Roman"/>
          <w:lang w:val="sr-Cyrl-CS"/>
        </w:rPr>
        <w:t xml:space="preserve"> </w:t>
      </w:r>
      <w:r w:rsidRPr="00895819">
        <w:rPr>
          <w:rFonts w:ascii="Times New Roman" w:hAnsi="Times New Roman"/>
          <w:lang w:val="sr-Cyrl-CS"/>
        </w:rPr>
        <w:t>ПРЕТХОДНИ УСЛОВИ</w:t>
      </w:r>
      <w:bookmarkEnd w:id="173"/>
    </w:p>
    <w:p w14:paraId="3C73C23F" w14:textId="77777777" w:rsidR="00B16F8D" w:rsidRPr="00895819" w:rsidRDefault="00C85FA0" w:rsidP="00B16F8D">
      <w:pPr>
        <w:pStyle w:val="Doctxt"/>
        <w:spacing w:line="240" w:lineRule="atLeast"/>
        <w:rPr>
          <w:lang w:val="sr-Cyrl-CS"/>
        </w:rPr>
      </w:pPr>
      <w:r w:rsidRPr="00895819">
        <w:rPr>
          <w:lang w:val="sr-Cyrl-CS"/>
        </w:rPr>
        <w:t>Следећи услови важе за сву документацију коју Зајмопримац достави као претходни услов</w:t>
      </w:r>
      <w:r w:rsidR="00B16F8D" w:rsidRPr="00895819">
        <w:rPr>
          <w:lang w:val="sr-Cyrl-CS"/>
        </w:rPr>
        <w:t>:</w:t>
      </w:r>
    </w:p>
    <w:p w14:paraId="3FEFCB2B" w14:textId="77777777" w:rsidR="00B16F8D" w:rsidRPr="00895819" w:rsidRDefault="00C85FA0" w:rsidP="00B16F8D">
      <w:pPr>
        <w:pStyle w:val="Bullet1"/>
        <w:rPr>
          <w:lang w:val="sr-Cyrl-CS"/>
        </w:rPr>
      </w:pPr>
      <w:r w:rsidRPr="00895819">
        <w:rPr>
          <w:lang w:val="sr-Cyrl-CS"/>
        </w:rPr>
        <w:t>ако одређени документ није достављен у оригиналу већ као фотокопија, Зајмодавцу се доставља оверени изворни примерак</w:t>
      </w:r>
      <w:r w:rsidR="00B16F8D" w:rsidRPr="00895819">
        <w:rPr>
          <w:lang w:val="sr-Cyrl-CS"/>
        </w:rPr>
        <w:t>;</w:t>
      </w:r>
    </w:p>
    <w:p w14:paraId="6D521A1E" w14:textId="77777777" w:rsidR="00B16F8D" w:rsidRPr="00895819" w:rsidRDefault="00C85FA0" w:rsidP="00B16F8D">
      <w:pPr>
        <w:pStyle w:val="Bullet1"/>
        <w:rPr>
          <w:lang w:val="sr-Cyrl-CS"/>
        </w:rPr>
      </w:pPr>
      <w:r w:rsidRPr="00895819">
        <w:rPr>
          <w:lang w:val="sr-Cyrl-CS"/>
        </w:rPr>
        <w:t>коначна верзија документа чији је нацрт претходно достављен Зајмодавцу и са којим се Зајмодавац сагласио не сме се значајно разликовати од усаглашеног нацрта</w:t>
      </w:r>
      <w:r w:rsidR="00B16F8D" w:rsidRPr="00895819">
        <w:rPr>
          <w:lang w:val="sr-Cyrl-CS"/>
        </w:rPr>
        <w:t xml:space="preserve">; </w:t>
      </w:r>
    </w:p>
    <w:p w14:paraId="01C0E784" w14:textId="77777777" w:rsidR="00B16F8D" w:rsidRPr="00895819" w:rsidRDefault="00C85FA0" w:rsidP="00B16F8D">
      <w:pPr>
        <w:pStyle w:val="Bullet1"/>
        <w:rPr>
          <w:lang w:val="sr-Cyrl-CS"/>
        </w:rPr>
      </w:pPr>
      <w:r w:rsidRPr="00895819">
        <w:rPr>
          <w:lang w:val="sr-Cyrl-CS"/>
        </w:rPr>
        <w:t>документација која није претходно достављена и усаглашена мора бити по својој форми и суштини прихватљива за Зајмодавца</w:t>
      </w:r>
      <w:r w:rsidR="00B16F8D" w:rsidRPr="00895819">
        <w:rPr>
          <w:lang w:val="sr-Cyrl-CS"/>
        </w:rPr>
        <w:t>.</w:t>
      </w:r>
    </w:p>
    <w:p w14:paraId="607E54BE" w14:textId="77777777" w:rsidR="00B16F8D" w:rsidRPr="00895819" w:rsidRDefault="000063D7" w:rsidP="00B16F8D">
      <w:pPr>
        <w:pStyle w:val="BodyText"/>
        <w:rPr>
          <w:rFonts w:cs="Times New Roman"/>
          <w:smallCaps/>
          <w:lang w:val="sr-Cyrl-CS"/>
        </w:rPr>
      </w:pPr>
      <w:r w:rsidRPr="00895819">
        <w:rPr>
          <w:rFonts w:cs="Times New Roman"/>
          <w:b/>
          <w:smallCaps/>
          <w:lang w:val="sr-Cyrl-CS"/>
        </w:rPr>
        <w:t>Део</w:t>
      </w:r>
      <w:r w:rsidR="00B16F8D" w:rsidRPr="00895819">
        <w:rPr>
          <w:rFonts w:cs="Times New Roman"/>
          <w:b/>
          <w:smallCaps/>
          <w:lang w:val="sr-Cyrl-CS"/>
        </w:rPr>
        <w:t xml:space="preserve"> I – </w:t>
      </w:r>
      <w:r w:rsidR="00C85FA0" w:rsidRPr="00895819">
        <w:rPr>
          <w:rFonts w:cs="Times New Roman"/>
          <w:b/>
          <w:smallCaps/>
          <w:lang w:val="sr-Cyrl-CS"/>
        </w:rPr>
        <w:t>Претходни услови који треба да буду задовољени до датума потписивања</w:t>
      </w:r>
    </w:p>
    <w:p w14:paraId="6985FA27" w14:textId="171428B2" w:rsidR="00B16F8D" w:rsidRPr="00895819" w:rsidRDefault="00DD7B1D" w:rsidP="00DD7B1D">
      <w:pPr>
        <w:pStyle w:val="ListAlpha1"/>
        <w:numPr>
          <w:ilvl w:val="0"/>
          <w:numId w:val="0"/>
        </w:numPr>
        <w:ind w:left="720" w:hanging="720"/>
        <w:rPr>
          <w:rFonts w:ascii="Times New Roman" w:hAnsi="Times New Roman"/>
          <w:lang w:val="sr-Cyrl-CS"/>
        </w:rPr>
      </w:pPr>
      <w:r w:rsidRPr="00895819">
        <w:rPr>
          <w:lang w:val="sr-Cyrl-CS"/>
        </w:rPr>
        <w:t>(а)</w:t>
      </w:r>
      <w:r w:rsidRPr="00895819">
        <w:rPr>
          <w:lang w:val="sr-Cyrl-CS"/>
        </w:rPr>
        <w:tab/>
      </w:r>
      <w:r w:rsidR="00C85FA0" w:rsidRPr="00895819">
        <w:rPr>
          <w:lang w:val="sr-Cyrl-CS"/>
        </w:rPr>
        <w:t xml:space="preserve">Зајмопримац је Зајмодавцу доставио </w:t>
      </w:r>
      <w:r w:rsidR="00C85FA0" w:rsidRPr="00895819">
        <w:rPr>
          <w:rFonts w:ascii="Times New Roman" w:hAnsi="Times New Roman"/>
          <w:bCs/>
          <w:lang w:val="sr-Cyrl-CS"/>
        </w:rPr>
        <w:t>оверени примерак закључка Владе Републике Србије о усвајању извештаја с</w:t>
      </w:r>
      <w:r w:rsidR="001633B6" w:rsidRPr="00895819">
        <w:rPr>
          <w:rFonts w:ascii="Times New Roman" w:hAnsi="Times New Roman"/>
          <w:bCs/>
          <w:lang w:val="sr-Cyrl-CS"/>
        </w:rPr>
        <w:t>а преговора о закључивању овог у</w:t>
      </w:r>
      <w:r w:rsidR="00C85FA0" w:rsidRPr="00895819">
        <w:rPr>
          <w:rFonts w:ascii="Times New Roman" w:hAnsi="Times New Roman"/>
          <w:bCs/>
          <w:lang w:val="sr-Cyrl-CS"/>
        </w:rPr>
        <w:t xml:space="preserve">говора, којим се одобрава задуживање Зајмопримца по основу овог </w:t>
      </w:r>
      <w:r w:rsidR="0039269A" w:rsidRPr="00895819">
        <w:rPr>
          <w:rFonts w:ascii="Times New Roman" w:hAnsi="Times New Roman"/>
          <w:bCs/>
          <w:lang w:val="sr-Cyrl-CS"/>
        </w:rPr>
        <w:t>у</w:t>
      </w:r>
      <w:r w:rsidR="00C85FA0" w:rsidRPr="00895819">
        <w:rPr>
          <w:rFonts w:ascii="Times New Roman" w:hAnsi="Times New Roman"/>
          <w:bCs/>
          <w:lang w:val="sr-Cyrl-CS"/>
        </w:rPr>
        <w:t>говора и изричито овлашћује министар финансија Ре</w:t>
      </w:r>
      <w:r w:rsidR="001633B6" w:rsidRPr="00895819">
        <w:rPr>
          <w:rFonts w:ascii="Times New Roman" w:hAnsi="Times New Roman"/>
          <w:bCs/>
          <w:lang w:val="sr-Cyrl-CS"/>
        </w:rPr>
        <w:t>публике Србије да потпише овај у</w:t>
      </w:r>
      <w:r w:rsidR="00C85FA0" w:rsidRPr="00895819">
        <w:rPr>
          <w:rFonts w:ascii="Times New Roman" w:hAnsi="Times New Roman"/>
          <w:bCs/>
          <w:lang w:val="sr-Cyrl-CS"/>
        </w:rPr>
        <w:t>говор</w:t>
      </w:r>
      <w:r w:rsidR="00B16F8D" w:rsidRPr="00895819">
        <w:rPr>
          <w:rFonts w:ascii="Times New Roman" w:hAnsi="Times New Roman"/>
          <w:lang w:val="sr-Cyrl-CS"/>
        </w:rPr>
        <w:t>;</w:t>
      </w:r>
    </w:p>
    <w:p w14:paraId="53DAA80C" w14:textId="5778FBCF" w:rsidR="00B16F8D" w:rsidRPr="00895819" w:rsidRDefault="00DD7B1D" w:rsidP="00DD7B1D">
      <w:pPr>
        <w:pStyle w:val="ListAlpha1"/>
        <w:numPr>
          <w:ilvl w:val="0"/>
          <w:numId w:val="0"/>
        </w:numPr>
        <w:ind w:left="720" w:hanging="720"/>
        <w:rPr>
          <w:lang w:val="sr-Cyrl-CS"/>
        </w:rPr>
      </w:pPr>
      <w:r w:rsidRPr="00895819">
        <w:rPr>
          <w:lang w:val="sr-Cyrl-CS"/>
        </w:rPr>
        <w:t>(б)</w:t>
      </w:r>
      <w:r w:rsidRPr="00895819">
        <w:rPr>
          <w:lang w:val="sr-Cyrl-CS"/>
        </w:rPr>
        <w:tab/>
      </w:r>
      <w:r w:rsidR="000063D7" w:rsidRPr="00895819">
        <w:rPr>
          <w:lang w:val="sr-Cyrl-CS"/>
        </w:rPr>
        <w:t xml:space="preserve">Зајмопримац је Зајмодавцу доставио </w:t>
      </w:r>
      <w:r w:rsidR="00C85FA0" w:rsidRPr="00895819">
        <w:rPr>
          <w:bCs/>
          <w:lang w:val="sr-Cyrl-CS"/>
        </w:rPr>
        <w:t>потврду (коју потписује овлашћени потписник) којом се потврђује да</w:t>
      </w:r>
      <w:r w:rsidR="00B16F8D" w:rsidRPr="00895819">
        <w:rPr>
          <w:lang w:val="sr-Cyrl-CS"/>
        </w:rPr>
        <w:t xml:space="preserve"> (i) </w:t>
      </w:r>
      <w:r w:rsidR="00C85FA0" w:rsidRPr="00895819">
        <w:rPr>
          <w:bCs/>
          <w:lang w:val="sr-Cyrl-CS"/>
        </w:rPr>
        <w:t xml:space="preserve">преузимање обавеза по основу овог Кредита неће довести до прекорачења било каквих ограничења за задуживање или издавање гаранција или сличних ограничења која су обавезујућа за Зајмопримца, и (ii) да је износ јавног дуга по основу овог </w:t>
      </w:r>
      <w:r w:rsidR="0039269A" w:rsidRPr="00895819">
        <w:rPr>
          <w:bCs/>
          <w:lang w:val="sr-Cyrl-CS"/>
        </w:rPr>
        <w:t>у</w:t>
      </w:r>
      <w:r w:rsidR="00C85FA0" w:rsidRPr="00895819">
        <w:rPr>
          <w:bCs/>
          <w:lang w:val="sr-Cyrl-CS"/>
        </w:rPr>
        <w:t>говора у оквиру ограничења утврђених законом којим се уређује буџет Републике Србије</w:t>
      </w:r>
      <w:r w:rsidR="00B16F8D" w:rsidRPr="00895819">
        <w:rPr>
          <w:lang w:val="sr-Cyrl-CS"/>
        </w:rPr>
        <w:t>.</w:t>
      </w:r>
    </w:p>
    <w:p w14:paraId="066DB432" w14:textId="77777777" w:rsidR="00B16F8D" w:rsidRPr="00895819" w:rsidRDefault="00C85FA0" w:rsidP="00B16F8D">
      <w:pPr>
        <w:pStyle w:val="BodyText"/>
        <w:keepNext/>
        <w:rPr>
          <w:rFonts w:cs="Times New Roman"/>
          <w:smallCaps/>
          <w:lang w:val="sr-Cyrl-CS"/>
        </w:rPr>
      </w:pPr>
      <w:r w:rsidRPr="00895819">
        <w:rPr>
          <w:rFonts w:cs="Times New Roman"/>
          <w:b/>
          <w:smallCaps/>
          <w:lang w:val="sr-Cyrl-CS"/>
        </w:rPr>
        <w:t>Део</w:t>
      </w:r>
      <w:r w:rsidR="00B16F8D" w:rsidRPr="00895819">
        <w:rPr>
          <w:rFonts w:cs="Times New Roman"/>
          <w:b/>
          <w:smallCaps/>
          <w:lang w:val="sr-Cyrl-CS"/>
        </w:rPr>
        <w:t xml:space="preserve"> II - </w:t>
      </w:r>
      <w:r w:rsidRPr="00895819">
        <w:rPr>
          <w:rFonts w:cs="Times New Roman"/>
          <w:b/>
          <w:smallCaps/>
          <w:lang w:val="sr-Cyrl-CS"/>
        </w:rPr>
        <w:t>Претходни услови за ступање на снагу овог уговора</w:t>
      </w:r>
    </w:p>
    <w:p w14:paraId="39A6A1DB" w14:textId="10227E86" w:rsidR="00B16F8D" w:rsidRPr="00895819" w:rsidRDefault="00DD7B1D" w:rsidP="00DD7B1D">
      <w:pPr>
        <w:pStyle w:val="ListAlpha1"/>
        <w:numPr>
          <w:ilvl w:val="0"/>
          <w:numId w:val="0"/>
        </w:numPr>
        <w:ind w:left="720" w:hanging="720"/>
        <w:rPr>
          <w:lang w:val="sr-Cyrl-CS"/>
        </w:rPr>
      </w:pPr>
      <w:r w:rsidRPr="00895819">
        <w:rPr>
          <w:lang w:val="sr-Cyrl-CS"/>
        </w:rPr>
        <w:t>(а)</w:t>
      </w:r>
      <w:r w:rsidRPr="00895819">
        <w:rPr>
          <w:lang w:val="sr-Cyrl-CS"/>
        </w:rPr>
        <w:tab/>
      </w:r>
      <w:r w:rsidR="001633B6" w:rsidRPr="00895819">
        <w:rPr>
          <w:lang w:val="sr-Cyrl-CS"/>
        </w:rPr>
        <w:t>Овај у</w:t>
      </w:r>
      <w:r w:rsidR="00B31272" w:rsidRPr="00895819">
        <w:rPr>
          <w:lang w:val="sr-Cyrl-CS"/>
        </w:rPr>
        <w:t>говор је ваљано потписан од стране Зајмодавца и Зајмопримца</w:t>
      </w:r>
      <w:r w:rsidR="00B16F8D" w:rsidRPr="00895819">
        <w:rPr>
          <w:lang w:val="sr-Cyrl-CS"/>
        </w:rPr>
        <w:t>;</w:t>
      </w:r>
    </w:p>
    <w:p w14:paraId="489C112B" w14:textId="0EB2B178" w:rsidR="00B16F8D" w:rsidRPr="00895819" w:rsidRDefault="00DD7B1D" w:rsidP="00DD7B1D">
      <w:pPr>
        <w:tabs>
          <w:tab w:val="left" w:pos="22"/>
        </w:tabs>
        <w:spacing w:after="240"/>
        <w:rPr>
          <w:rFonts w:ascii="CG Times" w:hAnsi="CG Times"/>
          <w:color w:val="000000"/>
          <w:szCs w:val="22"/>
          <w:lang w:val="sr-Cyrl-CS"/>
        </w:rPr>
      </w:pPr>
      <w:r w:rsidRPr="00895819">
        <w:rPr>
          <w:rFonts w:ascii="CG Times" w:hAnsi="CG Times"/>
          <w:color w:val="000000"/>
          <w:szCs w:val="22"/>
          <w:lang w:val="sr-Cyrl-CS"/>
        </w:rPr>
        <w:t>(б)</w:t>
      </w:r>
      <w:r w:rsidRPr="00895819">
        <w:rPr>
          <w:rFonts w:ascii="CG Times" w:hAnsi="CG Times"/>
          <w:color w:val="000000"/>
          <w:szCs w:val="22"/>
          <w:lang w:val="sr-Cyrl-CS"/>
        </w:rPr>
        <w:tab/>
      </w:r>
      <w:r w:rsidR="00B31272" w:rsidRPr="00895819">
        <w:rPr>
          <w:rFonts w:ascii="CG Times" w:hAnsi="CG Times"/>
          <w:color w:val="000000"/>
          <w:szCs w:val="22"/>
          <w:lang w:val="sr-Cyrl-CS"/>
        </w:rPr>
        <w:t>Зајмопримац је Зајмодавцу доставио следећа документа</w:t>
      </w:r>
    </w:p>
    <w:p w14:paraId="264B8AD2" w14:textId="25C84D4A" w:rsidR="00B16F8D" w:rsidRPr="00895819" w:rsidRDefault="00A549F6" w:rsidP="00B16F8D">
      <w:pPr>
        <w:keepNext/>
        <w:numPr>
          <w:ilvl w:val="0"/>
          <w:numId w:val="43"/>
        </w:numPr>
        <w:tabs>
          <w:tab w:val="left" w:pos="22"/>
        </w:tabs>
        <w:spacing w:after="240"/>
        <w:rPr>
          <w:rFonts w:ascii="CG Times" w:hAnsi="CG Times"/>
          <w:color w:val="000000"/>
          <w:szCs w:val="22"/>
          <w:lang w:val="sr-Cyrl-CS"/>
        </w:rPr>
      </w:pPr>
      <w:r w:rsidRPr="00895819">
        <w:rPr>
          <w:rFonts w:ascii="CG Times" w:hAnsi="CG Times"/>
          <w:color w:val="000000"/>
          <w:szCs w:val="22"/>
          <w:lang w:val="sr-Cyrl-CS"/>
        </w:rPr>
        <w:t>изворни примерак правног мишљења министра правде уобичајен за ову врсту трансакције који је по својој форми и садржини прихватљив Зајмодавцу, са овереним копијама (сваку од којих прат</w:t>
      </w:r>
      <w:r w:rsidR="001633B6" w:rsidRPr="00895819">
        <w:rPr>
          <w:rFonts w:ascii="CG Times" w:hAnsi="CG Times"/>
          <w:color w:val="000000"/>
          <w:szCs w:val="22"/>
          <w:lang w:val="sr-Cyrl-CS"/>
        </w:rPr>
        <w:t>и оверени превод на језик овог у</w:t>
      </w:r>
      <w:r w:rsidRPr="00895819">
        <w:rPr>
          <w:rFonts w:ascii="CG Times" w:hAnsi="CG Times"/>
          <w:color w:val="000000"/>
          <w:szCs w:val="22"/>
          <w:lang w:val="sr-Cyrl-CS"/>
        </w:rPr>
        <w:t>говора</w:t>
      </w:r>
      <w:r w:rsidR="00B16F8D" w:rsidRPr="00895819">
        <w:rPr>
          <w:rFonts w:ascii="CG Times" w:hAnsi="CG Times"/>
          <w:color w:val="000000"/>
          <w:szCs w:val="22"/>
          <w:lang w:val="sr-Cyrl-CS"/>
        </w:rPr>
        <w:t xml:space="preserve">) </w:t>
      </w:r>
      <w:r w:rsidRPr="00895819">
        <w:rPr>
          <w:rFonts w:ascii="CG Times" w:hAnsi="CG Times"/>
          <w:color w:val="000000"/>
          <w:szCs w:val="22"/>
          <w:lang w:val="sr-Cyrl-CS"/>
        </w:rPr>
        <w:t>свих релевантних докумената на које се односи то правно мишљење, к</w:t>
      </w:r>
      <w:r w:rsidR="001633B6" w:rsidRPr="00895819">
        <w:rPr>
          <w:rFonts w:ascii="CG Times" w:hAnsi="CG Times"/>
          <w:color w:val="000000"/>
          <w:szCs w:val="22"/>
          <w:lang w:val="sr-Cyrl-CS"/>
        </w:rPr>
        <w:t>ојим се доказује да је овај у</w:t>
      </w:r>
      <w:r w:rsidRPr="00895819">
        <w:rPr>
          <w:rFonts w:ascii="CG Times" w:hAnsi="CG Times"/>
          <w:color w:val="000000"/>
          <w:szCs w:val="22"/>
          <w:lang w:val="sr-Cyrl-CS"/>
        </w:rPr>
        <w:t xml:space="preserve">говор правно важећи и извршиви и, нарочито: (i) да је Зајмопримац испунио све услове у складу са домаћим уставним правом и </w:t>
      </w:r>
      <w:r w:rsidR="00AC1642">
        <w:rPr>
          <w:rFonts w:ascii="CG Times" w:hAnsi="CG Times"/>
          <w:color w:val="000000"/>
          <w:szCs w:val="22"/>
          <w:lang w:val="sr-Cyrl-CS"/>
        </w:rPr>
        <w:br/>
      </w:r>
      <w:r w:rsidRPr="00895819">
        <w:rPr>
          <w:rFonts w:ascii="CG Times" w:hAnsi="CG Times"/>
          <w:color w:val="000000"/>
          <w:szCs w:val="22"/>
          <w:lang w:val="sr-Cyrl-CS"/>
        </w:rPr>
        <w:t xml:space="preserve">другим примењивим одредбама закона за ваљано преузимање обавеза у складу </w:t>
      </w:r>
      <w:r w:rsidR="00AC1642">
        <w:rPr>
          <w:rFonts w:ascii="CG Times" w:hAnsi="CG Times"/>
          <w:color w:val="000000"/>
          <w:szCs w:val="22"/>
          <w:lang w:val="sr-Cyrl-CS"/>
        </w:rPr>
        <w:br/>
      </w:r>
      <w:r w:rsidRPr="00895819">
        <w:rPr>
          <w:rFonts w:ascii="CG Times" w:hAnsi="CG Times"/>
          <w:color w:val="000000"/>
          <w:szCs w:val="22"/>
          <w:lang w:val="sr-Cyrl-CS"/>
        </w:rPr>
        <w:t xml:space="preserve">са овим </w:t>
      </w:r>
      <w:r w:rsidR="0039269A" w:rsidRPr="00895819">
        <w:rPr>
          <w:rFonts w:ascii="CG Times" w:hAnsi="CG Times"/>
          <w:color w:val="000000"/>
          <w:szCs w:val="22"/>
          <w:lang w:val="sr-Cyrl-CS"/>
        </w:rPr>
        <w:t>у</w:t>
      </w:r>
      <w:r w:rsidRPr="00895819">
        <w:rPr>
          <w:rFonts w:ascii="CG Times" w:hAnsi="CG Times"/>
          <w:color w:val="000000"/>
          <w:szCs w:val="22"/>
          <w:lang w:val="sr-Cyrl-CS"/>
        </w:rPr>
        <w:t>говором;</w:t>
      </w:r>
      <w:r w:rsidR="00B16F8D" w:rsidRPr="00895819">
        <w:rPr>
          <w:rFonts w:ascii="CG Times" w:hAnsi="CG Times"/>
          <w:color w:val="000000"/>
          <w:szCs w:val="22"/>
          <w:lang w:val="sr-Cyrl-CS"/>
        </w:rPr>
        <w:t xml:space="preserve"> (ii) </w:t>
      </w:r>
      <w:r w:rsidRPr="00895819">
        <w:rPr>
          <w:rFonts w:ascii="CG Times" w:hAnsi="CG Times"/>
          <w:color w:val="000000"/>
          <w:szCs w:val="22"/>
          <w:lang w:val="sr-Cyrl-CS"/>
        </w:rPr>
        <w:t xml:space="preserve">да Зајмопримцу није потребна нити да му се саветује прибављање ниједног званичног одобрења, сагласности, лиценце, </w:t>
      </w:r>
      <w:r w:rsidR="00AC1642">
        <w:rPr>
          <w:rFonts w:ascii="CG Times" w:hAnsi="CG Times"/>
          <w:color w:val="000000"/>
          <w:szCs w:val="22"/>
          <w:lang w:val="sr-Cyrl-CS"/>
        </w:rPr>
        <w:br/>
      </w:r>
      <w:r w:rsidRPr="00895819">
        <w:rPr>
          <w:rFonts w:ascii="CG Times" w:hAnsi="CG Times"/>
          <w:color w:val="000000"/>
          <w:szCs w:val="22"/>
          <w:lang w:val="sr-Cyrl-CS"/>
        </w:rPr>
        <w:t xml:space="preserve">регистрације и/или дозволе ниједног државног органа или организације (укључујући Народну банку Србије) у вези са закључењем и извршењем овог </w:t>
      </w:r>
      <w:r w:rsidR="0039269A" w:rsidRPr="00895819">
        <w:rPr>
          <w:rFonts w:ascii="CG Times" w:hAnsi="CG Times"/>
          <w:color w:val="000000"/>
          <w:szCs w:val="22"/>
          <w:lang w:val="sr-Cyrl-CS"/>
        </w:rPr>
        <w:t>у</w:t>
      </w:r>
      <w:r w:rsidRPr="00895819">
        <w:rPr>
          <w:rFonts w:ascii="CG Times" w:hAnsi="CG Times"/>
          <w:color w:val="000000"/>
          <w:szCs w:val="22"/>
          <w:lang w:val="sr-Cyrl-CS"/>
        </w:rPr>
        <w:t xml:space="preserve">говора (укључујући, нарочито, да су сви износи које Зајмопримац има да </w:t>
      </w:r>
      <w:r w:rsidR="00AC1642">
        <w:rPr>
          <w:rFonts w:ascii="CG Times" w:hAnsi="CG Times"/>
          <w:color w:val="000000"/>
          <w:szCs w:val="22"/>
          <w:lang w:val="sr-Cyrl-CS"/>
        </w:rPr>
        <w:br/>
      </w:r>
      <w:r w:rsidRPr="00895819">
        <w:rPr>
          <w:rFonts w:ascii="CG Times" w:hAnsi="CG Times"/>
          <w:color w:val="000000"/>
          <w:szCs w:val="22"/>
          <w:lang w:val="sr-Cyrl-CS"/>
        </w:rPr>
        <w:t>испла</w:t>
      </w:r>
      <w:r w:rsidR="001633B6" w:rsidRPr="00895819">
        <w:rPr>
          <w:rFonts w:ascii="CG Times" w:hAnsi="CG Times"/>
          <w:color w:val="000000"/>
          <w:szCs w:val="22"/>
          <w:lang w:val="sr-Cyrl-CS"/>
        </w:rPr>
        <w:t>ти Зајмодавцу у складу са овим у</w:t>
      </w:r>
      <w:r w:rsidRPr="00895819">
        <w:rPr>
          <w:rFonts w:ascii="CG Times" w:hAnsi="CG Times"/>
          <w:color w:val="000000"/>
          <w:szCs w:val="22"/>
          <w:lang w:val="sr-Cyrl-CS"/>
        </w:rPr>
        <w:t xml:space="preserve">говором, како главница тако и као </w:t>
      </w:r>
      <w:r w:rsidR="00AC1642">
        <w:rPr>
          <w:rFonts w:ascii="CG Times" w:hAnsi="CG Times"/>
          <w:color w:val="000000"/>
          <w:szCs w:val="22"/>
          <w:lang w:val="sr-Cyrl-CS"/>
        </w:rPr>
        <w:br/>
      </w:r>
      <w:r w:rsidRPr="00895819">
        <w:rPr>
          <w:rFonts w:ascii="CG Times" w:hAnsi="CG Times"/>
          <w:color w:val="000000"/>
          <w:szCs w:val="22"/>
          <w:lang w:val="sr-Cyrl-CS"/>
        </w:rPr>
        <w:t xml:space="preserve">камата, затезна камата, Обештећење за превремену отплату, повезани </w:t>
      </w:r>
      <w:r w:rsidR="00AC1642">
        <w:rPr>
          <w:rFonts w:ascii="CG Times" w:hAnsi="CG Times"/>
          <w:color w:val="000000"/>
          <w:szCs w:val="22"/>
          <w:lang w:val="sr-Cyrl-CS"/>
        </w:rPr>
        <w:br/>
      </w:r>
      <w:r w:rsidRPr="00895819">
        <w:rPr>
          <w:rFonts w:ascii="CG Times" w:hAnsi="CG Times"/>
          <w:color w:val="000000"/>
          <w:szCs w:val="22"/>
          <w:lang w:val="sr-Cyrl-CS"/>
        </w:rPr>
        <w:t xml:space="preserve">трошкови и расходи и сви други износи слободно конвертибилни и </w:t>
      </w:r>
      <w:r w:rsidR="00AC1642">
        <w:rPr>
          <w:rFonts w:ascii="CG Times" w:hAnsi="CG Times"/>
          <w:color w:val="000000"/>
          <w:szCs w:val="22"/>
          <w:lang w:val="sr-Cyrl-CS"/>
        </w:rPr>
        <w:br/>
      </w:r>
      <w:r w:rsidRPr="00895819">
        <w:rPr>
          <w:rFonts w:ascii="CG Times" w:hAnsi="CG Times"/>
          <w:color w:val="000000"/>
          <w:szCs w:val="22"/>
          <w:lang w:val="sr-Cyrl-CS"/>
        </w:rPr>
        <w:t>преносиви);</w:t>
      </w:r>
      <w:r w:rsidR="00B16F8D" w:rsidRPr="00895819">
        <w:rPr>
          <w:rFonts w:ascii="CG Times" w:hAnsi="CG Times"/>
          <w:color w:val="000000"/>
          <w:szCs w:val="22"/>
          <w:lang w:val="sr-Cyrl-CS"/>
        </w:rPr>
        <w:t xml:space="preserve"> (iii) </w:t>
      </w:r>
      <w:r w:rsidRPr="00895819">
        <w:rPr>
          <w:rFonts w:ascii="CG Times" w:hAnsi="CG Times"/>
          <w:color w:val="000000"/>
          <w:szCs w:val="22"/>
          <w:lang w:val="sr-Cyrl-CS"/>
        </w:rPr>
        <w:t>да је избор права Француск</w:t>
      </w:r>
      <w:r w:rsidR="001633B6" w:rsidRPr="00895819">
        <w:rPr>
          <w:rFonts w:ascii="CG Times" w:hAnsi="CG Times"/>
          <w:color w:val="000000"/>
          <w:szCs w:val="22"/>
          <w:lang w:val="sr-Cyrl-CS"/>
        </w:rPr>
        <w:t xml:space="preserve">е као меродавног права за овај </w:t>
      </w:r>
      <w:r w:rsidR="00AC1642">
        <w:rPr>
          <w:rFonts w:ascii="CG Times" w:hAnsi="CG Times"/>
          <w:color w:val="000000"/>
          <w:szCs w:val="22"/>
          <w:lang w:val="sr-Cyrl-CS"/>
        </w:rPr>
        <w:br/>
      </w:r>
      <w:r w:rsidR="001633B6" w:rsidRPr="00895819">
        <w:rPr>
          <w:rFonts w:ascii="CG Times" w:hAnsi="CG Times"/>
          <w:color w:val="000000"/>
          <w:szCs w:val="22"/>
          <w:lang w:val="sr-Cyrl-CS"/>
        </w:rPr>
        <w:t>у</w:t>
      </w:r>
      <w:r w:rsidRPr="00895819">
        <w:rPr>
          <w:rFonts w:ascii="CG Times" w:hAnsi="CG Times"/>
          <w:color w:val="000000"/>
          <w:szCs w:val="22"/>
          <w:lang w:val="sr-Cyrl-CS"/>
        </w:rPr>
        <w:t xml:space="preserve">говор и упућивање на арбитражу допустив и обавезујући, као и да ће одлуке арбитраже на штету Зајмопримца бити признате и извршиве у Републици </w:t>
      </w:r>
      <w:r w:rsidR="00AC1642">
        <w:rPr>
          <w:rFonts w:ascii="CG Times" w:hAnsi="CG Times"/>
          <w:color w:val="000000"/>
          <w:szCs w:val="22"/>
          <w:lang w:val="sr-Cyrl-CS"/>
        </w:rPr>
        <w:br/>
      </w:r>
      <w:r w:rsidRPr="00895819">
        <w:rPr>
          <w:rFonts w:ascii="CG Times" w:hAnsi="CG Times"/>
          <w:color w:val="000000"/>
          <w:szCs w:val="22"/>
          <w:lang w:val="sr-Cyrl-CS"/>
        </w:rPr>
        <w:t xml:space="preserve">Србији, и (iv) да ни Зајмопримац нити било која његова имовина уживају </w:t>
      </w:r>
      <w:r w:rsidRPr="00895819">
        <w:rPr>
          <w:rFonts w:ascii="CG Times" w:hAnsi="CG Times"/>
          <w:color w:val="000000"/>
          <w:szCs w:val="22"/>
          <w:lang w:val="sr-Cyrl-CS"/>
        </w:rPr>
        <w:lastRenderedPageBreak/>
        <w:t xml:space="preserve">имунитет од арбитраже, тужбе, извршења или друге правне радње осим оних наведених у овом </w:t>
      </w:r>
      <w:r w:rsidR="0039269A" w:rsidRPr="00895819">
        <w:rPr>
          <w:rFonts w:ascii="CG Times" w:hAnsi="CG Times"/>
          <w:color w:val="000000"/>
          <w:szCs w:val="22"/>
          <w:lang w:val="sr-Cyrl-CS"/>
        </w:rPr>
        <w:t>у</w:t>
      </w:r>
      <w:r w:rsidRPr="00895819">
        <w:rPr>
          <w:rFonts w:ascii="CG Times" w:hAnsi="CG Times"/>
          <w:color w:val="000000"/>
          <w:szCs w:val="22"/>
          <w:lang w:val="sr-Cyrl-CS"/>
        </w:rPr>
        <w:t>говору</w:t>
      </w:r>
      <w:r w:rsidR="00B16F8D" w:rsidRPr="00895819">
        <w:rPr>
          <w:rFonts w:ascii="CG Times" w:hAnsi="CG Times"/>
          <w:color w:val="000000"/>
          <w:szCs w:val="22"/>
          <w:lang w:val="sr-Cyrl-CS"/>
        </w:rPr>
        <w:t xml:space="preserve">; </w:t>
      </w:r>
    </w:p>
    <w:p w14:paraId="3B1958DB" w14:textId="6D413571" w:rsidR="00B16F8D" w:rsidRPr="00895819" w:rsidRDefault="00924FCA" w:rsidP="00B16F8D">
      <w:pPr>
        <w:keepNext/>
        <w:numPr>
          <w:ilvl w:val="0"/>
          <w:numId w:val="43"/>
        </w:numPr>
        <w:tabs>
          <w:tab w:val="left" w:pos="22"/>
        </w:tabs>
        <w:spacing w:after="240"/>
        <w:rPr>
          <w:rFonts w:ascii="CG Times" w:hAnsi="CG Times"/>
          <w:color w:val="000000"/>
          <w:szCs w:val="22"/>
          <w:lang w:val="sr-Cyrl-CS"/>
        </w:rPr>
      </w:pPr>
      <w:r w:rsidRPr="00895819">
        <w:rPr>
          <w:rFonts w:ascii="CG Times" w:hAnsi="CG Times"/>
          <w:color w:val="000000"/>
          <w:szCs w:val="22"/>
          <w:lang w:val="sr-Cyrl-CS"/>
        </w:rPr>
        <w:t xml:space="preserve">доказ да је Народна скупштина Републике Србије усвојила закон о потврђивању овог </w:t>
      </w:r>
      <w:r w:rsidR="0039269A" w:rsidRPr="00895819">
        <w:rPr>
          <w:rFonts w:ascii="CG Times" w:hAnsi="CG Times"/>
          <w:color w:val="000000"/>
          <w:szCs w:val="22"/>
          <w:lang w:val="sr-Cyrl-CS"/>
        </w:rPr>
        <w:t>у</w:t>
      </w:r>
      <w:r w:rsidRPr="00895819">
        <w:rPr>
          <w:rFonts w:ascii="CG Times" w:hAnsi="CG Times"/>
          <w:color w:val="000000"/>
          <w:szCs w:val="22"/>
          <w:lang w:val="sr-Cyrl-CS"/>
        </w:rPr>
        <w:t>говора</w:t>
      </w:r>
      <w:r w:rsidR="00B16F8D" w:rsidRPr="00895819">
        <w:rPr>
          <w:rFonts w:ascii="CG Times" w:hAnsi="CG Times"/>
          <w:color w:val="000000"/>
          <w:szCs w:val="22"/>
          <w:lang w:val="sr-Cyrl-CS"/>
        </w:rPr>
        <w:t xml:space="preserve"> </w:t>
      </w:r>
      <w:r w:rsidRPr="00895819">
        <w:rPr>
          <w:rFonts w:ascii="CG Times" w:hAnsi="CG Times"/>
          <w:color w:val="000000"/>
          <w:szCs w:val="22"/>
          <w:lang w:val="sr-Cyrl-CS"/>
        </w:rPr>
        <w:t>(заједно са доказом да је тај закон потписао председник Републике Србије) и да је тај закон објављен у „Службеном гласнику Републике Србије</w:t>
      </w:r>
      <w:r w:rsidR="007C25D7" w:rsidRPr="00895819">
        <w:rPr>
          <w:rFonts w:ascii="CG Times" w:hAnsi="CG Times"/>
          <w:color w:val="000000"/>
          <w:szCs w:val="22"/>
          <w:lang w:val="sr-Cyrl-CS"/>
        </w:rPr>
        <w:t>”</w:t>
      </w:r>
      <w:r w:rsidR="000905C7" w:rsidRPr="00895819">
        <w:rPr>
          <w:rFonts w:ascii="CG Times" w:hAnsi="CG Times"/>
          <w:color w:val="000000"/>
          <w:szCs w:val="22"/>
          <w:lang w:val="sr-Cyrl-CS"/>
        </w:rPr>
        <w:t>.</w:t>
      </w:r>
      <w:r w:rsidR="00B16F8D" w:rsidRPr="00895819">
        <w:rPr>
          <w:rFonts w:ascii="CG Times" w:hAnsi="CG Times"/>
          <w:color w:val="000000"/>
          <w:szCs w:val="22"/>
          <w:lang w:val="sr-Cyrl-CS"/>
        </w:rPr>
        <w:t xml:space="preserve"> </w:t>
      </w:r>
    </w:p>
    <w:p w14:paraId="567296BC" w14:textId="42324CC3" w:rsidR="00B16F8D" w:rsidRPr="00895819" w:rsidRDefault="00924FCA" w:rsidP="00B16F8D">
      <w:pPr>
        <w:keepNext/>
        <w:numPr>
          <w:ilvl w:val="0"/>
          <w:numId w:val="43"/>
        </w:numPr>
        <w:tabs>
          <w:tab w:val="left" w:pos="22"/>
        </w:tabs>
        <w:spacing w:after="240"/>
        <w:rPr>
          <w:rFonts w:ascii="CG Times" w:hAnsi="CG Times"/>
          <w:color w:val="000000"/>
          <w:szCs w:val="22"/>
          <w:lang w:val="sr-Cyrl-CS"/>
        </w:rPr>
      </w:pPr>
      <w:r w:rsidRPr="00895819">
        <w:rPr>
          <w:rFonts w:ascii="CG Times" w:hAnsi="CG Times"/>
          <w:color w:val="000000"/>
          <w:szCs w:val="22"/>
          <w:lang w:val="sr-Cyrl-CS"/>
        </w:rPr>
        <w:t>Потврда Министарства финансија Репу</w:t>
      </w:r>
      <w:r w:rsidR="001633B6" w:rsidRPr="00895819">
        <w:rPr>
          <w:rFonts w:ascii="CG Times" w:hAnsi="CG Times"/>
          <w:color w:val="000000"/>
          <w:szCs w:val="22"/>
          <w:lang w:val="sr-Cyrl-CS"/>
        </w:rPr>
        <w:t>блике Србије о томе да је овај у</w:t>
      </w:r>
      <w:r w:rsidRPr="00895819">
        <w:rPr>
          <w:rFonts w:ascii="CG Times" w:hAnsi="CG Times"/>
          <w:color w:val="000000"/>
          <w:szCs w:val="22"/>
          <w:lang w:val="sr-Cyrl-CS"/>
        </w:rPr>
        <w:t>говор евидентиран код њега на одговарајући начин</w:t>
      </w:r>
      <w:r w:rsidR="00B16F8D" w:rsidRPr="00895819">
        <w:rPr>
          <w:rFonts w:ascii="CG Times" w:hAnsi="CG Times"/>
          <w:color w:val="000000"/>
          <w:szCs w:val="22"/>
          <w:lang w:val="sr-Cyrl-CS"/>
        </w:rPr>
        <w:t>.</w:t>
      </w:r>
    </w:p>
    <w:p w14:paraId="050D8796" w14:textId="77777777" w:rsidR="00B16F8D" w:rsidRPr="00895819" w:rsidRDefault="00924FCA" w:rsidP="00B16F8D">
      <w:pPr>
        <w:pStyle w:val="BodyText"/>
        <w:keepNext/>
        <w:rPr>
          <w:rFonts w:cs="Times New Roman"/>
          <w:b/>
          <w:smallCaps/>
          <w:lang w:val="sr-Cyrl-CS"/>
        </w:rPr>
      </w:pPr>
      <w:r w:rsidRPr="00895819">
        <w:rPr>
          <w:rFonts w:cs="Times New Roman"/>
          <w:b/>
          <w:smallCaps/>
          <w:lang w:val="sr-Cyrl-CS"/>
        </w:rPr>
        <w:t>Део</w:t>
      </w:r>
      <w:r w:rsidR="00B16F8D" w:rsidRPr="00895819">
        <w:rPr>
          <w:rFonts w:cs="Times New Roman"/>
          <w:b/>
          <w:smallCaps/>
          <w:lang w:val="sr-Cyrl-CS"/>
        </w:rPr>
        <w:t xml:space="preserve"> III - </w:t>
      </w:r>
      <w:r w:rsidRPr="00895819">
        <w:rPr>
          <w:rFonts w:cs="Times New Roman"/>
          <w:b/>
          <w:smallCaps/>
          <w:lang w:val="sr-Cyrl-CS"/>
        </w:rPr>
        <w:t>Претходни услови за прво повлачење средстава транше буџетске подршке</w:t>
      </w:r>
    </w:p>
    <w:p w14:paraId="73173E6F" w14:textId="77777777" w:rsidR="00B16F8D" w:rsidRPr="00895819" w:rsidRDefault="00924FCA" w:rsidP="00814966">
      <w:pPr>
        <w:pStyle w:val="ListAlpha1"/>
        <w:numPr>
          <w:ilvl w:val="0"/>
          <w:numId w:val="56"/>
        </w:numPr>
        <w:rPr>
          <w:rFonts w:ascii="Times New Roman" w:hAnsi="Times New Roman"/>
          <w:lang w:val="sr-Cyrl-CS"/>
        </w:rPr>
      </w:pPr>
      <w:r w:rsidRPr="00895819">
        <w:rPr>
          <w:rFonts w:ascii="Times New Roman" w:hAnsi="Times New Roman"/>
          <w:lang w:val="sr-Cyrl-CS"/>
        </w:rPr>
        <w:t>Зајмопримац је Зајмодавцу доставио примерак закључка Владе о именовању лица овлашћених да потписују Захтеве повлачење средстава и потврду са депонованим потписом сваког од лица наведених у том закључку</w:t>
      </w:r>
      <w:r w:rsidR="000905C7" w:rsidRPr="00895819">
        <w:rPr>
          <w:rFonts w:ascii="Times New Roman" w:hAnsi="Times New Roman"/>
          <w:lang w:val="sr-Cyrl-CS"/>
        </w:rPr>
        <w:t>.</w:t>
      </w:r>
    </w:p>
    <w:p w14:paraId="5DC32A53" w14:textId="77777777" w:rsidR="00D135DB" w:rsidRPr="00895819" w:rsidRDefault="008A28CF" w:rsidP="00814966">
      <w:pPr>
        <w:pStyle w:val="ListAlpha1"/>
        <w:keepNext/>
        <w:numPr>
          <w:ilvl w:val="0"/>
          <w:numId w:val="0"/>
        </w:numPr>
        <w:rPr>
          <w:lang w:val="sr-Cyrl-CS"/>
        </w:rPr>
      </w:pPr>
      <w:r w:rsidRPr="00895819">
        <w:rPr>
          <w:b/>
          <w:smallCaps/>
          <w:lang w:val="sr-Cyrl-CS"/>
        </w:rPr>
        <w:t>Део</w:t>
      </w:r>
      <w:r w:rsidR="00D135DB" w:rsidRPr="00895819">
        <w:rPr>
          <w:b/>
          <w:smallCaps/>
          <w:lang w:val="sr-Cyrl-CS"/>
        </w:rPr>
        <w:t xml:space="preserve"> IV - </w:t>
      </w:r>
      <w:r w:rsidRPr="00895819">
        <w:rPr>
          <w:b/>
          <w:smallCaps/>
          <w:lang w:val="sr-Cyrl-CS"/>
        </w:rPr>
        <w:t>Претходни услови за сва наредна повлачења средстава транше буџетске подршке</w:t>
      </w:r>
    </w:p>
    <w:p w14:paraId="233B91B0" w14:textId="28DFD21E" w:rsidR="00B16F8D" w:rsidRPr="00895819" w:rsidRDefault="00DD7B1D" w:rsidP="00DD7B1D">
      <w:pPr>
        <w:pStyle w:val="ListAlpha1"/>
        <w:numPr>
          <w:ilvl w:val="0"/>
          <w:numId w:val="0"/>
        </w:numPr>
        <w:ind w:left="720" w:hanging="720"/>
        <w:rPr>
          <w:rFonts w:ascii="Times New Roman" w:hAnsi="Times New Roman"/>
          <w:lang w:val="sr-Cyrl-CS"/>
        </w:rPr>
      </w:pPr>
      <w:r w:rsidRPr="00895819">
        <w:rPr>
          <w:rFonts w:ascii="Times New Roman" w:hAnsi="Times New Roman"/>
          <w:lang w:val="sr-Cyrl-CS"/>
        </w:rPr>
        <w:t>(а)</w:t>
      </w:r>
      <w:r w:rsidRPr="00895819">
        <w:rPr>
          <w:rFonts w:ascii="Times New Roman" w:hAnsi="Times New Roman"/>
          <w:lang w:val="sr-Cyrl-CS"/>
        </w:rPr>
        <w:tab/>
      </w:r>
      <w:r w:rsidR="00352983" w:rsidRPr="00895819">
        <w:rPr>
          <w:rFonts w:ascii="Times New Roman" w:hAnsi="Times New Roman"/>
          <w:lang w:val="sr-Cyrl-CS"/>
        </w:rPr>
        <w:t>Зајмопримац је Зајмодавцу доставио доказа да су Резултати везани за повлачење средстава у вези са захтевом за повлачење средстава постигнути на начин који је задовољавајућ за Зајмодавца и у складу са аранжманима и процедурама дефинисаним у ОИМ</w:t>
      </w:r>
      <w:r w:rsidR="00B16F8D" w:rsidRPr="00895819">
        <w:rPr>
          <w:rFonts w:ascii="Times New Roman" w:hAnsi="Times New Roman"/>
          <w:lang w:val="sr-Cyrl-CS"/>
        </w:rPr>
        <w:t>;</w:t>
      </w:r>
    </w:p>
    <w:p w14:paraId="3F50D71E" w14:textId="5BCA08B3" w:rsidR="00B16F8D" w:rsidRPr="00895819" w:rsidRDefault="00DD7B1D" w:rsidP="00DD7B1D">
      <w:pPr>
        <w:pStyle w:val="ListAlpha1"/>
        <w:numPr>
          <w:ilvl w:val="0"/>
          <w:numId w:val="0"/>
        </w:numPr>
        <w:ind w:left="720" w:hanging="720"/>
        <w:rPr>
          <w:rFonts w:ascii="Times New Roman" w:hAnsi="Times New Roman"/>
          <w:lang w:val="sr-Cyrl-CS"/>
        </w:rPr>
      </w:pPr>
      <w:r w:rsidRPr="00895819">
        <w:rPr>
          <w:rFonts w:ascii="Times New Roman" w:hAnsi="Times New Roman"/>
          <w:szCs w:val="20"/>
          <w:lang w:val="sr-Cyrl-CS"/>
        </w:rPr>
        <w:t>(б)</w:t>
      </w:r>
      <w:r w:rsidRPr="00895819">
        <w:rPr>
          <w:rFonts w:ascii="Times New Roman" w:hAnsi="Times New Roman"/>
          <w:szCs w:val="20"/>
          <w:lang w:val="sr-Cyrl-CS"/>
        </w:rPr>
        <w:tab/>
      </w:r>
      <w:r w:rsidR="00352983" w:rsidRPr="00895819">
        <w:rPr>
          <w:rFonts w:ascii="Times New Roman" w:hAnsi="Times New Roman"/>
          <w:szCs w:val="20"/>
          <w:lang w:val="sr-Cyrl-CS"/>
        </w:rPr>
        <w:t>Зајмопримац је Зајмодавцу доставио доказа</w:t>
      </w:r>
      <w:r w:rsidR="00B16F8D" w:rsidRPr="00895819">
        <w:rPr>
          <w:rFonts w:ascii="Times New Roman" w:hAnsi="Times New Roman"/>
          <w:szCs w:val="20"/>
          <w:lang w:val="sr-Cyrl-CS"/>
        </w:rPr>
        <w:t xml:space="preserve"> </w:t>
      </w:r>
      <w:r w:rsidR="00D135DB" w:rsidRPr="00895819">
        <w:rPr>
          <w:rFonts w:ascii="Times New Roman" w:hAnsi="Times New Roman"/>
          <w:szCs w:val="20"/>
          <w:lang w:val="sr-Cyrl-CS"/>
        </w:rPr>
        <w:t xml:space="preserve">– </w:t>
      </w:r>
      <w:r w:rsidR="00352983" w:rsidRPr="00895819">
        <w:rPr>
          <w:rFonts w:ascii="Times New Roman" w:hAnsi="Times New Roman"/>
          <w:szCs w:val="20"/>
          <w:lang w:val="sr-Cyrl-CS"/>
        </w:rPr>
        <w:t>представљен</w:t>
      </w:r>
      <w:r w:rsidR="00565C4D" w:rsidRPr="00895819">
        <w:rPr>
          <w:rFonts w:ascii="Times New Roman" w:hAnsi="Times New Roman"/>
          <w:szCs w:val="20"/>
          <w:lang w:val="sr-Cyrl-CS"/>
        </w:rPr>
        <w:t>е</w:t>
      </w:r>
      <w:r w:rsidR="00352983" w:rsidRPr="00895819">
        <w:rPr>
          <w:rFonts w:ascii="Times New Roman" w:hAnsi="Times New Roman"/>
          <w:szCs w:val="20"/>
          <w:lang w:val="sr-Cyrl-CS"/>
        </w:rPr>
        <w:t xml:space="preserve"> на начин дат у ОИМ –</w:t>
      </w:r>
      <w:r w:rsidR="00D135DB" w:rsidRPr="00895819">
        <w:rPr>
          <w:rFonts w:ascii="Times New Roman" w:hAnsi="Times New Roman"/>
          <w:szCs w:val="20"/>
          <w:lang w:val="sr-Cyrl-CS"/>
        </w:rPr>
        <w:t xml:space="preserve"> </w:t>
      </w:r>
      <w:r w:rsidR="00352983" w:rsidRPr="00895819">
        <w:rPr>
          <w:rFonts w:ascii="Times New Roman" w:hAnsi="Times New Roman"/>
          <w:szCs w:val="20"/>
          <w:lang w:val="sr-Cyrl-CS"/>
        </w:rPr>
        <w:t>да је Оквир расхода имплементиран у износи који је бар једнак траженом повлачењу средстава</w:t>
      </w:r>
      <w:r w:rsidR="000905C7" w:rsidRPr="00895819">
        <w:rPr>
          <w:rFonts w:ascii="Times New Roman" w:hAnsi="Times New Roman"/>
          <w:lang w:val="sr-Cyrl-CS"/>
        </w:rPr>
        <w:t>.</w:t>
      </w:r>
    </w:p>
    <w:p w14:paraId="1B596CFF" w14:textId="77777777" w:rsidR="00B16F8D" w:rsidRPr="00895819" w:rsidRDefault="00352983" w:rsidP="00814966">
      <w:pPr>
        <w:spacing w:after="240"/>
        <w:rPr>
          <w:lang w:val="sr-Cyrl-CS"/>
        </w:rPr>
      </w:pPr>
      <w:r w:rsidRPr="00895819">
        <w:rPr>
          <w:b/>
          <w:smallCaps/>
          <w:lang w:val="sr-Cyrl-CS"/>
        </w:rPr>
        <w:t>Део</w:t>
      </w:r>
      <w:r w:rsidR="00B16F8D" w:rsidRPr="00895819">
        <w:rPr>
          <w:b/>
          <w:smallCaps/>
          <w:lang w:val="sr-Cyrl-CS"/>
        </w:rPr>
        <w:t xml:space="preserve"> V - </w:t>
      </w:r>
      <w:r w:rsidRPr="00895819">
        <w:rPr>
          <w:b/>
          <w:smallCaps/>
          <w:lang w:val="sr-Cyrl-CS"/>
        </w:rPr>
        <w:t>Претходни услови за прво повлачење средстава транше техничке помоћи</w:t>
      </w:r>
    </w:p>
    <w:p w14:paraId="50B736F8" w14:textId="0B9DE130" w:rsidR="009A57B1" w:rsidRPr="00895819" w:rsidRDefault="00DD7B1D" w:rsidP="00DD7B1D">
      <w:pPr>
        <w:pStyle w:val="ListAlpha1"/>
        <w:numPr>
          <w:ilvl w:val="0"/>
          <w:numId w:val="0"/>
        </w:numPr>
        <w:ind w:left="720" w:hanging="720"/>
        <w:rPr>
          <w:rFonts w:ascii="Times New Roman" w:hAnsi="Times New Roman"/>
          <w:lang w:val="sr-Cyrl-CS"/>
        </w:rPr>
      </w:pPr>
      <w:r w:rsidRPr="00895819">
        <w:rPr>
          <w:rFonts w:ascii="Times New Roman" w:hAnsi="Times New Roman"/>
          <w:lang w:val="sr-Cyrl-CS"/>
        </w:rPr>
        <w:t>(а)</w:t>
      </w:r>
      <w:r w:rsidRPr="00895819">
        <w:rPr>
          <w:rFonts w:ascii="Times New Roman" w:hAnsi="Times New Roman"/>
          <w:lang w:val="sr-Cyrl-CS"/>
        </w:rPr>
        <w:tab/>
      </w:r>
      <w:r w:rsidR="00966C7B" w:rsidRPr="00895819">
        <w:rPr>
          <w:rFonts w:ascii="Times New Roman" w:hAnsi="Times New Roman"/>
          <w:lang w:val="sr-Cyrl-CS"/>
        </w:rPr>
        <w:t>Потврда Суфинансијера или Зајмопримца да је Споразум о зајму ЕБРД-а ступио на снагу и да су испуњени претходни услови за прво повлачење средстава тог зајма</w:t>
      </w:r>
      <w:r w:rsidR="009A57B1" w:rsidRPr="00895819">
        <w:rPr>
          <w:rFonts w:ascii="Times New Roman" w:hAnsi="Times New Roman"/>
          <w:lang w:val="sr-Cyrl-CS"/>
        </w:rPr>
        <w:t xml:space="preserve">; </w:t>
      </w:r>
    </w:p>
    <w:p w14:paraId="1FC4BB1C" w14:textId="747FCDE8" w:rsidR="009A57B1" w:rsidRPr="00895819" w:rsidRDefault="00DD7B1D" w:rsidP="00DD7B1D">
      <w:pPr>
        <w:pStyle w:val="ListAlpha1"/>
        <w:numPr>
          <w:ilvl w:val="0"/>
          <w:numId w:val="0"/>
        </w:numPr>
        <w:ind w:left="720" w:hanging="720"/>
        <w:rPr>
          <w:rFonts w:ascii="Times New Roman" w:hAnsi="Times New Roman"/>
          <w:lang w:val="sr-Cyrl-CS"/>
        </w:rPr>
      </w:pPr>
      <w:r w:rsidRPr="00895819">
        <w:rPr>
          <w:rFonts w:ascii="Times New Roman" w:hAnsi="Times New Roman"/>
          <w:lang w:val="sr-Cyrl-CS"/>
        </w:rPr>
        <w:t>(б)</w:t>
      </w:r>
      <w:r w:rsidRPr="00895819">
        <w:rPr>
          <w:rFonts w:ascii="Times New Roman" w:hAnsi="Times New Roman"/>
          <w:lang w:val="sr-Cyrl-CS"/>
        </w:rPr>
        <w:tab/>
      </w:r>
      <w:r w:rsidR="00966C7B" w:rsidRPr="00895819">
        <w:rPr>
          <w:rFonts w:ascii="Times New Roman" w:hAnsi="Times New Roman"/>
          <w:lang w:val="sr-Cyrl-CS"/>
        </w:rPr>
        <w:t>Споразум о суфинансирању између Зајмодавца и Суфинансијера је потписан</w:t>
      </w:r>
      <w:r w:rsidR="009A57B1" w:rsidRPr="00895819">
        <w:rPr>
          <w:rFonts w:ascii="Times New Roman" w:hAnsi="Times New Roman"/>
          <w:lang w:val="sr-Cyrl-CS"/>
        </w:rPr>
        <w:t>;</w:t>
      </w:r>
    </w:p>
    <w:p w14:paraId="594AF40B" w14:textId="0763C9DE" w:rsidR="009A57B1" w:rsidRPr="00895819" w:rsidRDefault="00DD7B1D" w:rsidP="00DD7B1D">
      <w:pPr>
        <w:pStyle w:val="ListAlpha1"/>
        <w:numPr>
          <w:ilvl w:val="0"/>
          <w:numId w:val="0"/>
        </w:numPr>
        <w:ind w:left="720" w:hanging="720"/>
        <w:rPr>
          <w:rFonts w:ascii="Times New Roman" w:hAnsi="Times New Roman"/>
          <w:lang w:val="sr-Cyrl-CS"/>
        </w:rPr>
      </w:pPr>
      <w:r w:rsidRPr="00895819">
        <w:rPr>
          <w:rFonts w:ascii="Times New Roman" w:hAnsi="Times New Roman"/>
          <w:lang w:val="sr-Cyrl-CS"/>
        </w:rPr>
        <w:t>(ц)</w:t>
      </w:r>
      <w:r w:rsidRPr="00895819">
        <w:rPr>
          <w:rFonts w:ascii="Times New Roman" w:hAnsi="Times New Roman"/>
          <w:lang w:val="sr-Cyrl-CS"/>
        </w:rPr>
        <w:tab/>
      </w:r>
      <w:r w:rsidR="0008067E" w:rsidRPr="00895819">
        <w:rPr>
          <w:rFonts w:ascii="Times New Roman" w:hAnsi="Times New Roman"/>
          <w:lang w:val="sr-Cyrl-CS"/>
        </w:rPr>
        <w:t xml:space="preserve">Зајмопримац је Зајмодавцу доставио примерак закључка Владе о именовању лица овлашћених да потписују Захтев за повлачење средстава за Траншу техничке помоћи и </w:t>
      </w:r>
      <w:r w:rsidR="009A57B1" w:rsidRPr="00895819">
        <w:rPr>
          <w:rFonts w:ascii="Times New Roman" w:hAnsi="Times New Roman"/>
          <w:lang w:val="sr-Cyrl-CS"/>
        </w:rPr>
        <w:t xml:space="preserve"> </w:t>
      </w:r>
      <w:r w:rsidR="0008067E" w:rsidRPr="00895819">
        <w:rPr>
          <w:rFonts w:ascii="Times New Roman" w:hAnsi="Times New Roman"/>
          <w:lang w:val="sr-Cyrl-CS"/>
        </w:rPr>
        <w:t>потврду са депонованим потписом сваког од лица наведених у том закључку</w:t>
      </w:r>
      <w:r w:rsidR="009A57B1" w:rsidRPr="00895819">
        <w:rPr>
          <w:rFonts w:ascii="Times New Roman" w:hAnsi="Times New Roman"/>
          <w:lang w:val="sr-Cyrl-CS"/>
        </w:rPr>
        <w:t>;</w:t>
      </w:r>
    </w:p>
    <w:p w14:paraId="2B811FCA" w14:textId="3B9E197D" w:rsidR="009A57B1" w:rsidRPr="00895819" w:rsidRDefault="00DD7B1D" w:rsidP="00DD7B1D">
      <w:pPr>
        <w:pStyle w:val="ListAlpha1"/>
        <w:numPr>
          <w:ilvl w:val="0"/>
          <w:numId w:val="0"/>
        </w:numPr>
        <w:ind w:left="720" w:hanging="720"/>
        <w:rPr>
          <w:rFonts w:ascii="Times New Roman" w:hAnsi="Times New Roman"/>
          <w:lang w:val="sr-Cyrl-CS"/>
        </w:rPr>
      </w:pPr>
      <w:r w:rsidRPr="00895819">
        <w:rPr>
          <w:rFonts w:ascii="Times New Roman" w:hAnsi="Times New Roman"/>
          <w:lang w:val="sr-Cyrl-CS"/>
        </w:rPr>
        <w:t>(д)</w:t>
      </w:r>
      <w:r w:rsidRPr="00895819">
        <w:rPr>
          <w:rFonts w:ascii="Times New Roman" w:hAnsi="Times New Roman"/>
          <w:lang w:val="sr-Cyrl-CS"/>
        </w:rPr>
        <w:tab/>
      </w:r>
      <w:r w:rsidR="0008067E" w:rsidRPr="00895819">
        <w:rPr>
          <w:rFonts w:ascii="Times New Roman" w:hAnsi="Times New Roman"/>
          <w:lang w:val="sr-Cyrl-CS"/>
        </w:rPr>
        <w:t>Зајмопримац је Зајмодавцу доставио потврду Народне банке Србије којом се потврђује да је Наменски рачун отворен на име Операције и детаљне информације о том Наменском рачуну</w:t>
      </w:r>
      <w:r w:rsidR="000905C7" w:rsidRPr="00895819">
        <w:rPr>
          <w:rFonts w:ascii="Times New Roman" w:hAnsi="Times New Roman"/>
          <w:lang w:val="sr-Cyrl-CS"/>
        </w:rPr>
        <w:t>.</w:t>
      </w:r>
    </w:p>
    <w:p w14:paraId="13AD6167" w14:textId="77777777" w:rsidR="009A57B1" w:rsidRPr="00895819" w:rsidRDefault="009A57B1" w:rsidP="00814966">
      <w:pPr>
        <w:rPr>
          <w:lang w:val="sr-Cyrl-CS"/>
        </w:rPr>
      </w:pPr>
    </w:p>
    <w:p w14:paraId="7D7E57CC" w14:textId="77777777" w:rsidR="009A57B1" w:rsidRPr="00895819" w:rsidRDefault="009A57B1" w:rsidP="00814966">
      <w:pPr>
        <w:rPr>
          <w:lang w:val="sr-Cyrl-CS"/>
        </w:rPr>
      </w:pPr>
    </w:p>
    <w:p w14:paraId="72FB33D4" w14:textId="77777777" w:rsidR="00B16F8D" w:rsidRPr="00895819" w:rsidRDefault="00B16F8D" w:rsidP="00B16F8D">
      <w:pPr>
        <w:rPr>
          <w:lang w:val="sr-Cyrl-CS"/>
        </w:rPr>
      </w:pPr>
    </w:p>
    <w:p w14:paraId="2A003CA2" w14:textId="77777777" w:rsidR="00B16F8D" w:rsidRPr="00895819" w:rsidRDefault="00B16F8D" w:rsidP="00B16F8D">
      <w:pPr>
        <w:rPr>
          <w:lang w:val="sr-Cyrl-CS"/>
        </w:rPr>
      </w:pPr>
    </w:p>
    <w:p w14:paraId="6622ECFD" w14:textId="77777777" w:rsidR="00B16F8D" w:rsidRPr="00895819" w:rsidRDefault="00B16F8D" w:rsidP="00B16F8D">
      <w:pPr>
        <w:rPr>
          <w:lang w:val="sr-Cyrl-CS"/>
        </w:rPr>
      </w:pPr>
    </w:p>
    <w:p w14:paraId="64EA9374" w14:textId="77777777" w:rsidR="00B16F8D" w:rsidRPr="00895819" w:rsidRDefault="00B16F8D" w:rsidP="00B16F8D">
      <w:pPr>
        <w:pStyle w:val="BodyText"/>
        <w:jc w:val="left"/>
        <w:rPr>
          <w:rFonts w:cs="Times New Roman"/>
          <w:b/>
          <w:iCs/>
          <w:color w:val="000000"/>
          <w:lang w:val="sr-Cyrl-CS"/>
        </w:rPr>
      </w:pPr>
    </w:p>
    <w:p w14:paraId="1627B869" w14:textId="77777777" w:rsidR="00B16F8D" w:rsidRPr="00895819" w:rsidRDefault="00614542" w:rsidP="00B16F8D">
      <w:pPr>
        <w:pStyle w:val="Schhead"/>
        <w:outlineLvl w:val="0"/>
        <w:rPr>
          <w:rFonts w:ascii="Times New Roman" w:hAnsi="Times New Roman"/>
          <w:lang w:val="sr-Cyrl-CS"/>
        </w:rPr>
      </w:pPr>
      <w:bookmarkStart w:id="174" w:name="_Toc129873707"/>
      <w:r w:rsidRPr="00895819">
        <w:rPr>
          <w:rFonts w:ascii="Times New Roman" w:hAnsi="Times New Roman"/>
          <w:lang w:val="sr-Cyrl-CS"/>
        </w:rPr>
        <w:lastRenderedPageBreak/>
        <w:t>прилог</w:t>
      </w:r>
      <w:r w:rsidR="00B16F8D" w:rsidRPr="00895819">
        <w:rPr>
          <w:rFonts w:ascii="Times New Roman" w:hAnsi="Times New Roman"/>
          <w:lang w:val="sr-Cyrl-CS"/>
        </w:rPr>
        <w:t xml:space="preserve"> 5A </w:t>
      </w:r>
      <w:r w:rsidRPr="00895819">
        <w:rPr>
          <w:rFonts w:ascii="Times New Roman" w:hAnsi="Times New Roman"/>
          <w:lang w:val="sr-Cyrl-CS"/>
        </w:rPr>
        <w:t>–</w:t>
      </w:r>
      <w:r w:rsidR="00B16F8D" w:rsidRPr="00895819">
        <w:rPr>
          <w:rFonts w:ascii="Times New Roman" w:hAnsi="Times New Roman"/>
          <w:lang w:val="sr-Cyrl-CS"/>
        </w:rPr>
        <w:t xml:space="preserve"> </w:t>
      </w:r>
      <w:r w:rsidRPr="00895819">
        <w:rPr>
          <w:rFonts w:ascii="Times New Roman" w:hAnsi="Times New Roman"/>
          <w:lang w:val="sr-Cyrl-CS"/>
        </w:rPr>
        <w:t>образац захтева за повлачење средстава</w:t>
      </w:r>
      <w:bookmarkEnd w:id="174"/>
    </w:p>
    <w:p w14:paraId="0CDA63DF" w14:textId="77777777" w:rsidR="00B16F8D" w:rsidRPr="00895819" w:rsidRDefault="00B16F8D" w:rsidP="00B16F8D">
      <w:pPr>
        <w:pStyle w:val="BodyText"/>
        <w:jc w:val="center"/>
        <w:rPr>
          <w:rFonts w:cs="Times New Roman"/>
          <w:lang w:val="sr-Cyrl-CS"/>
        </w:rPr>
      </w:pPr>
      <w:r w:rsidRPr="00895819">
        <w:rPr>
          <w:rFonts w:cs="Times New Roman"/>
          <w:i/>
          <w:lang w:val="sr-Cyrl-CS"/>
        </w:rPr>
        <w:t>[</w:t>
      </w:r>
      <w:r w:rsidR="00614542" w:rsidRPr="00895819">
        <w:rPr>
          <w:rFonts w:cs="Times New Roman"/>
          <w:i/>
          <w:lang w:val="sr-Cyrl-CS"/>
        </w:rPr>
        <w:t>на меморандуму Зајмопримца</w:t>
      </w:r>
      <w:r w:rsidRPr="00895819">
        <w:rPr>
          <w:rFonts w:cs="Times New Roman"/>
          <w:i/>
          <w:lang w:val="sr-Cyrl-CS"/>
        </w:rPr>
        <w:t>]</w:t>
      </w:r>
    </w:p>
    <w:p w14:paraId="31361FAE" w14:textId="77777777" w:rsidR="00614542" w:rsidRPr="00895819" w:rsidRDefault="00614542" w:rsidP="00614542">
      <w:pPr>
        <w:pStyle w:val="BodyText"/>
        <w:rPr>
          <w:lang w:val="sr-Cyrl-CS"/>
        </w:rPr>
      </w:pPr>
      <w:r w:rsidRPr="00895819">
        <w:rPr>
          <w:lang w:val="sr-Cyrl-CS"/>
        </w:rPr>
        <w:t>За:</w:t>
      </w:r>
      <w:r w:rsidRPr="00895819">
        <w:rPr>
          <w:lang w:val="sr-Cyrl-CS"/>
        </w:rPr>
        <w:tab/>
        <w:t>ФРАНЦУСКА АГЕНЦИЈА ЗА РАЗВОЈ</w:t>
      </w:r>
    </w:p>
    <w:p w14:paraId="046A1C7F" w14:textId="77777777" w:rsidR="00614542" w:rsidRPr="00895819" w:rsidRDefault="00614542" w:rsidP="00614542">
      <w:pPr>
        <w:pStyle w:val="BodyText"/>
        <w:rPr>
          <w:lang w:val="sr-Cyrl-CS"/>
        </w:rPr>
      </w:pPr>
      <w:r w:rsidRPr="00895819">
        <w:rPr>
          <w:lang w:val="sr-Cyrl-CS"/>
        </w:rPr>
        <w:t xml:space="preserve">Датум: </w:t>
      </w:r>
      <w:r w:rsidRPr="00895819">
        <w:rPr>
          <w:lang w:val="sr-Cyrl-CS"/>
        </w:rPr>
        <w:tab/>
        <w:t>[</w:t>
      </w:r>
      <w:r w:rsidRPr="00895819">
        <w:rPr>
          <w:i/>
          <w:lang w:val="sr-Cyrl-CS"/>
        </w:rPr>
        <w:t>датум</w:t>
      </w:r>
      <w:r w:rsidRPr="00895819">
        <w:rPr>
          <w:lang w:val="sr-Cyrl-CS"/>
        </w:rPr>
        <w:t>]</w:t>
      </w:r>
    </w:p>
    <w:p w14:paraId="75D3F625" w14:textId="77777777" w:rsidR="00614542" w:rsidRPr="00895819" w:rsidRDefault="00614542" w:rsidP="00614542">
      <w:pPr>
        <w:pStyle w:val="BodyText"/>
        <w:rPr>
          <w:b/>
          <w:lang w:val="sr-Cyrl-CS"/>
        </w:rPr>
      </w:pPr>
      <w:r w:rsidRPr="00895819">
        <w:rPr>
          <w:b/>
          <w:lang w:val="sr-Cyrl-CS"/>
        </w:rPr>
        <w:t>Име Зајмопримца – Уговор о кредиту бр.</w:t>
      </w:r>
      <w:r w:rsidRPr="00895819">
        <w:rPr>
          <w:lang w:val="sr-Cyrl-CS"/>
        </w:rPr>
        <w:t xml:space="preserve"> </w:t>
      </w:r>
      <w:r w:rsidRPr="00895819">
        <w:rPr>
          <w:b/>
          <w:lang w:val="sr-Cyrl-CS"/>
        </w:rPr>
        <w:t>[●] датиран [●]</w:t>
      </w:r>
    </w:p>
    <w:p w14:paraId="3BB38EEF" w14:textId="3C7D0560" w:rsidR="00B16F8D" w:rsidRPr="00895819" w:rsidRDefault="00614542" w:rsidP="00B16F8D">
      <w:pPr>
        <w:pStyle w:val="BodyText"/>
        <w:rPr>
          <w:lang w:val="sr-Cyrl-CS"/>
        </w:rPr>
      </w:pPr>
      <w:r w:rsidRPr="00895819">
        <w:rPr>
          <w:b/>
          <w:lang w:val="sr-Cyrl-CS"/>
        </w:rPr>
        <w:t>Захтев за повлачење средстава бр. [●]</w:t>
      </w:r>
    </w:p>
    <w:p w14:paraId="727F3100" w14:textId="77777777" w:rsidR="00B16F8D" w:rsidRPr="00895819" w:rsidRDefault="00614542" w:rsidP="00B16F8D">
      <w:pPr>
        <w:pStyle w:val="BodyText"/>
        <w:rPr>
          <w:rFonts w:cs="Times New Roman"/>
          <w:lang w:val="sr-Cyrl-CS"/>
        </w:rPr>
      </w:pPr>
      <w:r w:rsidRPr="00895819">
        <w:rPr>
          <w:rFonts w:cs="Times New Roman"/>
          <w:lang w:val="sr-Cyrl-CS"/>
        </w:rPr>
        <w:t>Поштовани</w:t>
      </w:r>
      <w:r w:rsidR="00B16F8D" w:rsidRPr="00895819">
        <w:rPr>
          <w:rFonts w:cs="Times New Roman"/>
          <w:lang w:val="sr-Cyrl-CS"/>
        </w:rPr>
        <w:t>,</w:t>
      </w:r>
    </w:p>
    <w:p w14:paraId="1487C676" w14:textId="05A0B6EF" w:rsidR="00B16F8D" w:rsidRPr="00895819" w:rsidRDefault="00614542" w:rsidP="00B16F8D">
      <w:pPr>
        <w:pStyle w:val="ListArabic1"/>
        <w:numPr>
          <w:ilvl w:val="0"/>
          <w:numId w:val="8"/>
        </w:numPr>
        <w:rPr>
          <w:lang w:val="sr-Cyrl-CS"/>
        </w:rPr>
      </w:pPr>
      <w:r w:rsidRPr="00895819">
        <w:rPr>
          <w:rFonts w:cs="Arial"/>
          <w:lang w:val="sr-Cyrl-CS"/>
        </w:rPr>
        <w:t>Позивамо се на Уговор о кредиту бр. [●] склопљен између Зајмопримца и Зајмодавца од [●] („</w:t>
      </w:r>
      <w:r w:rsidRPr="00895819">
        <w:rPr>
          <w:rFonts w:cs="Arial"/>
          <w:b/>
          <w:lang w:val="sr-Cyrl-CS"/>
        </w:rPr>
        <w:t>Уговор</w:t>
      </w:r>
      <w:r w:rsidR="007C25D7" w:rsidRPr="00895819">
        <w:rPr>
          <w:lang w:val="sr-Cyrl-CS"/>
        </w:rPr>
        <w:t>”</w:t>
      </w:r>
      <w:r w:rsidRPr="00895819">
        <w:rPr>
          <w:rFonts w:cs="Arial"/>
          <w:lang w:val="sr-Cyrl-CS"/>
        </w:rPr>
        <w:t>). Речи и термини писани великим словима који нису дефинисани овде, имају значење дато им у Уговору</w:t>
      </w:r>
      <w:r w:rsidR="00B16F8D" w:rsidRPr="00895819">
        <w:rPr>
          <w:lang w:val="sr-Cyrl-CS"/>
        </w:rPr>
        <w:t>.</w:t>
      </w:r>
    </w:p>
    <w:p w14:paraId="37D56147" w14:textId="77777777" w:rsidR="00B16F8D" w:rsidRPr="00895819" w:rsidRDefault="00614542" w:rsidP="00B16F8D">
      <w:pPr>
        <w:pStyle w:val="ListArabic1"/>
        <w:rPr>
          <w:lang w:val="sr-Cyrl-CS"/>
        </w:rPr>
      </w:pPr>
      <w:r w:rsidRPr="00895819">
        <w:rPr>
          <w:lang w:val="sr-Cyrl-CS"/>
        </w:rPr>
        <w:t>Ово писмо представља Захтев за повлачење средстава</w:t>
      </w:r>
      <w:r w:rsidR="00B16F8D" w:rsidRPr="00895819">
        <w:rPr>
          <w:lang w:val="sr-Cyrl-CS"/>
        </w:rPr>
        <w:t>.</w:t>
      </w:r>
    </w:p>
    <w:p w14:paraId="1001B46B" w14:textId="77777777" w:rsidR="00B16F8D" w:rsidRPr="00895819" w:rsidRDefault="00614542" w:rsidP="00B16F8D">
      <w:pPr>
        <w:pStyle w:val="ListArabic1"/>
        <w:rPr>
          <w:lang w:val="sr-Cyrl-CS"/>
        </w:rPr>
      </w:pPr>
      <w:r w:rsidRPr="00895819">
        <w:rPr>
          <w:lang w:val="sr-Cyrl-CS"/>
        </w:rPr>
        <w:t>Неопозиво тражимо да Зајмодавац омогући Повлачење средстава под следећим условима</w:t>
      </w:r>
      <w:r w:rsidR="00B16F8D" w:rsidRPr="00895819">
        <w:rPr>
          <w:lang w:val="sr-Cyrl-CS"/>
        </w:rPr>
        <w:t>:</w:t>
      </w:r>
    </w:p>
    <w:p w14:paraId="2C731542" w14:textId="72BDCF06" w:rsidR="00B16F8D" w:rsidRPr="00895819" w:rsidRDefault="00614542" w:rsidP="00DD7B1D">
      <w:pPr>
        <w:pStyle w:val="BodyText1"/>
        <w:ind w:left="2160" w:hanging="1440"/>
        <w:rPr>
          <w:lang w:val="sr-Cyrl-CS"/>
        </w:rPr>
      </w:pPr>
      <w:bookmarkStart w:id="175" w:name="_Hlk132639001"/>
      <w:r w:rsidRPr="00895819">
        <w:rPr>
          <w:lang w:val="sr-Cyrl-CS"/>
        </w:rPr>
        <w:t>Износ</w:t>
      </w:r>
      <w:r w:rsidR="00DD7B1D" w:rsidRPr="00895819">
        <w:rPr>
          <w:lang w:val="sr-Cyrl-CS"/>
        </w:rPr>
        <w:t>:</w:t>
      </w:r>
      <w:r w:rsidR="00DD7B1D" w:rsidRPr="00895819">
        <w:rPr>
          <w:lang w:val="sr-Cyrl-CS"/>
        </w:rPr>
        <w:tab/>
      </w:r>
      <w:r w:rsidR="00745020" w:rsidRPr="00895819">
        <w:rPr>
          <w:lang w:val="sr-Cyrl-CS"/>
        </w:rPr>
        <w:t>[</w:t>
      </w:r>
      <w:r w:rsidRPr="00895819">
        <w:rPr>
          <w:lang w:val="sr-Cyrl-CS"/>
        </w:rPr>
        <w:t>Транша буџетске подршке</w:t>
      </w:r>
      <w:r w:rsidR="00770EE4" w:rsidRPr="00895819">
        <w:rPr>
          <w:lang w:val="sr-Cyrl-CS"/>
        </w:rPr>
        <w:t xml:space="preserve">: </w:t>
      </w:r>
      <w:r w:rsidR="00B16F8D" w:rsidRPr="00895819">
        <w:rPr>
          <w:lang w:val="sr-Cyrl-CS"/>
        </w:rPr>
        <w:t xml:space="preserve">[●] </w:t>
      </w:r>
      <w:r w:rsidRPr="00895819">
        <w:rPr>
          <w:lang w:val="sr-Cyrl-CS"/>
        </w:rPr>
        <w:t>ЕУР, или уколико је мање, доступни преостали износ</w:t>
      </w:r>
      <w:r w:rsidR="00B16F8D" w:rsidRPr="00895819">
        <w:rPr>
          <w:lang w:val="sr-Cyrl-CS"/>
        </w:rPr>
        <w:t>.</w:t>
      </w:r>
      <w:r w:rsidR="00745020" w:rsidRPr="00895819">
        <w:rPr>
          <w:lang w:val="sr-Cyrl-CS"/>
        </w:rPr>
        <w:t>]</w:t>
      </w:r>
    </w:p>
    <w:p w14:paraId="56035B25" w14:textId="69B0A1DD" w:rsidR="00770EE4" w:rsidRPr="00895819" w:rsidRDefault="00745020" w:rsidP="00DD7B1D">
      <w:pPr>
        <w:pStyle w:val="BodyText1"/>
        <w:ind w:left="2160" w:firstLine="6"/>
        <w:rPr>
          <w:lang w:val="sr-Cyrl-CS"/>
        </w:rPr>
      </w:pPr>
      <w:r w:rsidRPr="00895819">
        <w:rPr>
          <w:lang w:val="sr-Cyrl-CS"/>
        </w:rPr>
        <w:t>[</w:t>
      </w:r>
      <w:r w:rsidR="00614542" w:rsidRPr="00895819">
        <w:rPr>
          <w:lang w:val="sr-Cyrl-CS"/>
        </w:rPr>
        <w:t>Транша техничке помоћи</w:t>
      </w:r>
      <w:r w:rsidR="00770EE4" w:rsidRPr="00895819">
        <w:rPr>
          <w:lang w:val="sr-Cyrl-CS"/>
        </w:rPr>
        <w:t xml:space="preserve">: [●] </w:t>
      </w:r>
      <w:r w:rsidR="00614542" w:rsidRPr="00895819">
        <w:rPr>
          <w:lang w:val="sr-Cyrl-CS"/>
        </w:rPr>
        <w:t>ЕУР, или уколико је мање, доступни преостали износ</w:t>
      </w:r>
      <w:r w:rsidR="00770EE4" w:rsidRPr="00895819">
        <w:rPr>
          <w:lang w:val="sr-Cyrl-CS"/>
        </w:rPr>
        <w:t>.</w:t>
      </w:r>
      <w:r w:rsidRPr="00895819">
        <w:rPr>
          <w:lang w:val="sr-Cyrl-CS"/>
        </w:rPr>
        <w:t>]</w:t>
      </w:r>
      <w:bookmarkEnd w:id="175"/>
    </w:p>
    <w:p w14:paraId="59CC6FEF" w14:textId="3A5056B6" w:rsidR="00B16F8D" w:rsidRPr="00895819" w:rsidRDefault="00614542" w:rsidP="00B16F8D">
      <w:pPr>
        <w:pStyle w:val="BodyText1"/>
        <w:rPr>
          <w:lang w:val="sr-Cyrl-CS"/>
        </w:rPr>
      </w:pPr>
      <w:r w:rsidRPr="00895819">
        <w:rPr>
          <w:lang w:val="sr-Cyrl-CS"/>
        </w:rPr>
        <w:t>Каматна стопа</w:t>
      </w:r>
      <w:r w:rsidR="00DD7B1D" w:rsidRPr="00895819">
        <w:rPr>
          <w:lang w:val="sr-Cyrl-CS"/>
        </w:rPr>
        <w:t xml:space="preserve">: </w:t>
      </w:r>
      <w:r w:rsidR="00B16F8D" w:rsidRPr="00895819">
        <w:rPr>
          <w:lang w:val="sr-Cyrl-CS"/>
        </w:rPr>
        <w:t>[</w:t>
      </w:r>
      <w:r w:rsidRPr="00895819">
        <w:rPr>
          <w:i/>
          <w:lang w:val="sr-Cyrl-CS"/>
        </w:rPr>
        <w:t>фиксна</w:t>
      </w:r>
      <w:r w:rsidR="00B16F8D" w:rsidRPr="00895819">
        <w:rPr>
          <w:i/>
          <w:lang w:val="sr-Cyrl-CS"/>
        </w:rPr>
        <w:t xml:space="preserve"> / </w:t>
      </w:r>
      <w:r w:rsidR="0076166C" w:rsidRPr="00895819">
        <w:rPr>
          <w:i/>
          <w:lang w:val="sr-Cyrl-CS"/>
        </w:rPr>
        <w:t>променљива</w:t>
      </w:r>
      <w:r w:rsidR="00B16F8D" w:rsidRPr="00895819">
        <w:rPr>
          <w:lang w:val="sr-Cyrl-CS"/>
        </w:rPr>
        <w:t>]</w:t>
      </w:r>
    </w:p>
    <w:p w14:paraId="12EF0755" w14:textId="77777777" w:rsidR="00745020" w:rsidRPr="00895819" w:rsidRDefault="00745020" w:rsidP="00B16F8D">
      <w:pPr>
        <w:pStyle w:val="BodyText1"/>
        <w:rPr>
          <w:lang w:val="sr-Cyrl-CS"/>
        </w:rPr>
      </w:pPr>
      <w:r w:rsidRPr="00895819">
        <w:rPr>
          <w:b/>
          <w:u w:val="single"/>
          <w:lang w:val="sr-Cyrl-CS"/>
        </w:rPr>
        <w:t>[</w:t>
      </w:r>
      <w:r w:rsidR="00614542" w:rsidRPr="00895819">
        <w:rPr>
          <w:b/>
          <w:u w:val="single"/>
          <w:lang w:val="sr-Cyrl-CS"/>
        </w:rPr>
        <w:t>Само за потребе Транше техничке помоћи</w:t>
      </w:r>
      <w:r w:rsidRPr="00895819">
        <w:rPr>
          <w:lang w:val="sr-Cyrl-CS"/>
        </w:rPr>
        <w:t>:]</w:t>
      </w:r>
    </w:p>
    <w:p w14:paraId="76F903BE" w14:textId="77777777" w:rsidR="00745020" w:rsidRPr="00895819" w:rsidRDefault="00745020" w:rsidP="00941AA3">
      <w:pPr>
        <w:pStyle w:val="ListArabic1"/>
        <w:numPr>
          <w:ilvl w:val="0"/>
          <w:numId w:val="0"/>
        </w:numPr>
        <w:ind w:left="720" w:hanging="720"/>
        <w:rPr>
          <w:lang w:val="sr-Cyrl-CS"/>
        </w:rPr>
      </w:pPr>
      <w:r w:rsidRPr="00895819">
        <w:rPr>
          <w:lang w:val="sr-Cyrl-CS"/>
        </w:rPr>
        <w:tab/>
      </w:r>
      <w:r w:rsidRPr="00895819">
        <w:rPr>
          <w:lang w:val="sr-Cyrl-CS"/>
        </w:rPr>
        <w:tab/>
      </w:r>
      <w:r w:rsidR="00614542" w:rsidRPr="00895819">
        <w:rPr>
          <w:lang w:val="sr-Cyrl-CS"/>
        </w:rPr>
        <w:t>Метода исплате</w:t>
      </w:r>
      <w:r w:rsidRPr="00895819">
        <w:rPr>
          <w:lang w:val="sr-Cyrl-CS"/>
        </w:rPr>
        <w:t>: [</w:t>
      </w:r>
      <w:r w:rsidR="00B91397" w:rsidRPr="00895819">
        <w:rPr>
          <w:i/>
          <w:color w:val="000000"/>
          <w:szCs w:val="22"/>
          <w:lang w:val="sr-Cyrl-CS"/>
        </w:rPr>
        <w:t>Рефундирање</w:t>
      </w:r>
      <w:r w:rsidRPr="00895819">
        <w:rPr>
          <w:i/>
          <w:color w:val="000000"/>
          <w:szCs w:val="22"/>
          <w:lang w:val="sr-Cyrl-CS"/>
        </w:rPr>
        <w:t xml:space="preserve"> </w:t>
      </w:r>
      <w:r w:rsidR="00614542" w:rsidRPr="00895819">
        <w:rPr>
          <w:i/>
          <w:color w:val="000000"/>
          <w:szCs w:val="22"/>
          <w:lang w:val="sr-Cyrl-CS"/>
        </w:rPr>
        <w:t>и</w:t>
      </w:r>
      <w:r w:rsidRPr="00895819">
        <w:rPr>
          <w:i/>
          <w:color w:val="000000"/>
          <w:szCs w:val="22"/>
          <w:lang w:val="sr-Cyrl-CS"/>
        </w:rPr>
        <w:t>/</w:t>
      </w:r>
      <w:r w:rsidR="00614542" w:rsidRPr="00895819">
        <w:rPr>
          <w:i/>
          <w:color w:val="000000"/>
          <w:szCs w:val="22"/>
          <w:lang w:val="sr-Cyrl-CS"/>
        </w:rPr>
        <w:t>или</w:t>
      </w:r>
      <w:r w:rsidRPr="00895819">
        <w:rPr>
          <w:i/>
          <w:color w:val="000000"/>
          <w:szCs w:val="22"/>
          <w:lang w:val="sr-Cyrl-CS"/>
        </w:rPr>
        <w:t xml:space="preserve"> </w:t>
      </w:r>
      <w:r w:rsidR="00614542" w:rsidRPr="00895819">
        <w:rPr>
          <w:i/>
          <w:color w:val="000000"/>
          <w:szCs w:val="22"/>
          <w:lang w:val="sr-Cyrl-CS"/>
        </w:rPr>
        <w:t>Директно плаћање и/или Авансно плаћање</w:t>
      </w:r>
      <w:r w:rsidRPr="00895819">
        <w:rPr>
          <w:lang w:val="sr-Cyrl-CS"/>
        </w:rPr>
        <w:t>]</w:t>
      </w:r>
    </w:p>
    <w:p w14:paraId="4A11953F" w14:textId="31BE65D1" w:rsidR="00B16F8D" w:rsidRPr="00895819" w:rsidRDefault="00B91397" w:rsidP="00CB733A">
      <w:pPr>
        <w:pStyle w:val="ListArabic1"/>
        <w:rPr>
          <w:lang w:val="sr-Cyrl-CS"/>
        </w:rPr>
      </w:pPr>
      <w:r w:rsidRPr="00895819">
        <w:rPr>
          <w:lang w:val="sr-Cyrl-CS"/>
        </w:rPr>
        <w:t>Каматна стопа ће бити утврђена у складу са одредбама члана 4 (</w:t>
      </w:r>
      <w:r w:rsidRPr="00895819">
        <w:rPr>
          <w:i/>
          <w:lang w:val="sr-Cyrl-CS"/>
        </w:rPr>
        <w:t>Камата</w:t>
      </w:r>
      <w:r w:rsidRPr="00895819">
        <w:rPr>
          <w:lang w:val="sr-Cyrl-CS"/>
        </w:rPr>
        <w:t>) и члана 5 (</w:t>
      </w:r>
      <w:r w:rsidRPr="00895819">
        <w:rPr>
          <w:i/>
          <w:lang w:val="sr-Cyrl-CS"/>
        </w:rPr>
        <w:t>Измена обрачуна камате</w:t>
      </w:r>
      <w:r w:rsidRPr="00895819">
        <w:rPr>
          <w:lang w:val="sr-Cyrl-CS"/>
        </w:rPr>
        <w:t>)</w:t>
      </w:r>
      <w:r w:rsidRPr="00895819">
        <w:rPr>
          <w:i/>
          <w:lang w:val="sr-Cyrl-CS"/>
        </w:rPr>
        <w:t xml:space="preserve"> </w:t>
      </w:r>
      <w:r w:rsidRPr="00895819">
        <w:rPr>
          <w:lang w:val="sr-Cyrl-CS"/>
        </w:rPr>
        <w:t xml:space="preserve">овог </w:t>
      </w:r>
      <w:r w:rsidR="0039269A" w:rsidRPr="00895819">
        <w:rPr>
          <w:lang w:val="sr-Cyrl-CS"/>
        </w:rPr>
        <w:t>у</w:t>
      </w:r>
      <w:r w:rsidRPr="00895819">
        <w:rPr>
          <w:lang w:val="sr-Cyrl-CS"/>
        </w:rPr>
        <w:t>говора. Каматна стопа која се примењује на тражено Повлачење средстава биће нам достављена у писаној форми и ми прихватамо ту Каматну стопу [(у складу са доле наведеним ставом, уколико је примењиво)], укључујући и када се Каматна стопа утврђује позивањем на Заменску стопу и било коју Корективну маржу, о којој је Зајмодавац обавестио након Замене Приказа референтне стопе</w:t>
      </w:r>
      <w:r w:rsidR="00B16F8D" w:rsidRPr="00895819">
        <w:rPr>
          <w:lang w:val="sr-Cyrl-CS"/>
        </w:rPr>
        <w:t>.</w:t>
      </w:r>
    </w:p>
    <w:p w14:paraId="1F976A3B" w14:textId="77777777" w:rsidR="00B16F8D" w:rsidRPr="00895819" w:rsidRDefault="00B16F8D" w:rsidP="00B16F8D">
      <w:pPr>
        <w:pStyle w:val="ListArabic1"/>
        <w:numPr>
          <w:ilvl w:val="0"/>
          <w:numId w:val="0"/>
        </w:numPr>
        <w:ind w:left="720"/>
        <w:rPr>
          <w:lang w:val="sr-Cyrl-CS"/>
        </w:rPr>
      </w:pPr>
      <w:r w:rsidRPr="00895819">
        <w:rPr>
          <w:b/>
          <w:u w:val="single"/>
          <w:lang w:val="sr-Cyrl-CS"/>
        </w:rPr>
        <w:t>[</w:t>
      </w:r>
      <w:r w:rsidR="002C64BA" w:rsidRPr="00895819">
        <w:rPr>
          <w:b/>
          <w:u w:val="single"/>
          <w:lang w:val="sr-Cyrl-CS"/>
        </w:rPr>
        <w:t>Само за потребе фиксне Каматне стопе</w:t>
      </w:r>
      <w:r w:rsidRPr="00895819">
        <w:rPr>
          <w:lang w:val="sr-Cyrl-CS"/>
        </w:rPr>
        <w:t>:]</w:t>
      </w:r>
      <w:r w:rsidRPr="00895819">
        <w:rPr>
          <w:rStyle w:val="FootnoteReference"/>
          <w:lang w:val="sr-Cyrl-CS"/>
        </w:rPr>
        <w:t xml:space="preserve"> </w:t>
      </w:r>
      <w:r w:rsidR="002C64BA" w:rsidRPr="00895819">
        <w:rPr>
          <w:lang w:val="sr-Cyrl-CS"/>
        </w:rPr>
        <w:t xml:space="preserve">Ако каматна стопа примењива на тражено Повлачење средстава премашује </w:t>
      </w:r>
      <w:r w:rsidRPr="00895819">
        <w:rPr>
          <w:lang w:val="sr-Cyrl-CS"/>
        </w:rPr>
        <w:t xml:space="preserve">[●] ([●]%), </w:t>
      </w:r>
      <w:r w:rsidR="002C64BA" w:rsidRPr="00895819">
        <w:rPr>
          <w:lang w:val="sr-Cyrl-CS"/>
        </w:rPr>
        <w:t>тражимо да се ово Повлачење средстава поништи</w:t>
      </w:r>
      <w:r w:rsidRPr="00895819">
        <w:rPr>
          <w:lang w:val="sr-Cyrl-CS"/>
        </w:rPr>
        <w:t>.</w:t>
      </w:r>
    </w:p>
    <w:p w14:paraId="0ED312D5" w14:textId="77777777" w:rsidR="00B16F8D" w:rsidRPr="00895819" w:rsidRDefault="002C64BA" w:rsidP="00CB733A">
      <w:pPr>
        <w:pStyle w:val="ListArabic1"/>
        <w:rPr>
          <w:lang w:val="sr-Cyrl-CS"/>
        </w:rPr>
      </w:pPr>
      <w:r w:rsidRPr="00895819">
        <w:rPr>
          <w:lang w:val="sr-Cyrl-CS"/>
        </w:rPr>
        <w:t>Потврђујемо да су испуњени сви услови наведени у члану 2.4 (</w:t>
      </w:r>
      <w:r w:rsidRPr="00895819">
        <w:rPr>
          <w:i/>
          <w:lang w:val="sr-Cyrl-CS"/>
        </w:rPr>
        <w:t>Претходни услови</w:t>
      </w:r>
      <w:r w:rsidRPr="00895819">
        <w:rPr>
          <w:lang w:val="sr-Cyrl-CS"/>
        </w:rPr>
        <w:t>) на датум овог Захтева за повлачење средстава и да није дошло до Случаја неизвршења обавеза који се настављају или је вероватно да ће до тога доћи. Сагласни смо да ћемо без одлагања обавестити Зајмодавца уколико било који од горе наведених услова није испуњен на Датум повлачења средстава или раније</w:t>
      </w:r>
      <w:r w:rsidR="00B16F8D" w:rsidRPr="00895819">
        <w:rPr>
          <w:lang w:val="sr-Cyrl-CS"/>
        </w:rPr>
        <w:t>.</w:t>
      </w:r>
    </w:p>
    <w:p w14:paraId="52862E19" w14:textId="77777777" w:rsidR="002C64BA" w:rsidRPr="00895819" w:rsidRDefault="002C64BA" w:rsidP="00DD7B1D">
      <w:pPr>
        <w:tabs>
          <w:tab w:val="left" w:pos="720"/>
        </w:tabs>
        <w:ind w:left="720" w:hanging="720"/>
        <w:rPr>
          <w:rFonts w:cs="Arial"/>
          <w:lang w:val="sr-Cyrl-CS"/>
        </w:rPr>
      </w:pPr>
      <w:r w:rsidRPr="00895819">
        <w:rPr>
          <w:rFonts w:cs="Arial"/>
          <w:lang w:val="sr-Cyrl-CS"/>
        </w:rPr>
        <w:t>6.</w:t>
      </w:r>
      <w:r w:rsidRPr="00895819">
        <w:rPr>
          <w:rFonts w:cs="Arial"/>
          <w:lang w:val="sr-Cyrl-CS"/>
        </w:rPr>
        <w:tab/>
        <w:t>Повучена средства ће бити депонована на следећи банковни рачун</w:t>
      </w:r>
      <w:r w:rsidR="00AF71B1" w:rsidRPr="00895819">
        <w:rPr>
          <w:rStyle w:val="FootnoteReference"/>
          <w:rFonts w:cs="Arial"/>
          <w:lang w:val="sr-Cyrl-CS"/>
        </w:rPr>
        <w:footnoteReference w:id="9"/>
      </w:r>
      <w:r w:rsidRPr="00895819">
        <w:rPr>
          <w:rFonts w:cs="Arial"/>
          <w:lang w:val="sr-Cyrl-CS"/>
        </w:rPr>
        <w:t>:</w:t>
      </w:r>
    </w:p>
    <w:tbl>
      <w:tblPr>
        <w:tblW w:w="4550" w:type="pct"/>
        <w:tblInd w:w="720" w:type="dxa"/>
        <w:tblCellMar>
          <w:left w:w="115" w:type="dxa"/>
          <w:right w:w="115" w:type="dxa"/>
        </w:tblCellMar>
        <w:tblLook w:val="04A0" w:firstRow="1" w:lastRow="0" w:firstColumn="1" w:lastColumn="0" w:noHBand="0" w:noVBand="1"/>
      </w:tblPr>
      <w:tblGrid>
        <w:gridCol w:w="4128"/>
        <w:gridCol w:w="4128"/>
      </w:tblGrid>
      <w:tr w:rsidR="002C64BA" w:rsidRPr="00895819" w14:paraId="1A160E13" w14:textId="77777777" w:rsidTr="00DD7B1D">
        <w:trPr>
          <w:trHeight w:val="445"/>
        </w:trPr>
        <w:tc>
          <w:tcPr>
            <w:tcW w:w="2500" w:type="pct"/>
            <w:hideMark/>
          </w:tcPr>
          <w:p w14:paraId="00A3622F" w14:textId="77777777" w:rsidR="002C64BA" w:rsidRPr="00895819" w:rsidRDefault="002C64BA">
            <w:pPr>
              <w:tabs>
                <w:tab w:val="left" w:pos="720"/>
              </w:tabs>
              <w:ind w:left="720" w:hanging="720"/>
              <w:rPr>
                <w:rFonts w:cs="Arial"/>
                <w:lang w:val="sr-Cyrl-CS"/>
              </w:rPr>
            </w:pPr>
            <w:r w:rsidRPr="00895819">
              <w:rPr>
                <w:rFonts w:cs="Arial"/>
                <w:lang w:val="sr-Cyrl-CS"/>
              </w:rPr>
              <w:lastRenderedPageBreak/>
              <w:t xml:space="preserve">(a)     Име [Зајмопримца]: </w:t>
            </w:r>
          </w:p>
        </w:tc>
        <w:tc>
          <w:tcPr>
            <w:tcW w:w="2500" w:type="pct"/>
            <w:hideMark/>
          </w:tcPr>
          <w:p w14:paraId="16FA442C" w14:textId="77777777" w:rsidR="002C64BA" w:rsidRPr="00895819" w:rsidRDefault="002C64BA">
            <w:pPr>
              <w:tabs>
                <w:tab w:val="left" w:pos="720"/>
              </w:tabs>
              <w:rPr>
                <w:rFonts w:cs="Arial"/>
                <w:bCs/>
                <w:lang w:val="sr-Cyrl-CS"/>
              </w:rPr>
            </w:pPr>
            <w:r w:rsidRPr="00895819">
              <w:rPr>
                <w:rFonts w:cs="Arial"/>
                <w:bCs/>
                <w:lang w:val="sr-Cyrl-CS"/>
              </w:rPr>
              <w:t>[●]</w:t>
            </w:r>
          </w:p>
        </w:tc>
      </w:tr>
      <w:tr w:rsidR="002C64BA" w:rsidRPr="00895819" w14:paraId="40CAFEA0" w14:textId="77777777" w:rsidTr="00DD7B1D">
        <w:trPr>
          <w:trHeight w:val="445"/>
        </w:trPr>
        <w:tc>
          <w:tcPr>
            <w:tcW w:w="2500" w:type="pct"/>
            <w:hideMark/>
          </w:tcPr>
          <w:p w14:paraId="5B26B5D2" w14:textId="77777777" w:rsidR="002C64BA" w:rsidRPr="00895819" w:rsidRDefault="002C64BA">
            <w:pPr>
              <w:tabs>
                <w:tab w:val="left" w:pos="720"/>
              </w:tabs>
              <w:ind w:left="720" w:hanging="709"/>
              <w:rPr>
                <w:rFonts w:cs="Arial"/>
                <w:lang w:val="sr-Cyrl-CS"/>
              </w:rPr>
            </w:pPr>
            <w:r w:rsidRPr="00895819">
              <w:rPr>
                <w:rFonts w:cs="Arial"/>
                <w:lang w:val="sr-Cyrl-CS"/>
              </w:rPr>
              <w:t xml:space="preserve">(б)     Адреса [Зајмопримца]: </w:t>
            </w:r>
          </w:p>
        </w:tc>
        <w:tc>
          <w:tcPr>
            <w:tcW w:w="2500" w:type="pct"/>
            <w:hideMark/>
          </w:tcPr>
          <w:p w14:paraId="771A2359" w14:textId="77777777" w:rsidR="002C64BA" w:rsidRPr="00895819" w:rsidRDefault="002C64BA">
            <w:pPr>
              <w:tabs>
                <w:tab w:val="left" w:pos="720"/>
              </w:tabs>
              <w:rPr>
                <w:rFonts w:cs="Arial"/>
                <w:bCs/>
                <w:lang w:val="sr-Cyrl-CS"/>
              </w:rPr>
            </w:pPr>
            <w:r w:rsidRPr="00895819">
              <w:rPr>
                <w:rFonts w:cs="Arial"/>
                <w:bCs/>
                <w:lang w:val="sr-Cyrl-CS"/>
              </w:rPr>
              <w:t>[●]</w:t>
            </w:r>
          </w:p>
        </w:tc>
      </w:tr>
      <w:tr w:rsidR="002C64BA" w:rsidRPr="00895819" w14:paraId="40502EED" w14:textId="77777777" w:rsidTr="00DD7B1D">
        <w:trPr>
          <w:trHeight w:val="436"/>
        </w:trPr>
        <w:tc>
          <w:tcPr>
            <w:tcW w:w="2500" w:type="pct"/>
            <w:hideMark/>
          </w:tcPr>
          <w:p w14:paraId="46970C2D" w14:textId="77777777" w:rsidR="002C64BA" w:rsidRPr="00895819" w:rsidRDefault="002C64BA">
            <w:pPr>
              <w:tabs>
                <w:tab w:val="left" w:pos="720"/>
              </w:tabs>
              <w:ind w:left="720" w:hanging="709"/>
              <w:rPr>
                <w:rFonts w:cs="Arial"/>
                <w:lang w:val="sr-Cyrl-CS"/>
              </w:rPr>
            </w:pPr>
            <w:r w:rsidRPr="00895819">
              <w:rPr>
                <w:rFonts w:cs="Arial"/>
                <w:lang w:val="sr-Cyrl-CS"/>
              </w:rPr>
              <w:t xml:space="preserve">(ц)     IBAN број рачуна: </w:t>
            </w:r>
          </w:p>
        </w:tc>
        <w:tc>
          <w:tcPr>
            <w:tcW w:w="2500" w:type="pct"/>
            <w:hideMark/>
          </w:tcPr>
          <w:p w14:paraId="2BBB0233" w14:textId="77777777" w:rsidR="002C64BA" w:rsidRPr="00895819" w:rsidRDefault="002C64BA">
            <w:pPr>
              <w:tabs>
                <w:tab w:val="left" w:pos="720"/>
              </w:tabs>
              <w:rPr>
                <w:rFonts w:cs="Arial"/>
                <w:bCs/>
                <w:lang w:val="sr-Cyrl-CS"/>
              </w:rPr>
            </w:pPr>
            <w:r w:rsidRPr="00895819">
              <w:rPr>
                <w:rFonts w:cs="Arial"/>
                <w:bCs/>
                <w:lang w:val="sr-Cyrl-CS"/>
              </w:rPr>
              <w:t>[●]</w:t>
            </w:r>
          </w:p>
        </w:tc>
      </w:tr>
      <w:tr w:rsidR="002C64BA" w:rsidRPr="00895819" w14:paraId="01B24BE4" w14:textId="77777777" w:rsidTr="00DD7B1D">
        <w:trPr>
          <w:trHeight w:val="445"/>
        </w:trPr>
        <w:tc>
          <w:tcPr>
            <w:tcW w:w="2500" w:type="pct"/>
            <w:hideMark/>
          </w:tcPr>
          <w:p w14:paraId="5F25101D" w14:textId="77777777" w:rsidR="002C64BA" w:rsidRPr="00895819" w:rsidRDefault="002C64BA">
            <w:pPr>
              <w:tabs>
                <w:tab w:val="left" w:pos="720"/>
              </w:tabs>
              <w:ind w:left="720" w:hanging="709"/>
              <w:rPr>
                <w:rFonts w:cs="Arial"/>
                <w:lang w:val="sr-Cyrl-CS"/>
              </w:rPr>
            </w:pPr>
            <w:r w:rsidRPr="00895819">
              <w:rPr>
                <w:rFonts w:cs="Arial"/>
                <w:lang w:val="sr-Cyrl-CS"/>
              </w:rPr>
              <w:t>(д)     SWIFT</w:t>
            </w:r>
            <w:r w:rsidR="00625CE8" w:rsidRPr="00895819">
              <w:rPr>
                <w:rFonts w:cs="Arial"/>
                <w:lang w:val="sr-Cyrl-CS"/>
              </w:rPr>
              <w:t xml:space="preserve"> </w:t>
            </w:r>
            <w:r w:rsidRPr="00895819">
              <w:rPr>
                <w:rFonts w:cs="Arial"/>
                <w:lang w:val="sr-Cyrl-CS"/>
              </w:rPr>
              <w:t xml:space="preserve">број: </w:t>
            </w:r>
          </w:p>
        </w:tc>
        <w:tc>
          <w:tcPr>
            <w:tcW w:w="2500" w:type="pct"/>
            <w:hideMark/>
          </w:tcPr>
          <w:p w14:paraId="2BE81675" w14:textId="77777777" w:rsidR="002C64BA" w:rsidRPr="00895819" w:rsidRDefault="002C64BA">
            <w:pPr>
              <w:tabs>
                <w:tab w:val="left" w:pos="720"/>
              </w:tabs>
              <w:rPr>
                <w:rFonts w:cs="Arial"/>
                <w:bCs/>
                <w:lang w:val="sr-Cyrl-CS"/>
              </w:rPr>
            </w:pPr>
            <w:r w:rsidRPr="00895819">
              <w:rPr>
                <w:rFonts w:cs="Arial"/>
                <w:bCs/>
                <w:lang w:val="sr-Cyrl-CS"/>
              </w:rPr>
              <w:t>[●]</w:t>
            </w:r>
          </w:p>
        </w:tc>
      </w:tr>
      <w:tr w:rsidR="002C64BA" w:rsidRPr="00895819" w14:paraId="3E146CF8" w14:textId="77777777" w:rsidTr="00DD7B1D">
        <w:trPr>
          <w:trHeight w:val="526"/>
        </w:trPr>
        <w:tc>
          <w:tcPr>
            <w:tcW w:w="2500" w:type="pct"/>
            <w:hideMark/>
          </w:tcPr>
          <w:p w14:paraId="301624F3" w14:textId="01BE76DA" w:rsidR="002C64BA" w:rsidRPr="00895819" w:rsidRDefault="00DD7B1D" w:rsidP="00DD7B1D">
            <w:pPr>
              <w:tabs>
                <w:tab w:val="left" w:pos="720"/>
              </w:tabs>
              <w:ind w:left="510" w:hanging="499"/>
              <w:rPr>
                <w:rFonts w:cs="Arial"/>
                <w:lang w:val="sr-Cyrl-CS"/>
              </w:rPr>
            </w:pPr>
            <w:r w:rsidRPr="00895819">
              <w:rPr>
                <w:rFonts w:cs="Arial"/>
                <w:lang w:val="sr-Cyrl-CS"/>
              </w:rPr>
              <w:t>(е)</w:t>
            </w:r>
            <w:r w:rsidRPr="00895819">
              <w:rPr>
                <w:rFonts w:cs="Arial"/>
                <w:lang w:val="sr-Cyrl-CS"/>
              </w:rPr>
              <w:tab/>
            </w:r>
            <w:r w:rsidR="002C64BA" w:rsidRPr="00895819">
              <w:rPr>
                <w:rFonts w:cs="Arial"/>
                <w:lang w:val="sr-Cyrl-CS"/>
              </w:rPr>
              <w:t xml:space="preserve">Банка и адреса банке [Зајмопримца]: </w:t>
            </w:r>
          </w:p>
        </w:tc>
        <w:tc>
          <w:tcPr>
            <w:tcW w:w="2500" w:type="pct"/>
            <w:hideMark/>
          </w:tcPr>
          <w:p w14:paraId="5C943DD1" w14:textId="77777777" w:rsidR="002C64BA" w:rsidRPr="00895819" w:rsidRDefault="002C64BA">
            <w:pPr>
              <w:tabs>
                <w:tab w:val="left" w:pos="720"/>
              </w:tabs>
              <w:rPr>
                <w:rFonts w:cs="Arial"/>
                <w:bCs/>
                <w:lang w:val="sr-Cyrl-CS"/>
              </w:rPr>
            </w:pPr>
            <w:r w:rsidRPr="00895819">
              <w:rPr>
                <w:rFonts w:cs="Arial"/>
                <w:bCs/>
                <w:lang w:val="sr-Cyrl-CS"/>
              </w:rPr>
              <w:t>[●]</w:t>
            </w:r>
          </w:p>
        </w:tc>
      </w:tr>
      <w:tr w:rsidR="002C64BA" w:rsidRPr="00895819" w14:paraId="34781AE6" w14:textId="77777777" w:rsidTr="00DD7B1D">
        <w:tc>
          <w:tcPr>
            <w:tcW w:w="2500" w:type="pct"/>
            <w:hideMark/>
          </w:tcPr>
          <w:p w14:paraId="30A52B1B" w14:textId="593485A0" w:rsidR="002C64BA" w:rsidRPr="00895819" w:rsidRDefault="00DD7B1D" w:rsidP="00DD7B1D">
            <w:pPr>
              <w:tabs>
                <w:tab w:val="left" w:pos="510"/>
              </w:tabs>
              <w:ind w:left="510" w:hanging="499"/>
              <w:rPr>
                <w:rFonts w:cs="Arial"/>
                <w:lang w:val="sr-Cyrl-CS"/>
              </w:rPr>
            </w:pPr>
            <w:r w:rsidRPr="00895819">
              <w:rPr>
                <w:rFonts w:cs="Arial"/>
                <w:lang w:val="sr-Cyrl-CS"/>
              </w:rPr>
              <w:t>(ф)</w:t>
            </w:r>
            <w:r w:rsidRPr="00895819">
              <w:rPr>
                <w:rFonts w:cs="Arial"/>
                <w:lang w:val="sr-Cyrl-CS"/>
              </w:rPr>
              <w:tab/>
            </w:r>
            <w:r w:rsidR="002C64BA" w:rsidRPr="00895819">
              <w:rPr>
                <w:rFonts w:cs="Arial"/>
                <w:lang w:val="sr-Cyrl-CS"/>
              </w:rPr>
              <w:t>[уколико валута није евро] кореспондентска банка и број рачуна банке Зајмопримца:</w:t>
            </w:r>
          </w:p>
          <w:p w14:paraId="4B736973" w14:textId="77777777" w:rsidR="00625CE8" w:rsidRPr="00895819" w:rsidRDefault="00625CE8">
            <w:pPr>
              <w:tabs>
                <w:tab w:val="left" w:pos="720"/>
              </w:tabs>
              <w:ind w:left="720" w:hanging="709"/>
              <w:rPr>
                <w:rFonts w:cs="Arial"/>
                <w:lang w:val="sr-Cyrl-CS"/>
              </w:rPr>
            </w:pPr>
          </w:p>
        </w:tc>
        <w:tc>
          <w:tcPr>
            <w:tcW w:w="2500" w:type="pct"/>
            <w:hideMark/>
          </w:tcPr>
          <w:p w14:paraId="25A134EC" w14:textId="77777777" w:rsidR="002C64BA" w:rsidRPr="00895819" w:rsidRDefault="002C64BA">
            <w:pPr>
              <w:tabs>
                <w:tab w:val="left" w:pos="720"/>
              </w:tabs>
              <w:rPr>
                <w:rFonts w:cs="Arial"/>
                <w:bCs/>
                <w:lang w:val="sr-Cyrl-CS"/>
              </w:rPr>
            </w:pPr>
            <w:r w:rsidRPr="00895819">
              <w:rPr>
                <w:rFonts w:cs="Arial"/>
                <w:bCs/>
                <w:lang w:val="sr-Cyrl-CS"/>
              </w:rPr>
              <w:t>[●]</w:t>
            </w:r>
          </w:p>
        </w:tc>
      </w:tr>
    </w:tbl>
    <w:p w14:paraId="7EACC93C" w14:textId="77777777" w:rsidR="002C64BA" w:rsidRPr="00895819" w:rsidRDefault="002C64BA" w:rsidP="00625CE8">
      <w:pPr>
        <w:pStyle w:val="ListArabic1"/>
        <w:numPr>
          <w:ilvl w:val="0"/>
          <w:numId w:val="64"/>
        </w:numPr>
        <w:rPr>
          <w:lang w:val="sr-Cyrl-CS"/>
        </w:rPr>
      </w:pPr>
      <w:r w:rsidRPr="00895819">
        <w:rPr>
          <w:lang w:val="sr-Cyrl-CS"/>
        </w:rPr>
        <w:t>Овај Захтев за повлачење средстава је неопозив.</w:t>
      </w:r>
    </w:p>
    <w:p w14:paraId="45B10147" w14:textId="77777777" w:rsidR="00625CE8" w:rsidRPr="00895819" w:rsidRDefault="00625CE8" w:rsidP="002C64BA">
      <w:pPr>
        <w:tabs>
          <w:tab w:val="left" w:pos="450"/>
        </w:tabs>
        <w:ind w:left="450" w:hanging="450"/>
        <w:rPr>
          <w:rFonts w:ascii="Arial" w:hAnsi="Arial" w:cs="Arial"/>
          <w:szCs w:val="22"/>
          <w:lang w:val="sr-Cyrl-CS"/>
        </w:rPr>
      </w:pPr>
    </w:p>
    <w:p w14:paraId="328ACBA6" w14:textId="7D7631AA" w:rsidR="002C64BA" w:rsidRPr="00895819" w:rsidRDefault="002C64BA" w:rsidP="002C64BA">
      <w:pPr>
        <w:tabs>
          <w:tab w:val="left" w:pos="450"/>
        </w:tabs>
        <w:ind w:left="450" w:hanging="450"/>
        <w:rPr>
          <w:rFonts w:cs="Arial"/>
          <w:lang w:val="sr-Cyrl-CS"/>
        </w:rPr>
      </w:pPr>
      <w:r w:rsidRPr="00895819">
        <w:rPr>
          <w:rFonts w:cs="Arial"/>
          <w:lang w:val="sr-Cyrl-CS"/>
        </w:rPr>
        <w:t>8.</w:t>
      </w:r>
      <w:r w:rsidRPr="00895819">
        <w:rPr>
          <w:rFonts w:cs="Arial"/>
          <w:lang w:val="sr-Cyrl-CS"/>
        </w:rPr>
        <w:tab/>
        <w:t>У прилогу овом Захтеву за повлачење средстава су сви релевантни пратећи документи наведени у члану 2.4 (</w:t>
      </w:r>
      <w:r w:rsidRPr="00895819">
        <w:rPr>
          <w:rFonts w:cs="Arial"/>
          <w:i/>
          <w:lang w:val="sr-Cyrl-CS"/>
        </w:rPr>
        <w:t xml:space="preserve">Претходни услови) </w:t>
      </w:r>
      <w:r w:rsidRPr="00895819">
        <w:rPr>
          <w:rFonts w:cs="Arial"/>
          <w:lang w:val="sr-Cyrl-CS"/>
        </w:rPr>
        <w:t xml:space="preserve">овог </w:t>
      </w:r>
      <w:r w:rsidR="0039269A" w:rsidRPr="00895819">
        <w:rPr>
          <w:rFonts w:cs="Arial"/>
          <w:lang w:val="sr-Cyrl-CS"/>
        </w:rPr>
        <w:t>у</w:t>
      </w:r>
      <w:r w:rsidRPr="00895819">
        <w:rPr>
          <w:rFonts w:cs="Arial"/>
          <w:lang w:val="sr-Cyrl-CS"/>
        </w:rPr>
        <w:t>говора:</w:t>
      </w:r>
    </w:p>
    <w:p w14:paraId="4D6E1276" w14:textId="77777777" w:rsidR="00DD7B1D" w:rsidRPr="00895819" w:rsidRDefault="00DD7B1D" w:rsidP="002C64BA">
      <w:pPr>
        <w:tabs>
          <w:tab w:val="left" w:pos="720"/>
        </w:tabs>
        <w:rPr>
          <w:rFonts w:cs="Arial"/>
          <w:color w:val="000000"/>
          <w:lang w:val="sr-Cyrl-CS"/>
        </w:rPr>
      </w:pPr>
    </w:p>
    <w:p w14:paraId="11B36464" w14:textId="6C15C523" w:rsidR="002C64BA" w:rsidRPr="00895819" w:rsidRDefault="00DD7B1D" w:rsidP="00DD7B1D">
      <w:pPr>
        <w:tabs>
          <w:tab w:val="left" w:pos="450"/>
        </w:tabs>
        <w:rPr>
          <w:rFonts w:cs="Arial"/>
          <w:color w:val="000000"/>
          <w:lang w:val="sr-Cyrl-CS"/>
        </w:rPr>
      </w:pPr>
      <w:r w:rsidRPr="00895819">
        <w:rPr>
          <w:rFonts w:cs="Arial"/>
          <w:color w:val="000000"/>
          <w:lang w:val="sr-Cyrl-CS"/>
        </w:rPr>
        <w:tab/>
      </w:r>
      <w:r w:rsidR="002C64BA" w:rsidRPr="00895819">
        <w:rPr>
          <w:rFonts w:cs="Arial"/>
          <w:color w:val="000000"/>
          <w:lang w:val="sr-Cyrl-CS"/>
        </w:rPr>
        <w:t>[Списак пратећих докумената]</w:t>
      </w:r>
    </w:p>
    <w:p w14:paraId="2A1F15F0" w14:textId="77777777" w:rsidR="00B16F8D" w:rsidRPr="00895819" w:rsidRDefault="00B16F8D" w:rsidP="00B16F8D">
      <w:pPr>
        <w:pStyle w:val="BodyText"/>
        <w:rPr>
          <w:rFonts w:cs="Times New Roman"/>
          <w:lang w:val="sr-Cyrl-CS"/>
        </w:rPr>
      </w:pPr>
    </w:p>
    <w:p w14:paraId="05996837" w14:textId="77777777" w:rsidR="00B16F8D" w:rsidRPr="00895819" w:rsidRDefault="002C64BA" w:rsidP="00B16F8D">
      <w:pPr>
        <w:pStyle w:val="BodyText"/>
        <w:rPr>
          <w:rFonts w:cs="Times New Roman"/>
          <w:lang w:val="sr-Cyrl-CS"/>
        </w:rPr>
      </w:pPr>
      <w:r w:rsidRPr="00895819">
        <w:rPr>
          <w:rFonts w:cs="Times New Roman"/>
          <w:lang w:val="sr-Cyrl-CS"/>
        </w:rPr>
        <w:t>С поштовањем</w:t>
      </w:r>
      <w:r w:rsidR="00B16F8D" w:rsidRPr="00895819">
        <w:rPr>
          <w:rFonts w:cs="Times New Roman"/>
          <w:lang w:val="sr-Cyrl-CS"/>
        </w:rPr>
        <w:t>,</w:t>
      </w:r>
    </w:p>
    <w:p w14:paraId="693FB928" w14:textId="77777777" w:rsidR="00B16F8D" w:rsidRPr="00895819" w:rsidRDefault="00B16F8D" w:rsidP="00B16F8D">
      <w:pPr>
        <w:pStyle w:val="BodyText"/>
        <w:tabs>
          <w:tab w:val="right" w:leader="dot" w:pos="3600"/>
        </w:tabs>
        <w:rPr>
          <w:rFonts w:cs="Times New Roman"/>
          <w:lang w:val="sr-Cyrl-CS"/>
        </w:rPr>
      </w:pPr>
    </w:p>
    <w:p w14:paraId="4CAF0FB1" w14:textId="77777777" w:rsidR="00B16F8D" w:rsidRPr="00895819" w:rsidRDefault="00B16F8D" w:rsidP="00B16F8D">
      <w:pPr>
        <w:pStyle w:val="BodyText"/>
        <w:tabs>
          <w:tab w:val="right" w:leader="dot" w:pos="3600"/>
        </w:tabs>
        <w:rPr>
          <w:rFonts w:cs="Times New Roman"/>
          <w:lang w:val="sr-Cyrl-CS"/>
        </w:rPr>
      </w:pPr>
      <w:r w:rsidRPr="00895819">
        <w:rPr>
          <w:rFonts w:cs="Times New Roman"/>
          <w:lang w:val="sr-Cyrl-CS"/>
        </w:rPr>
        <w:tab/>
      </w:r>
    </w:p>
    <w:p w14:paraId="72F9E32C" w14:textId="77777777" w:rsidR="00B16F8D" w:rsidRPr="00895819" w:rsidRDefault="002C64BA" w:rsidP="00B16F8D">
      <w:pPr>
        <w:pStyle w:val="BodyText"/>
        <w:rPr>
          <w:rFonts w:cs="Times New Roman"/>
          <w:lang w:val="sr-Cyrl-CS"/>
        </w:rPr>
      </w:pPr>
      <w:r w:rsidRPr="00895819">
        <w:rPr>
          <w:rFonts w:cs="Times New Roman"/>
          <w:lang w:val="sr-Cyrl-CS"/>
        </w:rPr>
        <w:t>Овлашћени потписник Зајмопримца</w:t>
      </w:r>
    </w:p>
    <w:p w14:paraId="778D0212" w14:textId="07829C67" w:rsidR="00B16F8D" w:rsidRPr="00895819" w:rsidRDefault="002C64BA" w:rsidP="00B16F8D">
      <w:pPr>
        <w:pStyle w:val="Schhead"/>
        <w:outlineLvl w:val="0"/>
        <w:rPr>
          <w:rFonts w:ascii="Times New Roman" w:hAnsi="Times New Roman"/>
          <w:lang w:val="sr-Cyrl-CS"/>
        </w:rPr>
      </w:pPr>
      <w:bookmarkStart w:id="176" w:name="_Toc129873708"/>
      <w:r w:rsidRPr="00895819">
        <w:rPr>
          <w:rFonts w:ascii="Times New Roman" w:hAnsi="Times New Roman"/>
          <w:lang w:val="sr-Cyrl-CS"/>
        </w:rPr>
        <w:lastRenderedPageBreak/>
        <w:t>ПРИЛОГ</w:t>
      </w:r>
      <w:r w:rsidR="00B16F8D" w:rsidRPr="00895819">
        <w:rPr>
          <w:rFonts w:ascii="Times New Roman" w:hAnsi="Times New Roman"/>
          <w:lang w:val="sr-Cyrl-CS"/>
        </w:rPr>
        <w:t xml:space="preserve"> 5</w:t>
      </w:r>
      <w:r w:rsidRPr="00895819">
        <w:rPr>
          <w:rFonts w:ascii="Times New Roman" w:hAnsi="Times New Roman"/>
          <w:lang w:val="sr-Cyrl-CS"/>
        </w:rPr>
        <w:t>б</w:t>
      </w:r>
      <w:r w:rsidR="00B16F8D" w:rsidRPr="00895819">
        <w:rPr>
          <w:rFonts w:ascii="Times New Roman" w:hAnsi="Times New Roman"/>
          <w:lang w:val="sr-Cyrl-CS"/>
        </w:rPr>
        <w:t xml:space="preserve"> </w:t>
      </w:r>
      <w:r w:rsidRPr="00895819">
        <w:rPr>
          <w:rFonts w:ascii="Times New Roman" w:hAnsi="Times New Roman"/>
          <w:lang w:val="sr-Cyrl-CS"/>
        </w:rPr>
        <w:t>–</w:t>
      </w:r>
      <w:r w:rsidR="00B16F8D" w:rsidRPr="00895819">
        <w:rPr>
          <w:rFonts w:ascii="Times New Roman" w:hAnsi="Times New Roman"/>
          <w:lang w:val="sr-Cyrl-CS"/>
        </w:rPr>
        <w:t xml:space="preserve"> </w:t>
      </w:r>
      <w:r w:rsidRPr="00895819">
        <w:rPr>
          <w:rFonts w:ascii="Times New Roman" w:hAnsi="Times New Roman"/>
          <w:lang w:val="sr-Cyrl-CS"/>
        </w:rPr>
        <w:t>ОБРАЗАЦ ПОТВРДЕ</w:t>
      </w:r>
      <w:r w:rsidR="00105171" w:rsidRPr="00895819">
        <w:rPr>
          <w:rFonts w:ascii="Times New Roman" w:hAnsi="Times New Roman"/>
          <w:lang w:val="sr-Cyrl-CS"/>
        </w:rPr>
        <w:t xml:space="preserve"> за ПОВЛАЧЕЊе</w:t>
      </w:r>
      <w:r w:rsidRPr="00895819">
        <w:rPr>
          <w:rFonts w:ascii="Times New Roman" w:hAnsi="Times New Roman"/>
          <w:lang w:val="sr-Cyrl-CS"/>
        </w:rPr>
        <w:t xml:space="preserve"> СРЕДСТАВА И СТОПЕ</w:t>
      </w:r>
      <w:bookmarkEnd w:id="176"/>
    </w:p>
    <w:p w14:paraId="77956CBD" w14:textId="77777777" w:rsidR="00B16F8D" w:rsidRPr="00895819" w:rsidRDefault="00B16F8D" w:rsidP="00B16F8D">
      <w:pPr>
        <w:pStyle w:val="BodyText"/>
        <w:jc w:val="center"/>
        <w:rPr>
          <w:rFonts w:cs="Times New Roman"/>
          <w:lang w:val="sr-Cyrl-CS"/>
        </w:rPr>
      </w:pPr>
      <w:r w:rsidRPr="00895819">
        <w:rPr>
          <w:rFonts w:cs="Times New Roman"/>
          <w:i/>
          <w:lang w:val="sr-Cyrl-CS"/>
        </w:rPr>
        <w:t>[</w:t>
      </w:r>
      <w:r w:rsidR="002C64BA" w:rsidRPr="00895819">
        <w:rPr>
          <w:bCs w:val="0"/>
          <w:i/>
          <w:lang w:val="sr-Cyrl-CS"/>
        </w:rPr>
        <w:t>на меморандуму Француске агенције за развој</w:t>
      </w:r>
      <w:r w:rsidRPr="00895819">
        <w:rPr>
          <w:rFonts w:cs="Times New Roman"/>
          <w:i/>
          <w:lang w:val="sr-Cyrl-CS"/>
        </w:rPr>
        <w:t>]</w:t>
      </w:r>
    </w:p>
    <w:p w14:paraId="3A7986C5" w14:textId="77777777" w:rsidR="002C64BA" w:rsidRPr="00895819" w:rsidRDefault="002C64BA" w:rsidP="002C64BA">
      <w:pPr>
        <w:pStyle w:val="BodyText"/>
        <w:rPr>
          <w:lang w:val="sr-Cyrl-CS"/>
        </w:rPr>
      </w:pPr>
      <w:r w:rsidRPr="00895819">
        <w:rPr>
          <w:lang w:val="sr-Cyrl-CS"/>
        </w:rPr>
        <w:t xml:space="preserve">За: </w:t>
      </w:r>
      <w:r w:rsidRPr="00895819">
        <w:rPr>
          <w:lang w:val="sr-Cyrl-CS"/>
        </w:rPr>
        <w:tab/>
        <w:t>[</w:t>
      </w:r>
      <w:r w:rsidRPr="00895819">
        <w:rPr>
          <w:i/>
          <w:lang w:val="sr-Cyrl-CS"/>
        </w:rPr>
        <w:t>Зајмопримца</w:t>
      </w:r>
      <w:r w:rsidRPr="00895819">
        <w:rPr>
          <w:lang w:val="sr-Cyrl-CS"/>
        </w:rPr>
        <w:t>]</w:t>
      </w:r>
      <w:r w:rsidRPr="00895819">
        <w:rPr>
          <w:i/>
          <w:lang w:val="sr-Cyrl-CS"/>
        </w:rPr>
        <w:t xml:space="preserve"> </w:t>
      </w:r>
    </w:p>
    <w:p w14:paraId="633413FF" w14:textId="77777777" w:rsidR="002C64BA" w:rsidRPr="00895819" w:rsidRDefault="002C64BA" w:rsidP="002C64BA">
      <w:pPr>
        <w:pStyle w:val="BodyText"/>
        <w:rPr>
          <w:lang w:val="sr-Cyrl-CS"/>
        </w:rPr>
      </w:pPr>
      <w:r w:rsidRPr="00895819">
        <w:rPr>
          <w:lang w:val="sr-Cyrl-CS"/>
        </w:rPr>
        <w:t xml:space="preserve">Датум: </w:t>
      </w:r>
      <w:r w:rsidRPr="00895819">
        <w:rPr>
          <w:lang w:val="sr-Cyrl-CS"/>
        </w:rPr>
        <w:tab/>
        <w:t>[●]</w:t>
      </w:r>
    </w:p>
    <w:p w14:paraId="5FF01512" w14:textId="77777777" w:rsidR="00B16F8D" w:rsidRPr="00895819" w:rsidRDefault="002C64BA" w:rsidP="002C64BA">
      <w:pPr>
        <w:pStyle w:val="BodyText"/>
        <w:rPr>
          <w:rFonts w:cs="Times New Roman"/>
          <w:lang w:val="sr-Cyrl-CS"/>
        </w:rPr>
      </w:pPr>
      <w:r w:rsidRPr="00895819">
        <w:rPr>
          <w:rFonts w:cs="Times New Roman"/>
          <w:lang w:val="sr-Cyrl-CS"/>
        </w:rPr>
        <w:t>У вези са:</w:t>
      </w:r>
      <w:r w:rsidRPr="00895819">
        <w:rPr>
          <w:rFonts w:cs="Times New Roman"/>
          <w:lang w:val="sr-Cyrl-CS"/>
        </w:rPr>
        <w:tab/>
        <w:t>Захтевом за повлачење средстава бр. [●] од [●]</w:t>
      </w:r>
    </w:p>
    <w:p w14:paraId="186541E9" w14:textId="77777777" w:rsidR="00C24C0B" w:rsidRPr="00895819" w:rsidRDefault="00C24C0B" w:rsidP="00C24C0B">
      <w:pPr>
        <w:pStyle w:val="BodyText"/>
        <w:rPr>
          <w:b/>
          <w:lang w:val="sr-Cyrl-CS"/>
        </w:rPr>
      </w:pPr>
      <w:r w:rsidRPr="00895819">
        <w:rPr>
          <w:b/>
          <w:lang w:val="sr-Cyrl-CS"/>
        </w:rPr>
        <w:t>Име Зајмопримца – Уговор о кредиту бр. [●] од [●]</w:t>
      </w:r>
    </w:p>
    <w:p w14:paraId="7F9E5079" w14:textId="77777777" w:rsidR="00C24C0B" w:rsidRPr="00895819" w:rsidRDefault="00C24C0B" w:rsidP="00C24C0B">
      <w:pPr>
        <w:pStyle w:val="BodyText"/>
        <w:rPr>
          <w:b/>
          <w:lang w:val="sr-Cyrl-CS"/>
        </w:rPr>
      </w:pPr>
      <w:r w:rsidRPr="00895819">
        <w:rPr>
          <w:b/>
          <w:lang w:val="sr-Cyrl-CS"/>
        </w:rPr>
        <w:t>Потврда о повлачењу средстава бр. [●]</w:t>
      </w:r>
    </w:p>
    <w:p w14:paraId="77822113" w14:textId="77777777" w:rsidR="00B16F8D" w:rsidRPr="00895819" w:rsidRDefault="00B16F8D" w:rsidP="00B16F8D">
      <w:pPr>
        <w:pStyle w:val="BodyText"/>
        <w:rPr>
          <w:rFonts w:cs="Times New Roman"/>
          <w:lang w:val="sr-Cyrl-CS"/>
        </w:rPr>
      </w:pPr>
    </w:p>
    <w:p w14:paraId="563BBE20" w14:textId="77777777" w:rsidR="00B16F8D" w:rsidRPr="00895819" w:rsidRDefault="00C24C0B" w:rsidP="00B16F8D">
      <w:pPr>
        <w:pStyle w:val="BodyText"/>
        <w:rPr>
          <w:rFonts w:cs="Times New Roman"/>
          <w:lang w:val="sr-Cyrl-CS"/>
        </w:rPr>
      </w:pPr>
      <w:r w:rsidRPr="00895819">
        <w:rPr>
          <w:rFonts w:cs="Times New Roman"/>
          <w:lang w:val="sr-Cyrl-CS"/>
        </w:rPr>
        <w:t>Поштовани</w:t>
      </w:r>
      <w:r w:rsidR="00B16F8D" w:rsidRPr="00895819">
        <w:rPr>
          <w:rFonts w:cs="Times New Roman"/>
          <w:lang w:val="sr-Cyrl-CS"/>
        </w:rPr>
        <w:t>,</w:t>
      </w:r>
    </w:p>
    <w:p w14:paraId="4CF9C4F0" w14:textId="41DAECB1" w:rsidR="00B16F8D" w:rsidRPr="00895819" w:rsidRDefault="00C24C0B" w:rsidP="00B16F8D">
      <w:pPr>
        <w:pStyle w:val="ListArabic1"/>
        <w:numPr>
          <w:ilvl w:val="0"/>
          <w:numId w:val="48"/>
        </w:numPr>
        <w:rPr>
          <w:lang w:val="sr-Cyrl-CS"/>
        </w:rPr>
      </w:pPr>
      <w:r w:rsidRPr="00895819">
        <w:rPr>
          <w:lang w:val="sr-Cyrl-CS"/>
        </w:rPr>
        <w:t>Позивамо се на Уговор о кредиту бр. [●] склопљен између Зајмопримца и Зајмодавца од [●] („</w:t>
      </w:r>
      <w:r w:rsidRPr="00895819">
        <w:rPr>
          <w:b/>
          <w:lang w:val="sr-Cyrl-CS"/>
        </w:rPr>
        <w:t>Уговор</w:t>
      </w:r>
      <w:r w:rsidR="0039269A" w:rsidRPr="00895819">
        <w:rPr>
          <w:lang w:val="sr-Cyrl-CS"/>
        </w:rPr>
        <w:t>”</w:t>
      </w:r>
      <w:r w:rsidRPr="00895819">
        <w:rPr>
          <w:lang w:val="sr-Cyrl-CS"/>
        </w:rPr>
        <w:t>). Речи и термини писани великим словима који нису дефинисани овде, имају значење дато им у Уговору</w:t>
      </w:r>
      <w:r w:rsidR="00B16F8D" w:rsidRPr="00895819">
        <w:rPr>
          <w:lang w:val="sr-Cyrl-CS"/>
        </w:rPr>
        <w:t>.</w:t>
      </w:r>
    </w:p>
    <w:p w14:paraId="250519EF" w14:textId="59C80A07" w:rsidR="00B16F8D" w:rsidRPr="00895819" w:rsidRDefault="00C24C0B" w:rsidP="00B16F8D">
      <w:pPr>
        <w:pStyle w:val="ListArabic1"/>
        <w:rPr>
          <w:lang w:val="sr-Cyrl-CS"/>
        </w:rPr>
      </w:pPr>
      <w:r w:rsidRPr="00895819">
        <w:rPr>
          <w:lang w:val="sr-Cyrl-CS"/>
        </w:rPr>
        <w:t xml:space="preserve">У Писму Захтева за повлачење средстава од [●], Зајмопримац је тражио да Зајмодавац стави на располагање средства у износу од [●] евра, у складу са одредбама и условима овог </w:t>
      </w:r>
      <w:r w:rsidR="0039269A" w:rsidRPr="00895819">
        <w:rPr>
          <w:lang w:val="sr-Cyrl-CS"/>
        </w:rPr>
        <w:t>у</w:t>
      </w:r>
      <w:r w:rsidRPr="00895819">
        <w:rPr>
          <w:lang w:val="sr-Cyrl-CS"/>
        </w:rPr>
        <w:t>говора</w:t>
      </w:r>
      <w:r w:rsidR="00B16F8D" w:rsidRPr="00895819">
        <w:rPr>
          <w:lang w:val="sr-Cyrl-CS"/>
        </w:rPr>
        <w:t>.</w:t>
      </w:r>
    </w:p>
    <w:p w14:paraId="4FC0AB22" w14:textId="77777777" w:rsidR="00B16F8D" w:rsidRPr="00895819" w:rsidRDefault="00C24C0B" w:rsidP="00B16F8D">
      <w:pPr>
        <w:pStyle w:val="ListArabic1"/>
        <w:rPr>
          <w:lang w:val="sr-Cyrl-CS"/>
        </w:rPr>
      </w:pPr>
      <w:r w:rsidRPr="00895819">
        <w:rPr>
          <w:lang w:val="sr-Cyrl-CS"/>
        </w:rPr>
        <w:t>Средства повлачења која су стављена на располагање у складу са Захтевом за повлачење средстава су следећа</w:t>
      </w:r>
      <w:r w:rsidR="00B16F8D" w:rsidRPr="00895819">
        <w:rPr>
          <w:lang w:val="sr-Cyrl-CS"/>
        </w:rPr>
        <w:t>:</w:t>
      </w:r>
    </w:p>
    <w:p w14:paraId="2D7211DE" w14:textId="3756742A" w:rsidR="00C24C0B" w:rsidRPr="00895819" w:rsidRDefault="00E36C45" w:rsidP="00E36C45">
      <w:pPr>
        <w:pStyle w:val="BodyText1"/>
        <w:ind w:left="1410" w:hanging="690"/>
        <w:rPr>
          <w:lang w:val="sr-Cyrl-CS"/>
        </w:rPr>
      </w:pPr>
      <w:r w:rsidRPr="00895819">
        <w:rPr>
          <w:lang w:val="sr-Cyrl-CS"/>
        </w:rPr>
        <w:t>Износ:</w:t>
      </w:r>
      <w:r w:rsidRPr="00895819">
        <w:rPr>
          <w:lang w:val="sr-Cyrl-CS"/>
        </w:rPr>
        <w:tab/>
      </w:r>
      <w:r w:rsidR="00C24C0B" w:rsidRPr="00895819">
        <w:rPr>
          <w:lang w:val="sr-Cyrl-CS"/>
        </w:rPr>
        <w:t>[Транша буџетске подршке: [●] ЕУР, или уколико је мање, доступни преостали износ.]</w:t>
      </w:r>
    </w:p>
    <w:p w14:paraId="0C243550" w14:textId="67536164" w:rsidR="00B16F8D" w:rsidRPr="00895819" w:rsidRDefault="00C24C0B" w:rsidP="00E36C45">
      <w:pPr>
        <w:pStyle w:val="BodyText1"/>
        <w:ind w:left="1404"/>
        <w:rPr>
          <w:lang w:val="sr-Cyrl-CS"/>
        </w:rPr>
      </w:pPr>
      <w:r w:rsidRPr="00895819">
        <w:rPr>
          <w:lang w:val="sr-Cyrl-CS"/>
        </w:rPr>
        <w:t>[Транша техничке помоћи: [●] ЕУР, или уколико је мање, доступни преостали износ.]</w:t>
      </w:r>
      <w:r w:rsidR="00770EE4" w:rsidRPr="00895819">
        <w:rPr>
          <w:lang w:val="sr-Cyrl-CS"/>
        </w:rPr>
        <w:t>.</w:t>
      </w:r>
    </w:p>
    <w:p w14:paraId="641DF25C" w14:textId="77777777" w:rsidR="00B16F8D" w:rsidRPr="00895819" w:rsidRDefault="00B16F8D" w:rsidP="00B16F8D">
      <w:pPr>
        <w:pStyle w:val="Bullet2"/>
        <w:numPr>
          <w:ilvl w:val="0"/>
          <w:numId w:val="0"/>
        </w:numPr>
        <w:ind w:left="706"/>
        <w:rPr>
          <w:lang w:val="sr-Cyrl-CS"/>
        </w:rPr>
      </w:pPr>
      <w:r w:rsidRPr="00895819">
        <w:rPr>
          <w:i/>
          <w:lang w:val="sr-Cyrl-CS"/>
        </w:rPr>
        <w:t>[</w:t>
      </w:r>
      <w:r w:rsidR="00C24C0B" w:rsidRPr="00895819">
        <w:rPr>
          <w:b/>
          <w:i/>
          <w:lang w:val="sr-Cyrl-CS"/>
        </w:rPr>
        <w:t>Опција</w:t>
      </w:r>
      <w:r w:rsidRPr="00895819">
        <w:rPr>
          <w:b/>
          <w:i/>
          <w:lang w:val="sr-Cyrl-CS"/>
        </w:rPr>
        <w:t xml:space="preserve">: </w:t>
      </w:r>
      <w:r w:rsidR="00C24C0B" w:rsidRPr="00895819">
        <w:rPr>
          <w:b/>
          <w:i/>
          <w:lang w:val="sr-Cyrl-CS"/>
        </w:rPr>
        <w:t xml:space="preserve">Повлачење са </w:t>
      </w:r>
      <w:r w:rsidR="0076166C" w:rsidRPr="00895819">
        <w:rPr>
          <w:b/>
          <w:i/>
          <w:lang w:val="sr-Cyrl-CS"/>
        </w:rPr>
        <w:t>променљивом</w:t>
      </w:r>
      <w:r w:rsidR="00C24C0B" w:rsidRPr="00895819">
        <w:rPr>
          <w:b/>
          <w:i/>
          <w:lang w:val="sr-Cyrl-CS"/>
        </w:rPr>
        <w:t xml:space="preserve"> каматном стопом</w:t>
      </w:r>
      <w:r w:rsidRPr="00895819">
        <w:rPr>
          <w:b/>
          <w:lang w:val="sr-Cyrl-CS"/>
        </w:rPr>
        <w:t>:</w:t>
      </w:r>
    </w:p>
    <w:p w14:paraId="6BE7AB61" w14:textId="14F7AB31" w:rsidR="00B16F8D" w:rsidRPr="00895819" w:rsidRDefault="00C24C0B" w:rsidP="00B16F8D">
      <w:pPr>
        <w:pStyle w:val="Bullet2"/>
        <w:ind w:left="1426"/>
        <w:rPr>
          <w:lang w:val="sr-Cyrl-CS"/>
        </w:rPr>
      </w:pPr>
      <w:r w:rsidRPr="00895819">
        <w:rPr>
          <w:lang w:val="sr-Cyrl-CS"/>
        </w:rPr>
        <w:t xml:space="preserve">Примењива каматна стопа: [● </w:t>
      </w:r>
      <w:r w:rsidRPr="00895819">
        <w:rPr>
          <w:i/>
          <w:iCs/>
          <w:lang w:val="sr-Cyrl-CS"/>
        </w:rPr>
        <w:t>проценат исказан речима</w:t>
      </w:r>
      <w:r w:rsidRPr="00895819">
        <w:rPr>
          <w:lang w:val="sr-Cyrl-CS"/>
        </w:rPr>
        <w:t xml:space="preserve">] ([●]%) годишње [једнак укупном шестомесечном </w:t>
      </w:r>
      <w:r w:rsidR="00016477" w:rsidRPr="00895819">
        <w:rPr>
          <w:lang w:val="sr-Cyrl-CS"/>
        </w:rPr>
        <w:t>EURIBOR</w:t>
      </w:r>
      <w:r w:rsidRPr="00895819">
        <w:rPr>
          <w:lang w:val="sr-Cyrl-CS"/>
        </w:rPr>
        <w:t>-у (једнак [●]% годишње)   и Маржа</w:t>
      </w:r>
      <w:r w:rsidR="00B16F8D" w:rsidRPr="00895819">
        <w:rPr>
          <w:lang w:val="sr-Cyrl-CS"/>
        </w:rPr>
        <w:t>]</w:t>
      </w:r>
      <w:r w:rsidR="00B16F8D" w:rsidRPr="00895819">
        <w:rPr>
          <w:vertAlign w:val="superscript"/>
          <w:lang w:val="sr-Cyrl-CS"/>
        </w:rPr>
        <w:t xml:space="preserve"> </w:t>
      </w:r>
    </w:p>
    <w:p w14:paraId="31A6A106" w14:textId="77777777" w:rsidR="00B16F8D" w:rsidRPr="00895819" w:rsidRDefault="00B16F8D" w:rsidP="00B16F8D">
      <w:pPr>
        <w:pStyle w:val="Bullet1"/>
        <w:numPr>
          <w:ilvl w:val="0"/>
          <w:numId w:val="0"/>
        </w:numPr>
        <w:ind w:left="720"/>
        <w:rPr>
          <w:b/>
          <w:i/>
          <w:u w:val="single"/>
          <w:lang w:val="sr-Cyrl-CS"/>
        </w:rPr>
      </w:pPr>
      <w:r w:rsidRPr="00895819">
        <w:rPr>
          <w:i/>
          <w:lang w:val="sr-Cyrl-CS"/>
        </w:rPr>
        <w:t>[</w:t>
      </w:r>
      <w:r w:rsidR="00C24C0B" w:rsidRPr="00895819">
        <w:rPr>
          <w:b/>
          <w:i/>
          <w:lang w:val="sr-Cyrl-CS"/>
        </w:rPr>
        <w:t>Опција: Повлачење са фиксном каматном стопом</w:t>
      </w:r>
      <w:r w:rsidRPr="00895819">
        <w:rPr>
          <w:b/>
          <w:i/>
          <w:lang w:val="sr-Cyrl-CS"/>
        </w:rPr>
        <w:t>:</w:t>
      </w:r>
    </w:p>
    <w:p w14:paraId="607C3586" w14:textId="77777777" w:rsidR="00B16F8D" w:rsidRPr="00895819" w:rsidRDefault="00E92507" w:rsidP="00B16F8D">
      <w:pPr>
        <w:pStyle w:val="Bullet2"/>
        <w:ind w:left="1426"/>
        <w:rPr>
          <w:lang w:val="sr-Cyrl-CS"/>
        </w:rPr>
      </w:pPr>
      <w:r w:rsidRPr="00895819">
        <w:rPr>
          <w:lang w:val="sr-Cyrl-CS"/>
        </w:rPr>
        <w:t>Примењива каматна стопа</w:t>
      </w:r>
      <w:r w:rsidR="00B16F8D" w:rsidRPr="00895819">
        <w:rPr>
          <w:lang w:val="sr-Cyrl-CS"/>
        </w:rPr>
        <w:t>: [●</w:t>
      </w:r>
      <w:r w:rsidRPr="00895819">
        <w:rPr>
          <w:i/>
          <w:iCs/>
          <w:lang w:val="sr-Cyrl-CS"/>
        </w:rPr>
        <w:t>проценат исказан речима</w:t>
      </w:r>
      <w:r w:rsidR="00B16F8D" w:rsidRPr="00895819">
        <w:rPr>
          <w:lang w:val="sr-Cyrl-CS"/>
        </w:rPr>
        <w:t xml:space="preserve">] </w:t>
      </w:r>
    </w:p>
    <w:p w14:paraId="181E476C" w14:textId="77777777" w:rsidR="00B16F8D" w:rsidRPr="00895819" w:rsidRDefault="00E92507" w:rsidP="00B16F8D">
      <w:pPr>
        <w:pStyle w:val="BodyText1"/>
        <w:rPr>
          <w:lang w:val="sr-Cyrl-CS"/>
        </w:rPr>
      </w:pPr>
      <w:r w:rsidRPr="00895819">
        <w:rPr>
          <w:lang w:val="sr-Cyrl-CS"/>
        </w:rPr>
        <w:t>Само у сврху информисања</w:t>
      </w:r>
      <w:r w:rsidR="00B16F8D" w:rsidRPr="00895819">
        <w:rPr>
          <w:lang w:val="sr-Cyrl-CS"/>
        </w:rPr>
        <w:t>:</w:t>
      </w:r>
    </w:p>
    <w:p w14:paraId="5CA6C9BB" w14:textId="77777777" w:rsidR="00B16F8D" w:rsidRPr="00895819" w:rsidRDefault="00E92507" w:rsidP="00B16F8D">
      <w:pPr>
        <w:pStyle w:val="Bullet2"/>
        <w:tabs>
          <w:tab w:val="clear" w:pos="0"/>
          <w:tab w:val="num" w:pos="706"/>
        </w:tabs>
        <w:ind w:left="1426"/>
        <w:rPr>
          <w:lang w:val="sr-Cyrl-CS"/>
        </w:rPr>
      </w:pPr>
      <w:r w:rsidRPr="00895819">
        <w:rPr>
          <w:lang w:val="sr-Cyrl-CS"/>
        </w:rPr>
        <w:t>Датум утврђивања стопе</w:t>
      </w:r>
      <w:r w:rsidR="00B16F8D" w:rsidRPr="00895819">
        <w:rPr>
          <w:lang w:val="sr-Cyrl-CS"/>
        </w:rPr>
        <w:t>: [●]</w:t>
      </w:r>
    </w:p>
    <w:p w14:paraId="0596006D" w14:textId="77777777" w:rsidR="00B16F8D" w:rsidRPr="00895819" w:rsidRDefault="00E92507" w:rsidP="00B16F8D">
      <w:pPr>
        <w:pStyle w:val="Bullet2"/>
        <w:ind w:left="1426"/>
        <w:rPr>
          <w:lang w:val="sr-Cyrl-CS"/>
        </w:rPr>
      </w:pPr>
      <w:r w:rsidRPr="00895819">
        <w:rPr>
          <w:lang w:val="sr-Cyrl-CS"/>
        </w:rPr>
        <w:t>Фиксна референтна стопа: [●</w:t>
      </w:r>
      <w:r w:rsidRPr="00895819">
        <w:rPr>
          <w:i/>
          <w:lang w:val="sr-Cyrl-CS"/>
        </w:rPr>
        <w:t xml:space="preserve">проценат </w:t>
      </w:r>
      <w:bookmarkStart w:id="177" w:name="_Hlk60572414"/>
      <w:r w:rsidRPr="00895819">
        <w:rPr>
          <w:i/>
          <w:lang w:val="sr-Cyrl-CS"/>
        </w:rPr>
        <w:t>исказан речима</w:t>
      </w:r>
      <w:bookmarkEnd w:id="177"/>
      <w:r w:rsidRPr="00895819">
        <w:rPr>
          <w:lang w:val="sr-Cyrl-CS"/>
        </w:rPr>
        <w:t>] ([●]%) годишње</w:t>
      </w:r>
    </w:p>
    <w:p w14:paraId="669B01E1" w14:textId="77777777" w:rsidR="00B16F8D" w:rsidRPr="00895819" w:rsidRDefault="00680F84" w:rsidP="00B16F8D">
      <w:pPr>
        <w:pStyle w:val="Bullet2"/>
        <w:ind w:left="1426"/>
        <w:rPr>
          <w:lang w:val="sr-Cyrl-CS"/>
        </w:rPr>
      </w:pPr>
      <w:r w:rsidRPr="00895819">
        <w:rPr>
          <w:lang w:val="sr-Cyrl-CS"/>
        </w:rPr>
        <w:t>Индексна стопа</w:t>
      </w:r>
      <w:r w:rsidR="00B16F8D" w:rsidRPr="00895819">
        <w:rPr>
          <w:lang w:val="sr-Cyrl-CS"/>
        </w:rPr>
        <w:t>: [●</w:t>
      </w:r>
      <w:r w:rsidR="006D1577" w:rsidRPr="00895819">
        <w:rPr>
          <w:i/>
          <w:lang w:val="sr-Cyrl-CS"/>
        </w:rPr>
        <w:t>проценат исказан речима</w:t>
      </w:r>
      <w:r w:rsidR="00B16F8D" w:rsidRPr="00895819">
        <w:rPr>
          <w:lang w:val="sr-Cyrl-CS"/>
        </w:rPr>
        <w:t xml:space="preserve">] ([●]%) </w:t>
      </w:r>
      <w:r w:rsidR="006D1577" w:rsidRPr="00895819">
        <w:rPr>
          <w:lang w:val="sr-Cyrl-CS"/>
        </w:rPr>
        <w:t>годишње</w:t>
      </w:r>
    </w:p>
    <w:p w14:paraId="63A3FBFD" w14:textId="77777777" w:rsidR="00B16F8D" w:rsidRPr="00895819" w:rsidRDefault="00680F84" w:rsidP="00B16F8D">
      <w:pPr>
        <w:pStyle w:val="Bullet2"/>
        <w:tabs>
          <w:tab w:val="clear" w:pos="0"/>
          <w:tab w:val="num" w:pos="706"/>
        </w:tabs>
        <w:ind w:left="1426"/>
        <w:rPr>
          <w:lang w:val="sr-Cyrl-CS"/>
        </w:rPr>
      </w:pPr>
      <w:r w:rsidRPr="00895819">
        <w:rPr>
          <w:lang w:val="sr-Cyrl-CS"/>
        </w:rPr>
        <w:t>Индексна стопа на Датум утврђивања стопе</w:t>
      </w:r>
      <w:r w:rsidR="00B16F8D" w:rsidRPr="00895819">
        <w:rPr>
          <w:lang w:val="sr-Cyrl-CS"/>
        </w:rPr>
        <w:t>: [●</w:t>
      </w:r>
      <w:r w:rsidR="006D1577" w:rsidRPr="00895819">
        <w:rPr>
          <w:i/>
          <w:lang w:val="sr-Cyrl-CS"/>
        </w:rPr>
        <w:t>проценат исказан речима</w:t>
      </w:r>
      <w:r w:rsidR="00B16F8D" w:rsidRPr="00895819">
        <w:rPr>
          <w:lang w:val="sr-Cyrl-CS"/>
        </w:rPr>
        <w:t xml:space="preserve">] ([●]%) </w:t>
      </w:r>
      <w:r w:rsidR="006D1577" w:rsidRPr="00895819">
        <w:rPr>
          <w:lang w:val="sr-Cyrl-CS"/>
        </w:rPr>
        <w:t>годишње</w:t>
      </w:r>
    </w:p>
    <w:p w14:paraId="2506FE4A" w14:textId="77777777" w:rsidR="00B16F8D" w:rsidRPr="00895819" w:rsidRDefault="006D1577" w:rsidP="00B16F8D">
      <w:pPr>
        <w:pStyle w:val="Bullet2"/>
        <w:tabs>
          <w:tab w:val="clear" w:pos="0"/>
          <w:tab w:val="num" w:pos="706"/>
        </w:tabs>
        <w:ind w:left="1426"/>
        <w:rPr>
          <w:lang w:val="sr-Cyrl-CS"/>
        </w:rPr>
      </w:pPr>
      <w:r w:rsidRPr="00895819">
        <w:rPr>
          <w:lang w:val="sr-Cyrl-CS"/>
        </w:rPr>
        <w:lastRenderedPageBreak/>
        <w:t>Ефективна глобална стопа</w:t>
      </w:r>
      <w:r w:rsidR="00B16F8D" w:rsidRPr="00895819">
        <w:rPr>
          <w:lang w:val="sr-Cyrl-CS"/>
        </w:rPr>
        <w:t xml:space="preserve"> (</w:t>
      </w:r>
      <w:r w:rsidRPr="00895819">
        <w:rPr>
          <w:lang w:val="sr-Cyrl-CS"/>
        </w:rPr>
        <w:t>за шестомесечни период</w:t>
      </w:r>
      <w:r w:rsidR="00B16F8D" w:rsidRPr="00895819">
        <w:rPr>
          <w:lang w:val="sr-Cyrl-CS"/>
        </w:rPr>
        <w:t>): [●</w:t>
      </w:r>
      <w:r w:rsidRPr="00895819">
        <w:rPr>
          <w:i/>
          <w:lang w:val="sr-Cyrl-CS"/>
        </w:rPr>
        <w:t>проценат исказан речима</w:t>
      </w:r>
      <w:r w:rsidR="00B16F8D" w:rsidRPr="00895819">
        <w:rPr>
          <w:lang w:val="sr-Cyrl-CS"/>
        </w:rPr>
        <w:t>] ([●]%)</w:t>
      </w:r>
    </w:p>
    <w:p w14:paraId="18562D82" w14:textId="77777777" w:rsidR="00B16F8D" w:rsidRPr="00895819" w:rsidRDefault="006D1577" w:rsidP="00B16F8D">
      <w:pPr>
        <w:pStyle w:val="Bullet2"/>
        <w:ind w:left="1426"/>
        <w:rPr>
          <w:lang w:val="sr-Cyrl-CS"/>
        </w:rPr>
      </w:pPr>
      <w:r w:rsidRPr="00895819">
        <w:rPr>
          <w:lang w:val="sr-Cyrl-CS"/>
        </w:rPr>
        <w:t>Ефективна глобална стопа</w:t>
      </w:r>
      <w:r w:rsidR="00B16F8D" w:rsidRPr="00895819">
        <w:rPr>
          <w:lang w:val="sr-Cyrl-CS"/>
        </w:rPr>
        <w:t xml:space="preserve"> (</w:t>
      </w:r>
      <w:r w:rsidRPr="00895819">
        <w:rPr>
          <w:lang w:val="sr-Cyrl-CS"/>
        </w:rPr>
        <w:t>годишња</w:t>
      </w:r>
      <w:r w:rsidR="00B16F8D" w:rsidRPr="00895819">
        <w:rPr>
          <w:lang w:val="sr-Cyrl-CS"/>
        </w:rPr>
        <w:t>): [●</w:t>
      </w:r>
      <w:r w:rsidRPr="00895819">
        <w:rPr>
          <w:i/>
          <w:lang w:val="sr-Cyrl-CS"/>
        </w:rPr>
        <w:t>проценат исказан речима</w:t>
      </w:r>
      <w:r w:rsidR="00B16F8D" w:rsidRPr="00895819">
        <w:rPr>
          <w:lang w:val="sr-Cyrl-CS"/>
        </w:rPr>
        <w:t>] ([●]%)]</w:t>
      </w:r>
    </w:p>
    <w:p w14:paraId="3D1C98C9" w14:textId="0D00A690" w:rsidR="00B16F8D" w:rsidRPr="00895819" w:rsidRDefault="00B16F8D" w:rsidP="00B16F8D">
      <w:pPr>
        <w:pStyle w:val="Bullet2"/>
        <w:numPr>
          <w:ilvl w:val="0"/>
          <w:numId w:val="0"/>
        </w:numPr>
        <w:rPr>
          <w:lang w:val="sr-Cyrl-CS"/>
        </w:rPr>
      </w:pPr>
      <w:r w:rsidRPr="00895819">
        <w:rPr>
          <w:lang w:val="sr-Cyrl-CS"/>
        </w:rPr>
        <w:t>[</w:t>
      </w:r>
      <w:r w:rsidR="006D1577" w:rsidRPr="00895819">
        <w:rPr>
          <w:lang w:val="sr-Cyrl-CS"/>
        </w:rPr>
        <w:t>Треба напоменути да горе поменута Каматна стопа може варирати у складу са одредбама члана 4.1.1(i) (</w:t>
      </w:r>
      <w:r w:rsidR="0076166C" w:rsidRPr="00895819">
        <w:rPr>
          <w:i/>
          <w:lang w:val="sr-Cyrl-CS"/>
        </w:rPr>
        <w:t>Променљива</w:t>
      </w:r>
      <w:r w:rsidR="006D1577" w:rsidRPr="00895819">
        <w:rPr>
          <w:i/>
          <w:lang w:val="sr-Cyrl-CS"/>
        </w:rPr>
        <w:t xml:space="preserve"> каматна стопа) </w:t>
      </w:r>
      <w:r w:rsidR="006D1577" w:rsidRPr="00895819">
        <w:rPr>
          <w:lang w:val="sr-Cyrl-CS"/>
        </w:rPr>
        <w:t>и 5.2 (</w:t>
      </w:r>
      <w:r w:rsidR="006D1577" w:rsidRPr="00895819">
        <w:rPr>
          <w:i/>
          <w:lang w:val="sr-Cyrl-CS"/>
        </w:rPr>
        <w:t>Замена Приказа каматне стопе</w:t>
      </w:r>
      <w:r w:rsidR="006D1577" w:rsidRPr="00895819">
        <w:rPr>
          <w:lang w:val="sr-Cyrl-CS"/>
        </w:rPr>
        <w:t xml:space="preserve">) овог </w:t>
      </w:r>
      <w:r w:rsidR="0039269A" w:rsidRPr="00895819">
        <w:rPr>
          <w:lang w:val="sr-Cyrl-CS"/>
        </w:rPr>
        <w:t>у</w:t>
      </w:r>
      <w:r w:rsidR="006D1577" w:rsidRPr="00895819">
        <w:rPr>
          <w:lang w:val="sr-Cyrl-CS"/>
        </w:rPr>
        <w:t>говора</w:t>
      </w:r>
      <w:r w:rsidR="00CB733A" w:rsidRPr="00895819">
        <w:rPr>
          <w:lang w:val="sr-Cyrl-CS"/>
        </w:rPr>
        <w:t>.</w:t>
      </w:r>
      <w:r w:rsidRPr="00895819">
        <w:rPr>
          <w:lang w:val="sr-Cyrl-CS"/>
        </w:rPr>
        <w:t xml:space="preserve">] </w:t>
      </w:r>
    </w:p>
    <w:p w14:paraId="0D1E3894" w14:textId="77777777" w:rsidR="00B16F8D" w:rsidRPr="00895819" w:rsidRDefault="00B16F8D" w:rsidP="00B16F8D">
      <w:pPr>
        <w:pStyle w:val="Bullet1"/>
        <w:numPr>
          <w:ilvl w:val="0"/>
          <w:numId w:val="0"/>
        </w:numPr>
        <w:ind w:left="720" w:hanging="720"/>
        <w:rPr>
          <w:lang w:val="sr-Cyrl-CS"/>
        </w:rPr>
      </w:pPr>
    </w:p>
    <w:p w14:paraId="5B6D4C46" w14:textId="77777777" w:rsidR="00B16F8D" w:rsidRPr="00895819" w:rsidRDefault="006D1577" w:rsidP="00B16F8D">
      <w:pPr>
        <w:pStyle w:val="BodyText"/>
        <w:rPr>
          <w:rFonts w:cs="Times New Roman"/>
          <w:lang w:val="sr-Cyrl-CS"/>
        </w:rPr>
      </w:pPr>
      <w:r w:rsidRPr="00895819">
        <w:rPr>
          <w:rFonts w:cs="Times New Roman"/>
          <w:lang w:val="sr-Cyrl-CS"/>
        </w:rPr>
        <w:t>С поштовањем</w:t>
      </w:r>
      <w:r w:rsidR="00B16F8D" w:rsidRPr="00895819">
        <w:rPr>
          <w:rFonts w:cs="Times New Roman"/>
          <w:lang w:val="sr-Cyrl-CS"/>
        </w:rPr>
        <w:t>,</w:t>
      </w:r>
    </w:p>
    <w:p w14:paraId="0B13F05A" w14:textId="77777777" w:rsidR="00B16F8D" w:rsidRPr="00895819" w:rsidRDefault="00B16F8D" w:rsidP="00B16F8D">
      <w:pPr>
        <w:pStyle w:val="BodyText"/>
        <w:tabs>
          <w:tab w:val="right" w:leader="dot" w:pos="3600"/>
        </w:tabs>
        <w:rPr>
          <w:rFonts w:cs="Times New Roman"/>
          <w:lang w:val="sr-Cyrl-CS"/>
        </w:rPr>
      </w:pPr>
      <w:r w:rsidRPr="00895819">
        <w:rPr>
          <w:rFonts w:cs="Times New Roman"/>
          <w:lang w:val="sr-Cyrl-CS"/>
        </w:rPr>
        <w:tab/>
      </w:r>
    </w:p>
    <w:p w14:paraId="16F854C9" w14:textId="77777777" w:rsidR="006D1577" w:rsidRPr="00895819" w:rsidRDefault="006D1577" w:rsidP="006D1577">
      <w:pPr>
        <w:pStyle w:val="BodyText"/>
        <w:rPr>
          <w:i/>
          <w:lang w:val="sr-Cyrl-CS"/>
        </w:rPr>
      </w:pPr>
      <w:r w:rsidRPr="00895819">
        <w:rPr>
          <w:lang w:val="sr-Cyrl-CS"/>
        </w:rPr>
        <w:t>Овлашћени потписник</w:t>
      </w:r>
      <w:r w:rsidRPr="00895819">
        <w:rPr>
          <w:i/>
          <w:lang w:val="sr-Cyrl-CS"/>
        </w:rPr>
        <w:t xml:space="preserve"> Француске агенције за развој</w:t>
      </w:r>
    </w:p>
    <w:p w14:paraId="4FD95D50" w14:textId="77777777" w:rsidR="00B16F8D" w:rsidRPr="00895819" w:rsidRDefault="00B16F8D" w:rsidP="00B16F8D">
      <w:pPr>
        <w:pStyle w:val="BodyText"/>
        <w:rPr>
          <w:rFonts w:cs="Times New Roman"/>
          <w:lang w:val="sr-Cyrl-CS"/>
        </w:rPr>
      </w:pPr>
    </w:p>
    <w:p w14:paraId="60DDAC0A" w14:textId="77777777" w:rsidR="00B16F8D" w:rsidRPr="00895819" w:rsidRDefault="006D1577" w:rsidP="00B16F8D">
      <w:pPr>
        <w:pStyle w:val="Schhead"/>
        <w:outlineLvl w:val="0"/>
        <w:rPr>
          <w:rFonts w:ascii="Times New Roman" w:hAnsi="Times New Roman"/>
          <w:lang w:val="sr-Cyrl-CS"/>
        </w:rPr>
      </w:pPr>
      <w:bookmarkStart w:id="178" w:name="_Toc129873709"/>
      <w:r w:rsidRPr="00895819">
        <w:rPr>
          <w:rFonts w:ascii="Times New Roman" w:hAnsi="Times New Roman"/>
          <w:lang w:val="sr-Cyrl-CS"/>
        </w:rPr>
        <w:lastRenderedPageBreak/>
        <w:t xml:space="preserve">ПРИЛОГ </w:t>
      </w:r>
      <w:r w:rsidR="00B16F8D" w:rsidRPr="00895819">
        <w:rPr>
          <w:rFonts w:ascii="Times New Roman" w:hAnsi="Times New Roman"/>
          <w:lang w:val="sr-Cyrl-CS"/>
        </w:rPr>
        <w:t>5</w:t>
      </w:r>
      <w:r w:rsidRPr="00895819">
        <w:rPr>
          <w:rFonts w:ascii="Times New Roman" w:hAnsi="Times New Roman"/>
          <w:lang w:val="sr-Cyrl-CS"/>
        </w:rPr>
        <w:t>ц</w:t>
      </w:r>
      <w:r w:rsidR="00B16F8D" w:rsidRPr="00895819">
        <w:rPr>
          <w:rFonts w:ascii="Times New Roman" w:hAnsi="Times New Roman"/>
          <w:lang w:val="sr-Cyrl-CS"/>
        </w:rPr>
        <w:t xml:space="preserve"> </w:t>
      </w:r>
      <w:r w:rsidRPr="00895819">
        <w:rPr>
          <w:rFonts w:ascii="Times New Roman" w:hAnsi="Times New Roman"/>
          <w:lang w:val="sr-Cyrl-CS"/>
        </w:rPr>
        <w:t>–</w:t>
      </w:r>
      <w:r w:rsidR="00B16F8D" w:rsidRPr="00895819">
        <w:rPr>
          <w:rFonts w:ascii="Times New Roman" w:hAnsi="Times New Roman"/>
          <w:lang w:val="sr-Cyrl-CS"/>
        </w:rPr>
        <w:t xml:space="preserve"> </w:t>
      </w:r>
      <w:r w:rsidRPr="00895819">
        <w:rPr>
          <w:rFonts w:ascii="Times New Roman" w:hAnsi="Times New Roman"/>
          <w:lang w:val="sr-Cyrl-CS"/>
        </w:rPr>
        <w:t>ОБРАЗАЦ ЗАХТЕВА ЗА КОНВЕРЗИЈУ СТОПЕ</w:t>
      </w:r>
      <w:bookmarkEnd w:id="178"/>
    </w:p>
    <w:p w14:paraId="331DDDA4" w14:textId="77777777" w:rsidR="00B16F8D" w:rsidRPr="00895819" w:rsidRDefault="00B16F8D" w:rsidP="00B16F8D">
      <w:pPr>
        <w:pStyle w:val="BodyText"/>
        <w:jc w:val="center"/>
        <w:rPr>
          <w:rFonts w:cs="Times New Roman"/>
          <w:lang w:val="sr-Cyrl-CS"/>
        </w:rPr>
      </w:pPr>
      <w:r w:rsidRPr="00895819">
        <w:rPr>
          <w:rFonts w:cs="Times New Roman"/>
          <w:i/>
          <w:lang w:val="sr-Cyrl-CS"/>
        </w:rPr>
        <w:t>[</w:t>
      </w:r>
      <w:r w:rsidR="006D1577" w:rsidRPr="00895819">
        <w:rPr>
          <w:rFonts w:cs="Times New Roman"/>
          <w:i/>
          <w:lang w:val="sr-Cyrl-CS"/>
        </w:rPr>
        <w:t>на меморандуму Зајмопримца</w:t>
      </w:r>
      <w:r w:rsidRPr="00895819">
        <w:rPr>
          <w:rFonts w:cs="Times New Roman"/>
          <w:i/>
          <w:lang w:val="sr-Cyrl-CS"/>
        </w:rPr>
        <w:t>]</w:t>
      </w:r>
    </w:p>
    <w:p w14:paraId="1BCCA689" w14:textId="455ECDEC" w:rsidR="006D1577" w:rsidRPr="00895819" w:rsidRDefault="00E36C45" w:rsidP="00E36C45">
      <w:pPr>
        <w:pStyle w:val="BodyText"/>
        <w:tabs>
          <w:tab w:val="left" w:pos="900"/>
          <w:tab w:val="left" w:pos="990"/>
        </w:tabs>
        <w:rPr>
          <w:lang w:val="sr-Cyrl-CS"/>
        </w:rPr>
      </w:pPr>
      <w:r w:rsidRPr="00895819">
        <w:rPr>
          <w:lang w:val="sr-Cyrl-CS"/>
        </w:rPr>
        <w:t>За:</w:t>
      </w:r>
      <w:r w:rsidRPr="00895819">
        <w:rPr>
          <w:lang w:val="sr-Cyrl-CS"/>
        </w:rPr>
        <w:tab/>
      </w:r>
      <w:r w:rsidRPr="00895819">
        <w:rPr>
          <w:lang w:val="sr-Cyrl-CS"/>
        </w:rPr>
        <w:tab/>
      </w:r>
      <w:r w:rsidR="006D1577" w:rsidRPr="00895819">
        <w:rPr>
          <w:lang w:val="sr-Cyrl-CS"/>
        </w:rPr>
        <w:t>ФРАНЦУСКА АГЕНЦИЈА ЗА РАЗВОЈ</w:t>
      </w:r>
    </w:p>
    <w:p w14:paraId="151D93F7" w14:textId="77777777" w:rsidR="006D1577" w:rsidRPr="00895819" w:rsidRDefault="006D1577" w:rsidP="00E36C45">
      <w:pPr>
        <w:pStyle w:val="BodyText"/>
        <w:tabs>
          <w:tab w:val="left" w:pos="990"/>
        </w:tabs>
        <w:rPr>
          <w:lang w:val="sr-Cyrl-CS"/>
        </w:rPr>
      </w:pPr>
      <w:r w:rsidRPr="00895819">
        <w:rPr>
          <w:lang w:val="sr-Cyrl-CS"/>
        </w:rPr>
        <w:t xml:space="preserve">Датум: </w:t>
      </w:r>
      <w:r w:rsidRPr="00895819">
        <w:rPr>
          <w:lang w:val="sr-Cyrl-CS"/>
        </w:rPr>
        <w:tab/>
        <w:t>[</w:t>
      </w:r>
      <w:r w:rsidRPr="00895819">
        <w:rPr>
          <w:i/>
          <w:lang w:val="sr-Cyrl-CS"/>
        </w:rPr>
        <w:t>датум</w:t>
      </w:r>
      <w:r w:rsidRPr="00895819">
        <w:rPr>
          <w:lang w:val="sr-Cyrl-CS"/>
        </w:rPr>
        <w:t>]</w:t>
      </w:r>
    </w:p>
    <w:p w14:paraId="2AC21511" w14:textId="77777777" w:rsidR="006D1577" w:rsidRPr="00895819" w:rsidRDefault="006D1577" w:rsidP="006D1577">
      <w:pPr>
        <w:tabs>
          <w:tab w:val="left" w:pos="720"/>
        </w:tabs>
        <w:spacing w:after="240"/>
        <w:rPr>
          <w:rFonts w:cs="Arial"/>
          <w:bCs/>
          <w:lang w:val="sr-Cyrl-CS"/>
        </w:rPr>
      </w:pPr>
      <w:r w:rsidRPr="00895819">
        <w:rPr>
          <w:rFonts w:cs="Arial"/>
          <w:b/>
          <w:bCs/>
          <w:lang w:val="sr-Cyrl-CS"/>
        </w:rPr>
        <w:t>Име Зајмопримца – Уговор о кредиту бр.</w:t>
      </w:r>
      <w:r w:rsidRPr="00895819">
        <w:rPr>
          <w:rFonts w:cs="Arial"/>
          <w:bCs/>
          <w:lang w:val="sr-Cyrl-CS"/>
        </w:rPr>
        <w:t xml:space="preserve"> </w:t>
      </w:r>
      <w:r w:rsidRPr="00895819">
        <w:rPr>
          <w:rFonts w:cs="Arial"/>
          <w:b/>
          <w:bCs/>
          <w:lang w:val="sr-Cyrl-CS"/>
        </w:rPr>
        <w:t>[●] датиран [●]</w:t>
      </w:r>
    </w:p>
    <w:p w14:paraId="72AEF8B3" w14:textId="77777777" w:rsidR="006D1577" w:rsidRPr="00895819" w:rsidRDefault="006D1577" w:rsidP="006D1577">
      <w:pPr>
        <w:tabs>
          <w:tab w:val="left" w:pos="720"/>
        </w:tabs>
        <w:spacing w:after="240"/>
        <w:rPr>
          <w:rFonts w:cs="Arial"/>
          <w:bCs/>
          <w:lang w:val="sr-Cyrl-CS"/>
        </w:rPr>
      </w:pPr>
      <w:r w:rsidRPr="00895819">
        <w:rPr>
          <w:rFonts w:cs="Arial"/>
          <w:b/>
          <w:bCs/>
          <w:lang w:val="sr-Cyrl-CS"/>
        </w:rPr>
        <w:t>Захтев за конверзију стопе бр. [●]</w:t>
      </w:r>
    </w:p>
    <w:p w14:paraId="3D87EED4" w14:textId="77777777" w:rsidR="00B16F8D" w:rsidRPr="00895819" w:rsidRDefault="006D1577" w:rsidP="006D1577">
      <w:pPr>
        <w:pStyle w:val="BodyText"/>
        <w:rPr>
          <w:rFonts w:cs="Times New Roman"/>
          <w:lang w:val="sr-Cyrl-CS"/>
        </w:rPr>
      </w:pPr>
      <w:r w:rsidRPr="00895819">
        <w:rPr>
          <w:bCs w:val="0"/>
          <w:lang w:val="sr-Cyrl-CS"/>
        </w:rPr>
        <w:t>Поштовани</w:t>
      </w:r>
      <w:r w:rsidR="00B16F8D" w:rsidRPr="00895819">
        <w:rPr>
          <w:rFonts w:cs="Times New Roman"/>
          <w:lang w:val="sr-Cyrl-CS"/>
        </w:rPr>
        <w:t>,</w:t>
      </w:r>
    </w:p>
    <w:p w14:paraId="22E201FA" w14:textId="58BAA717" w:rsidR="00B16F8D" w:rsidRPr="00895819" w:rsidRDefault="006D1577" w:rsidP="00B16F8D">
      <w:pPr>
        <w:pStyle w:val="ListArabic1"/>
        <w:numPr>
          <w:ilvl w:val="0"/>
          <w:numId w:val="49"/>
        </w:numPr>
        <w:rPr>
          <w:lang w:val="sr-Cyrl-CS"/>
        </w:rPr>
      </w:pPr>
      <w:r w:rsidRPr="00895819">
        <w:rPr>
          <w:lang w:val="sr-Cyrl-CS"/>
        </w:rPr>
        <w:t>Позивамо се на Уговор о кредиту бр. [●] склопљен између За</w:t>
      </w:r>
      <w:r w:rsidR="0039269A" w:rsidRPr="00895819">
        <w:rPr>
          <w:lang w:val="sr-Cyrl-CS"/>
        </w:rPr>
        <w:t>јмопримца и Зајмодавца од [●] („</w:t>
      </w:r>
      <w:r w:rsidRPr="00895819">
        <w:rPr>
          <w:b/>
          <w:lang w:val="sr-Cyrl-CS"/>
        </w:rPr>
        <w:t>Уговор</w:t>
      </w:r>
      <w:r w:rsidRPr="00895819">
        <w:rPr>
          <w:lang w:val="sr-Cyrl-CS"/>
        </w:rPr>
        <w:t>”). Речи и термини писани великим словима који нису дефинисани овде, имају значење дато им у Уговору</w:t>
      </w:r>
      <w:r w:rsidR="00B16F8D" w:rsidRPr="00895819">
        <w:rPr>
          <w:lang w:val="sr-Cyrl-CS"/>
        </w:rPr>
        <w:t>.</w:t>
      </w:r>
    </w:p>
    <w:p w14:paraId="537287D2" w14:textId="50D71496" w:rsidR="00B16F8D" w:rsidRPr="00895819" w:rsidRDefault="006D1577" w:rsidP="00CB733A">
      <w:pPr>
        <w:pStyle w:val="ListArabic1"/>
        <w:rPr>
          <w:lang w:val="sr-Cyrl-CS"/>
        </w:rPr>
      </w:pPr>
      <w:r w:rsidRPr="00895819">
        <w:rPr>
          <w:lang w:val="sr-Cyrl-CS"/>
        </w:rPr>
        <w:t>У складу са чланом 4.1.3 (i) (</w:t>
      </w:r>
      <w:r w:rsidRPr="00895819">
        <w:rPr>
          <w:i/>
          <w:lang w:val="sr-Cyrl-CS"/>
        </w:rPr>
        <w:t xml:space="preserve">Конверзија </w:t>
      </w:r>
      <w:r w:rsidR="0076166C" w:rsidRPr="00895819">
        <w:rPr>
          <w:i/>
          <w:lang w:val="sr-Cyrl-CS"/>
        </w:rPr>
        <w:t>променљива</w:t>
      </w:r>
      <w:r w:rsidRPr="00895819">
        <w:rPr>
          <w:i/>
          <w:lang w:val="sr-Cyrl-CS"/>
        </w:rPr>
        <w:t xml:space="preserve"> Каматне стопе у фиксну Каматну стопу</w:t>
      </w:r>
      <w:r w:rsidRPr="00895819">
        <w:rPr>
          <w:lang w:val="sr-Cyrl-CS"/>
        </w:rPr>
        <w:t xml:space="preserve">) овог </w:t>
      </w:r>
      <w:r w:rsidR="0039269A" w:rsidRPr="00895819">
        <w:rPr>
          <w:lang w:val="sr-Cyrl-CS"/>
        </w:rPr>
        <w:t>у</w:t>
      </w:r>
      <w:r w:rsidRPr="00895819">
        <w:rPr>
          <w:lang w:val="sr-Cyrl-CS"/>
        </w:rPr>
        <w:t xml:space="preserve">говора, овим тражимо да конвертујете </w:t>
      </w:r>
      <w:r w:rsidR="0076166C" w:rsidRPr="00895819">
        <w:rPr>
          <w:lang w:val="sr-Cyrl-CS"/>
        </w:rPr>
        <w:t>променљиву</w:t>
      </w:r>
      <w:r w:rsidRPr="00895819">
        <w:rPr>
          <w:lang w:val="sr-Cyrl-CS"/>
        </w:rPr>
        <w:t xml:space="preserve"> Каматну стопу за потребе следећих Повлачења средстава</w:t>
      </w:r>
      <w:r w:rsidR="00B16F8D" w:rsidRPr="00895819">
        <w:rPr>
          <w:lang w:val="sr-Cyrl-CS"/>
        </w:rPr>
        <w:t>:</w:t>
      </w:r>
    </w:p>
    <w:p w14:paraId="6BD15F60" w14:textId="77777777" w:rsidR="00B16F8D" w:rsidRPr="00895819" w:rsidRDefault="00B16F8D" w:rsidP="00B16F8D">
      <w:pPr>
        <w:pStyle w:val="Bullet2"/>
        <w:tabs>
          <w:tab w:val="clear" w:pos="0"/>
          <w:tab w:val="num" w:pos="706"/>
        </w:tabs>
        <w:ind w:left="1426"/>
        <w:rPr>
          <w:lang w:val="sr-Cyrl-CS"/>
        </w:rPr>
      </w:pPr>
      <w:r w:rsidRPr="00895819">
        <w:rPr>
          <w:lang w:val="sr-Cyrl-CS"/>
        </w:rPr>
        <w:t>[</w:t>
      </w:r>
      <w:r w:rsidR="006D1577" w:rsidRPr="00895819">
        <w:rPr>
          <w:b/>
          <w:i/>
          <w:lang w:val="sr-Cyrl-CS"/>
        </w:rPr>
        <w:t>списак релевантних Повлачења средстава</w:t>
      </w:r>
      <w:r w:rsidRPr="00895819">
        <w:rPr>
          <w:lang w:val="sr-Cyrl-CS"/>
        </w:rPr>
        <w:t>],</w:t>
      </w:r>
    </w:p>
    <w:p w14:paraId="5A44C8C7" w14:textId="20FB66DE" w:rsidR="00B16F8D" w:rsidRPr="00895819" w:rsidRDefault="006920C3" w:rsidP="00B16F8D">
      <w:pPr>
        <w:pStyle w:val="BodyText1"/>
        <w:rPr>
          <w:lang w:val="sr-Cyrl-CS"/>
        </w:rPr>
      </w:pPr>
      <w:r w:rsidRPr="00895819">
        <w:rPr>
          <w:lang w:val="sr-Cyrl-CS"/>
        </w:rPr>
        <w:t xml:space="preserve">у фиксну Каматну стопу у складу са условима овог </w:t>
      </w:r>
      <w:r w:rsidR="0039269A" w:rsidRPr="00895819">
        <w:rPr>
          <w:lang w:val="sr-Cyrl-CS"/>
        </w:rPr>
        <w:t>у</w:t>
      </w:r>
      <w:r w:rsidRPr="00895819">
        <w:rPr>
          <w:lang w:val="sr-Cyrl-CS"/>
        </w:rPr>
        <w:t>говора</w:t>
      </w:r>
      <w:r w:rsidR="00B16F8D" w:rsidRPr="00895819">
        <w:rPr>
          <w:lang w:val="sr-Cyrl-CS"/>
        </w:rPr>
        <w:t xml:space="preserve">. </w:t>
      </w:r>
    </w:p>
    <w:p w14:paraId="1BD77182" w14:textId="77777777" w:rsidR="00B16F8D" w:rsidRPr="00895819" w:rsidRDefault="006920C3" w:rsidP="00B16F8D">
      <w:pPr>
        <w:pStyle w:val="ListArabic1"/>
        <w:rPr>
          <w:lang w:val="sr-Cyrl-CS"/>
        </w:rPr>
      </w:pPr>
      <w:r w:rsidRPr="00895819">
        <w:rPr>
          <w:lang w:val="sr-Cyrl-CS"/>
        </w:rPr>
        <w:t xml:space="preserve">Овај захтев за конверзију стопе сматраће се ништавним, уколико примењива фиксна Каматна стопа премаши </w:t>
      </w:r>
      <w:r w:rsidR="00B16F8D" w:rsidRPr="00895819">
        <w:rPr>
          <w:lang w:val="sr-Cyrl-CS"/>
        </w:rPr>
        <w:t>[</w:t>
      </w:r>
      <w:r w:rsidRPr="00895819">
        <w:rPr>
          <w:i/>
          <w:lang w:val="sr-Cyrl-CS"/>
        </w:rPr>
        <w:t>проценат исказан речима</w:t>
      </w:r>
      <w:r w:rsidR="00B16F8D" w:rsidRPr="00895819">
        <w:rPr>
          <w:lang w:val="sr-Cyrl-CS"/>
        </w:rPr>
        <w:t>] [●%].</w:t>
      </w:r>
    </w:p>
    <w:p w14:paraId="332A3B54" w14:textId="77777777" w:rsidR="00B16F8D" w:rsidRPr="00895819" w:rsidRDefault="006920C3" w:rsidP="00B16F8D">
      <w:pPr>
        <w:pStyle w:val="BodyText"/>
        <w:rPr>
          <w:rFonts w:cs="Times New Roman"/>
          <w:lang w:val="sr-Cyrl-CS"/>
        </w:rPr>
      </w:pPr>
      <w:r w:rsidRPr="00895819">
        <w:rPr>
          <w:rFonts w:cs="Times New Roman"/>
          <w:lang w:val="sr-Cyrl-CS"/>
        </w:rPr>
        <w:t>С поштовањем</w:t>
      </w:r>
      <w:r w:rsidR="00B16F8D" w:rsidRPr="00895819">
        <w:rPr>
          <w:rFonts w:cs="Times New Roman"/>
          <w:lang w:val="sr-Cyrl-CS"/>
        </w:rPr>
        <w:t>,</w:t>
      </w:r>
    </w:p>
    <w:p w14:paraId="7632DAB5" w14:textId="77777777" w:rsidR="00B16F8D" w:rsidRPr="00895819" w:rsidRDefault="00B16F8D" w:rsidP="00B16F8D">
      <w:pPr>
        <w:pStyle w:val="BodyText"/>
        <w:rPr>
          <w:rFonts w:cs="Times New Roman"/>
          <w:lang w:val="sr-Cyrl-CS"/>
        </w:rPr>
      </w:pPr>
    </w:p>
    <w:p w14:paraId="17FD3FC0" w14:textId="77777777" w:rsidR="00B16F8D" w:rsidRPr="00895819" w:rsidRDefault="00B16F8D" w:rsidP="00B16F8D">
      <w:pPr>
        <w:pStyle w:val="BodyText"/>
        <w:tabs>
          <w:tab w:val="right" w:leader="dot" w:pos="3600"/>
        </w:tabs>
        <w:rPr>
          <w:rFonts w:cs="Times New Roman"/>
          <w:lang w:val="sr-Cyrl-CS"/>
        </w:rPr>
      </w:pPr>
      <w:r w:rsidRPr="00895819">
        <w:rPr>
          <w:rFonts w:cs="Times New Roman"/>
          <w:lang w:val="sr-Cyrl-CS"/>
        </w:rPr>
        <w:tab/>
      </w:r>
    </w:p>
    <w:p w14:paraId="6983751A" w14:textId="77777777" w:rsidR="00B16F8D" w:rsidRPr="00895819" w:rsidRDefault="006920C3" w:rsidP="00B16F8D">
      <w:pPr>
        <w:pStyle w:val="BodyText"/>
        <w:rPr>
          <w:rFonts w:cs="Times New Roman"/>
          <w:lang w:val="sr-Cyrl-CS"/>
        </w:rPr>
      </w:pPr>
      <w:r w:rsidRPr="00895819">
        <w:rPr>
          <w:rFonts w:cs="Times New Roman"/>
          <w:lang w:val="sr-Cyrl-CS"/>
        </w:rPr>
        <w:t>Овлашћени потписник Зајмопримца</w:t>
      </w:r>
    </w:p>
    <w:p w14:paraId="733043CE" w14:textId="1F17579C" w:rsidR="00B16F8D" w:rsidRPr="00895819" w:rsidRDefault="002B2C31" w:rsidP="00B16F8D">
      <w:pPr>
        <w:pStyle w:val="Schhead"/>
        <w:outlineLvl w:val="0"/>
        <w:rPr>
          <w:rFonts w:ascii="Times New Roman" w:hAnsi="Times New Roman"/>
          <w:lang w:val="sr-Cyrl-CS"/>
        </w:rPr>
      </w:pPr>
      <w:bookmarkStart w:id="179" w:name="_Toc129873710"/>
      <w:r w:rsidRPr="00895819">
        <w:rPr>
          <w:rFonts w:ascii="Times New Roman" w:hAnsi="Times New Roman"/>
          <w:lang w:val="sr-Cyrl-CS"/>
        </w:rPr>
        <w:lastRenderedPageBreak/>
        <w:t>ПРИЛОГ</w:t>
      </w:r>
      <w:r w:rsidR="00B16F8D" w:rsidRPr="00895819">
        <w:rPr>
          <w:rFonts w:ascii="Times New Roman" w:hAnsi="Times New Roman"/>
          <w:lang w:val="sr-Cyrl-CS"/>
        </w:rPr>
        <w:t xml:space="preserve"> 5</w:t>
      </w:r>
      <w:r w:rsidRPr="00895819">
        <w:rPr>
          <w:rFonts w:ascii="Times New Roman" w:hAnsi="Times New Roman"/>
          <w:lang w:val="sr-Cyrl-CS"/>
        </w:rPr>
        <w:t>Д</w:t>
      </w:r>
      <w:r w:rsidR="00B16F8D" w:rsidRPr="00895819">
        <w:rPr>
          <w:rFonts w:ascii="Times New Roman" w:hAnsi="Times New Roman"/>
          <w:lang w:val="sr-Cyrl-CS"/>
        </w:rPr>
        <w:t xml:space="preserve"> </w:t>
      </w:r>
      <w:r w:rsidRPr="00895819">
        <w:rPr>
          <w:rFonts w:ascii="Times New Roman" w:hAnsi="Times New Roman"/>
          <w:lang w:val="sr-Cyrl-CS"/>
        </w:rPr>
        <w:t>–</w:t>
      </w:r>
      <w:r w:rsidR="00B16F8D" w:rsidRPr="00895819">
        <w:rPr>
          <w:rFonts w:ascii="Times New Roman" w:hAnsi="Times New Roman"/>
          <w:lang w:val="sr-Cyrl-CS"/>
        </w:rPr>
        <w:t xml:space="preserve"> </w:t>
      </w:r>
      <w:bookmarkEnd w:id="179"/>
      <w:r w:rsidR="008E6C24" w:rsidRPr="00895819">
        <w:rPr>
          <w:rFonts w:ascii="Times New Roman" w:hAnsi="Times New Roman"/>
          <w:lang w:val="sr-Cyrl-CS"/>
        </w:rPr>
        <w:t>ОБРАЗАЦ ПОТВРДE За КОНВЕРЗИЈУ СТОПЕ</w:t>
      </w:r>
    </w:p>
    <w:p w14:paraId="1DA61C1E" w14:textId="77777777" w:rsidR="00B16F8D" w:rsidRPr="00895819" w:rsidRDefault="00B16F8D" w:rsidP="00B16F8D">
      <w:pPr>
        <w:pStyle w:val="BodyText"/>
        <w:jc w:val="center"/>
        <w:rPr>
          <w:rFonts w:cs="Times New Roman"/>
          <w:lang w:val="sr-Cyrl-CS"/>
        </w:rPr>
      </w:pPr>
      <w:r w:rsidRPr="00895819">
        <w:rPr>
          <w:rFonts w:cs="Times New Roman"/>
          <w:i/>
          <w:lang w:val="sr-Cyrl-CS"/>
        </w:rPr>
        <w:t>[</w:t>
      </w:r>
      <w:r w:rsidR="002B2C31" w:rsidRPr="00895819">
        <w:rPr>
          <w:rFonts w:cs="Times New Roman"/>
          <w:i/>
          <w:lang w:val="sr-Cyrl-CS"/>
        </w:rPr>
        <w:t>на меморандуму Француске агенције за развој</w:t>
      </w:r>
      <w:r w:rsidRPr="00895819">
        <w:rPr>
          <w:rFonts w:cs="Times New Roman"/>
          <w:i/>
          <w:lang w:val="sr-Cyrl-CS"/>
        </w:rPr>
        <w:t>]</w:t>
      </w:r>
    </w:p>
    <w:p w14:paraId="08915C21" w14:textId="67B557DD" w:rsidR="005255B2" w:rsidRPr="00895819" w:rsidRDefault="005255B2" w:rsidP="005255B2">
      <w:pPr>
        <w:tabs>
          <w:tab w:val="left" w:pos="720"/>
        </w:tabs>
        <w:spacing w:after="240"/>
        <w:rPr>
          <w:rFonts w:cs="Arial"/>
          <w:bCs/>
          <w:lang w:val="sr-Cyrl-CS"/>
        </w:rPr>
      </w:pPr>
      <w:r w:rsidRPr="00895819">
        <w:rPr>
          <w:rFonts w:cs="Arial"/>
          <w:bCs/>
          <w:lang w:val="sr-Cyrl-CS"/>
        </w:rPr>
        <w:t>За:</w:t>
      </w:r>
      <w:r w:rsidRPr="00895819">
        <w:rPr>
          <w:rFonts w:cs="Arial"/>
          <w:bCs/>
          <w:lang w:val="sr-Cyrl-CS"/>
        </w:rPr>
        <w:tab/>
        <w:t>[</w:t>
      </w:r>
      <w:r w:rsidRPr="00895819">
        <w:rPr>
          <w:rFonts w:cs="Arial"/>
          <w:bCs/>
          <w:i/>
          <w:lang w:val="sr-Cyrl-CS"/>
        </w:rPr>
        <w:t>Зајмоприм</w:t>
      </w:r>
      <w:r w:rsidR="00E36C45" w:rsidRPr="00895819">
        <w:rPr>
          <w:rFonts w:cs="Arial"/>
          <w:bCs/>
          <w:i/>
          <w:lang w:val="sr-Cyrl-CS"/>
        </w:rPr>
        <w:t>а</w:t>
      </w:r>
      <w:r w:rsidRPr="00895819">
        <w:rPr>
          <w:rFonts w:cs="Arial"/>
          <w:bCs/>
          <w:i/>
          <w:lang w:val="sr-Cyrl-CS"/>
        </w:rPr>
        <w:t>ц</w:t>
      </w:r>
      <w:r w:rsidRPr="00895819">
        <w:rPr>
          <w:rFonts w:cs="Arial"/>
          <w:bCs/>
          <w:lang w:val="sr-Cyrl-CS"/>
        </w:rPr>
        <w:t>]</w:t>
      </w:r>
      <w:r w:rsidRPr="00895819">
        <w:rPr>
          <w:rFonts w:cs="Arial"/>
          <w:bCs/>
          <w:i/>
          <w:lang w:val="sr-Cyrl-CS"/>
        </w:rPr>
        <w:t xml:space="preserve"> </w:t>
      </w:r>
    </w:p>
    <w:p w14:paraId="4B881E6D" w14:textId="77777777" w:rsidR="005255B2" w:rsidRPr="00895819" w:rsidRDefault="005255B2" w:rsidP="005255B2">
      <w:pPr>
        <w:tabs>
          <w:tab w:val="left" w:pos="720"/>
        </w:tabs>
        <w:spacing w:after="240"/>
        <w:rPr>
          <w:rFonts w:cs="Arial"/>
          <w:bCs/>
          <w:lang w:val="sr-Cyrl-CS"/>
        </w:rPr>
      </w:pPr>
      <w:r w:rsidRPr="00895819">
        <w:rPr>
          <w:rFonts w:cs="Arial"/>
          <w:bCs/>
          <w:lang w:val="sr-Cyrl-CS"/>
        </w:rPr>
        <w:t xml:space="preserve">Датум: </w:t>
      </w:r>
      <w:r w:rsidRPr="00895819">
        <w:rPr>
          <w:rFonts w:cs="Arial"/>
          <w:bCs/>
          <w:lang w:val="sr-Cyrl-CS"/>
        </w:rPr>
        <w:tab/>
        <w:t>[●]</w:t>
      </w:r>
    </w:p>
    <w:p w14:paraId="40041D87" w14:textId="77777777" w:rsidR="005255B2" w:rsidRPr="00895819" w:rsidRDefault="005255B2" w:rsidP="005255B2">
      <w:pPr>
        <w:tabs>
          <w:tab w:val="left" w:pos="720"/>
        </w:tabs>
        <w:spacing w:after="240"/>
        <w:rPr>
          <w:rFonts w:cs="Arial"/>
          <w:bCs/>
          <w:lang w:val="sr-Cyrl-CS"/>
        </w:rPr>
      </w:pPr>
      <w:r w:rsidRPr="00895819">
        <w:rPr>
          <w:rFonts w:cs="Arial"/>
          <w:bCs/>
          <w:lang w:val="sr-Cyrl-CS"/>
        </w:rPr>
        <w:t>У вези са: Захтевом за конверзију стопе бр. [●] од [●]</w:t>
      </w:r>
    </w:p>
    <w:p w14:paraId="78EDAD64" w14:textId="77777777" w:rsidR="005255B2" w:rsidRPr="00895819" w:rsidRDefault="005255B2" w:rsidP="005255B2">
      <w:pPr>
        <w:tabs>
          <w:tab w:val="left" w:pos="720"/>
        </w:tabs>
        <w:spacing w:after="240"/>
        <w:rPr>
          <w:rFonts w:cs="Arial"/>
          <w:bCs/>
          <w:lang w:val="sr-Cyrl-CS"/>
        </w:rPr>
      </w:pPr>
      <w:r w:rsidRPr="00895819">
        <w:rPr>
          <w:rFonts w:cs="Arial"/>
          <w:b/>
          <w:bCs/>
          <w:lang w:val="sr-Cyrl-CS"/>
        </w:rPr>
        <w:t>Име Зајмопримца – Уговор о кредиту бр. [●] од [●]</w:t>
      </w:r>
    </w:p>
    <w:p w14:paraId="5121BE01" w14:textId="77777777" w:rsidR="005255B2" w:rsidRPr="00895819" w:rsidRDefault="005255B2" w:rsidP="005255B2">
      <w:pPr>
        <w:tabs>
          <w:tab w:val="left" w:pos="720"/>
        </w:tabs>
        <w:spacing w:after="240"/>
        <w:rPr>
          <w:rFonts w:cs="Arial"/>
          <w:bCs/>
          <w:lang w:val="sr-Cyrl-CS"/>
        </w:rPr>
      </w:pPr>
      <w:r w:rsidRPr="00895819">
        <w:rPr>
          <w:rFonts w:cs="Arial"/>
          <w:b/>
          <w:bCs/>
          <w:lang w:val="sr-Cyrl-CS"/>
        </w:rPr>
        <w:t>Потврда конверзије стопе бр. [●]</w:t>
      </w:r>
    </w:p>
    <w:p w14:paraId="1682FCC4" w14:textId="77777777" w:rsidR="00B16F8D" w:rsidRPr="00895819" w:rsidRDefault="005255B2" w:rsidP="005255B2">
      <w:pPr>
        <w:pStyle w:val="BodyText"/>
        <w:rPr>
          <w:rFonts w:cs="Times New Roman"/>
          <w:lang w:val="sr-Cyrl-CS"/>
        </w:rPr>
      </w:pPr>
      <w:r w:rsidRPr="00895819">
        <w:rPr>
          <w:bCs w:val="0"/>
          <w:lang w:val="sr-Cyrl-CS"/>
        </w:rPr>
        <w:t>Поштовани</w:t>
      </w:r>
      <w:r w:rsidR="00B16F8D" w:rsidRPr="00895819">
        <w:rPr>
          <w:rFonts w:cs="Times New Roman"/>
          <w:lang w:val="sr-Cyrl-CS"/>
        </w:rPr>
        <w:t>,</w:t>
      </w:r>
    </w:p>
    <w:p w14:paraId="3A279ADC" w14:textId="77777777" w:rsidR="005255B2" w:rsidRPr="00895819" w:rsidRDefault="005255B2" w:rsidP="005255B2">
      <w:pPr>
        <w:pStyle w:val="BodyText"/>
        <w:rPr>
          <w:lang w:val="sr-Cyrl-CS"/>
        </w:rPr>
      </w:pPr>
      <w:r w:rsidRPr="00895819">
        <w:rPr>
          <w:b/>
          <w:u w:val="single"/>
          <w:lang w:val="sr-Cyrl-CS"/>
        </w:rPr>
        <w:t>ПРЕДМЕТ</w:t>
      </w:r>
      <w:r w:rsidRPr="00895819">
        <w:rPr>
          <w:b/>
          <w:lang w:val="sr-Cyrl-CS"/>
        </w:rPr>
        <w:t xml:space="preserve">: </w:t>
      </w:r>
      <w:r w:rsidRPr="00895819">
        <w:rPr>
          <w:lang w:val="sr-Cyrl-CS"/>
        </w:rPr>
        <w:t xml:space="preserve">Конверзија </w:t>
      </w:r>
      <w:r w:rsidR="0076166C" w:rsidRPr="00895819">
        <w:rPr>
          <w:lang w:val="sr-Cyrl-CS"/>
        </w:rPr>
        <w:t>променљиве</w:t>
      </w:r>
      <w:r w:rsidRPr="00895819">
        <w:rPr>
          <w:lang w:val="sr-Cyrl-CS"/>
        </w:rPr>
        <w:t xml:space="preserve"> Каматне стопе у фиксну Каматну стопу</w:t>
      </w:r>
    </w:p>
    <w:p w14:paraId="1C6CB17B" w14:textId="439C5BB8" w:rsidR="00B16F8D" w:rsidRPr="00895819" w:rsidRDefault="005255B2" w:rsidP="00B16F8D">
      <w:pPr>
        <w:pStyle w:val="ListArabic1"/>
        <w:numPr>
          <w:ilvl w:val="0"/>
          <w:numId w:val="50"/>
        </w:numPr>
        <w:rPr>
          <w:lang w:val="sr-Cyrl-CS"/>
        </w:rPr>
      </w:pPr>
      <w:r w:rsidRPr="00895819">
        <w:rPr>
          <w:lang w:val="sr-Cyrl-CS"/>
        </w:rPr>
        <w:t>Позивамо се на Уговор о кредиту бр. [●] склопљен између Зајмопримца и Зајмодавца од [●] („</w:t>
      </w:r>
      <w:r w:rsidRPr="00895819">
        <w:rPr>
          <w:b/>
          <w:lang w:val="sr-Cyrl-CS"/>
        </w:rPr>
        <w:t>Уговор</w:t>
      </w:r>
      <w:r w:rsidR="007C25D7" w:rsidRPr="00895819">
        <w:rPr>
          <w:lang w:val="sr-Cyrl-CS"/>
        </w:rPr>
        <w:t>”</w:t>
      </w:r>
      <w:r w:rsidRPr="00895819">
        <w:rPr>
          <w:lang w:val="sr-Cyrl-CS"/>
        </w:rPr>
        <w:t>). Речи и термини писани великим словима који нису дефинисани овде, имају значење дато им у Уговору</w:t>
      </w:r>
      <w:r w:rsidR="00B16F8D" w:rsidRPr="00895819">
        <w:rPr>
          <w:lang w:val="sr-Cyrl-CS"/>
        </w:rPr>
        <w:t>.</w:t>
      </w:r>
    </w:p>
    <w:p w14:paraId="10E18112" w14:textId="466D22AF" w:rsidR="00B16F8D" w:rsidRPr="00895819" w:rsidRDefault="005255B2" w:rsidP="004758A9">
      <w:pPr>
        <w:pStyle w:val="ListArabic1"/>
        <w:rPr>
          <w:lang w:val="sr-Cyrl-CS"/>
        </w:rPr>
      </w:pPr>
      <w:r w:rsidRPr="00895819">
        <w:rPr>
          <w:lang w:val="sr-Cyrl-CS"/>
        </w:rPr>
        <w:t>Такође се позивамо на Захтев за конверзију стопе од [●]. Потврђујемо да фиксна Каматна стопа примењива на Повлачење/Повлачења средстава наведена у вашем Захтеву за конверзију стопе достављеном у складу са чланом 4.1.3 (i) (</w:t>
      </w:r>
      <w:r w:rsidRPr="00895819">
        <w:rPr>
          <w:i/>
          <w:lang w:val="sr-Cyrl-CS"/>
        </w:rPr>
        <w:t xml:space="preserve">Конверзија </w:t>
      </w:r>
      <w:r w:rsidR="0076166C" w:rsidRPr="00895819">
        <w:rPr>
          <w:i/>
          <w:lang w:val="sr-Cyrl-CS"/>
        </w:rPr>
        <w:t>променљиве</w:t>
      </w:r>
      <w:r w:rsidRPr="00895819">
        <w:rPr>
          <w:i/>
          <w:lang w:val="sr-Cyrl-CS"/>
        </w:rPr>
        <w:t xml:space="preserve"> Каматне стопе у фиксну Каматну стопу</w:t>
      </w:r>
      <w:r w:rsidRPr="00895819">
        <w:rPr>
          <w:lang w:val="sr-Cyrl-CS"/>
        </w:rPr>
        <w:t xml:space="preserve">) овог </w:t>
      </w:r>
      <w:r w:rsidR="0039269A" w:rsidRPr="00895819">
        <w:rPr>
          <w:lang w:val="sr-Cyrl-CS"/>
        </w:rPr>
        <w:t>у</w:t>
      </w:r>
      <w:r w:rsidRPr="00895819">
        <w:rPr>
          <w:lang w:val="sr-Cyrl-CS"/>
        </w:rPr>
        <w:t>говора је</w:t>
      </w:r>
      <w:r w:rsidR="00B16F8D" w:rsidRPr="00895819">
        <w:rPr>
          <w:lang w:val="sr-Cyrl-CS"/>
        </w:rPr>
        <w:t xml:space="preserve">: </w:t>
      </w:r>
    </w:p>
    <w:p w14:paraId="36214AA9" w14:textId="77777777" w:rsidR="00B16F8D" w:rsidRPr="00895819" w:rsidRDefault="00B16F8D" w:rsidP="00B16F8D">
      <w:pPr>
        <w:pStyle w:val="Bullet2"/>
        <w:tabs>
          <w:tab w:val="clear" w:pos="0"/>
          <w:tab w:val="num" w:pos="706"/>
        </w:tabs>
        <w:ind w:left="1426"/>
        <w:rPr>
          <w:lang w:val="sr-Cyrl-CS"/>
        </w:rPr>
      </w:pPr>
      <w:r w:rsidRPr="00895819">
        <w:rPr>
          <w:lang w:val="sr-Cyrl-CS"/>
        </w:rPr>
        <w:t xml:space="preserve">[●]% </w:t>
      </w:r>
      <w:r w:rsidR="005255B2" w:rsidRPr="00895819">
        <w:rPr>
          <w:lang w:val="sr-Cyrl-CS"/>
        </w:rPr>
        <w:t>годишње</w:t>
      </w:r>
      <w:r w:rsidRPr="00895819">
        <w:rPr>
          <w:lang w:val="sr-Cyrl-CS"/>
        </w:rPr>
        <w:t>.</w:t>
      </w:r>
    </w:p>
    <w:p w14:paraId="3639F4EF" w14:textId="77777777" w:rsidR="00B16F8D" w:rsidRPr="00895819" w:rsidRDefault="007C1DCF" w:rsidP="004758A9">
      <w:pPr>
        <w:pStyle w:val="ListArabic1"/>
        <w:rPr>
          <w:lang w:val="sr-Cyrl-CS"/>
        </w:rPr>
      </w:pPr>
      <w:r w:rsidRPr="00895819">
        <w:rPr>
          <w:lang w:val="sr-Cyrl-CS"/>
        </w:rPr>
        <w:t>Ова фиксна Каматна стопа, обрачуната у складу са чланом 4.1.1 (</w:t>
      </w:r>
      <w:r w:rsidRPr="00895819">
        <w:rPr>
          <w:i/>
          <w:lang w:val="sr-Cyrl-CS"/>
        </w:rPr>
        <w:t>Одабир каматне стопе</w:t>
      </w:r>
      <w:r w:rsidRPr="00895819">
        <w:rPr>
          <w:lang w:val="sr-Cyrl-CS"/>
        </w:rPr>
        <w:t>) биће примењена на Повлачење/Повлачења средстава наведена у вашем Захтеву за конверзију стопе од [</w:t>
      </w:r>
      <w:r w:rsidRPr="00895819">
        <w:rPr>
          <w:lang w:val="sr-Cyrl-CS"/>
        </w:rPr>
        <w:sym w:font="Wingdings" w:char="F06C"/>
      </w:r>
      <w:r w:rsidRPr="00895819">
        <w:rPr>
          <w:lang w:val="sr-Cyrl-CS"/>
        </w:rPr>
        <w:t>] (датум ступања на снагу</w:t>
      </w:r>
      <w:r w:rsidR="00B16F8D" w:rsidRPr="00895819">
        <w:rPr>
          <w:lang w:val="sr-Cyrl-CS"/>
        </w:rPr>
        <w:t>).</w:t>
      </w:r>
    </w:p>
    <w:p w14:paraId="68764FDC" w14:textId="77777777" w:rsidR="00B16F8D" w:rsidRPr="00895819" w:rsidRDefault="007C1DCF" w:rsidP="00B16F8D">
      <w:pPr>
        <w:pStyle w:val="ListArabic1"/>
        <w:rPr>
          <w:lang w:val="sr-Cyrl-CS"/>
        </w:rPr>
      </w:pPr>
      <w:r w:rsidRPr="00895819">
        <w:rPr>
          <w:lang w:val="sr-Cyrl-CS"/>
        </w:rPr>
        <w:t xml:space="preserve">Поред тога, обавештавамо вас да ефективна глобална стопа на годишњем нивоу примењива на Кредит износи </w:t>
      </w:r>
      <w:r w:rsidR="00B16F8D" w:rsidRPr="00895819">
        <w:rPr>
          <w:lang w:val="sr-Cyrl-CS"/>
        </w:rPr>
        <w:t>[</w:t>
      </w:r>
      <w:r w:rsidR="00B16F8D" w:rsidRPr="00895819">
        <w:rPr>
          <w:rFonts w:ascii="Wingdings" w:hAnsi="Wingdings"/>
          <w:lang w:val="sr-Cyrl-CS"/>
        </w:rPr>
        <w:sym w:font="Wingdings" w:char="F06C"/>
      </w:r>
      <w:r w:rsidR="00B16F8D" w:rsidRPr="00895819">
        <w:rPr>
          <w:lang w:val="sr-Cyrl-CS"/>
        </w:rPr>
        <w:t>]%.</w:t>
      </w:r>
    </w:p>
    <w:p w14:paraId="1DE29F5D" w14:textId="77777777" w:rsidR="00B16F8D" w:rsidRPr="00895819" w:rsidRDefault="007C1DCF" w:rsidP="00B16F8D">
      <w:pPr>
        <w:pStyle w:val="BodyText"/>
        <w:rPr>
          <w:rFonts w:cs="Times New Roman"/>
          <w:lang w:val="sr-Cyrl-CS"/>
        </w:rPr>
      </w:pPr>
      <w:r w:rsidRPr="00895819">
        <w:rPr>
          <w:rFonts w:cs="Times New Roman"/>
          <w:lang w:val="sr-Cyrl-CS"/>
        </w:rPr>
        <w:t>С поштовањем</w:t>
      </w:r>
      <w:r w:rsidR="00B16F8D" w:rsidRPr="00895819">
        <w:rPr>
          <w:rFonts w:cs="Times New Roman"/>
          <w:lang w:val="sr-Cyrl-CS"/>
        </w:rPr>
        <w:t>,</w:t>
      </w:r>
    </w:p>
    <w:p w14:paraId="1A08709B" w14:textId="77777777" w:rsidR="00B16F8D" w:rsidRPr="00895819" w:rsidRDefault="00B16F8D" w:rsidP="00B16F8D">
      <w:pPr>
        <w:pStyle w:val="BodyText"/>
        <w:rPr>
          <w:rFonts w:cs="Times New Roman"/>
          <w:lang w:val="sr-Cyrl-CS"/>
        </w:rPr>
      </w:pPr>
    </w:p>
    <w:p w14:paraId="50D4982A" w14:textId="77777777" w:rsidR="00B16F8D" w:rsidRPr="00895819" w:rsidRDefault="00B16F8D" w:rsidP="00B16F8D">
      <w:pPr>
        <w:pStyle w:val="BodyText"/>
        <w:tabs>
          <w:tab w:val="right" w:leader="dot" w:pos="3600"/>
        </w:tabs>
        <w:rPr>
          <w:rFonts w:cs="Times New Roman"/>
          <w:lang w:val="sr-Cyrl-CS"/>
        </w:rPr>
      </w:pPr>
      <w:r w:rsidRPr="00895819">
        <w:rPr>
          <w:rFonts w:cs="Times New Roman"/>
          <w:lang w:val="sr-Cyrl-CS"/>
        </w:rPr>
        <w:tab/>
      </w:r>
    </w:p>
    <w:p w14:paraId="06DE6365" w14:textId="77777777" w:rsidR="00B16F8D" w:rsidRPr="00895819" w:rsidRDefault="007C1DCF" w:rsidP="00B16F8D">
      <w:pPr>
        <w:pStyle w:val="BodyText"/>
        <w:rPr>
          <w:rFonts w:cs="Times New Roman"/>
          <w:i/>
          <w:lang w:val="sr-Cyrl-CS"/>
        </w:rPr>
      </w:pPr>
      <w:r w:rsidRPr="00895819">
        <w:rPr>
          <w:bCs w:val="0"/>
          <w:lang w:val="sr-Cyrl-CS"/>
        </w:rPr>
        <w:t xml:space="preserve">Овлашћени потписник </w:t>
      </w:r>
      <w:r w:rsidRPr="00895819">
        <w:rPr>
          <w:bCs w:val="0"/>
          <w:i/>
          <w:iCs/>
          <w:lang w:val="sr-Cyrl-CS"/>
        </w:rPr>
        <w:t>Француске агенције за развој</w:t>
      </w:r>
    </w:p>
    <w:p w14:paraId="1C97CEE5" w14:textId="1C3CEDE9" w:rsidR="00B16F8D" w:rsidRPr="00895819" w:rsidRDefault="00D76A05" w:rsidP="00B16F8D">
      <w:pPr>
        <w:pStyle w:val="Schhead"/>
        <w:outlineLvl w:val="0"/>
        <w:rPr>
          <w:rFonts w:ascii="Times New Roman" w:hAnsi="Times New Roman"/>
          <w:lang w:val="sr-Cyrl-CS"/>
        </w:rPr>
      </w:pPr>
      <w:bookmarkStart w:id="180" w:name="_Toc129873711"/>
      <w:r w:rsidRPr="00895819">
        <w:rPr>
          <w:rFonts w:ascii="Times New Roman" w:hAnsi="Times New Roman"/>
          <w:lang w:val="sr-Cyrl-CS"/>
        </w:rPr>
        <w:lastRenderedPageBreak/>
        <w:t>ПРИЛОГ</w:t>
      </w:r>
      <w:r w:rsidR="00B16F8D" w:rsidRPr="00895819">
        <w:rPr>
          <w:rFonts w:ascii="Times New Roman" w:hAnsi="Times New Roman"/>
          <w:lang w:val="sr-Cyrl-CS"/>
        </w:rPr>
        <w:t xml:space="preserve"> 6 - </w:t>
      </w:r>
      <w:bookmarkEnd w:id="180"/>
      <w:r w:rsidRPr="00895819">
        <w:rPr>
          <w:rFonts w:ascii="Times New Roman" w:hAnsi="Times New Roman"/>
          <w:lang w:val="sr-Cyrl-CS"/>
        </w:rPr>
        <w:t>ИНФОРМАЦИЈЕ КОЈЕ СЕ МОГУ ОБЈАВИТИ НА ИНТЕРНЕТ СТРАНИЦИ ВЛАДЕ ФРАНЦУСКЕ И ИНТЕРНЕТ СТРАНИЦИ ЗАЈМО</w:t>
      </w:r>
      <w:r w:rsidR="00B108B7" w:rsidRPr="00895819">
        <w:rPr>
          <w:rFonts w:ascii="Times New Roman" w:hAnsi="Times New Roman"/>
          <w:lang w:val="sr-Cyrl-CS"/>
        </w:rPr>
        <w:t>ДАВЦА</w:t>
      </w:r>
    </w:p>
    <w:p w14:paraId="06E8D952" w14:textId="77777777" w:rsidR="00B16F8D" w:rsidRPr="00895819" w:rsidRDefault="00D76A05" w:rsidP="00B16F8D">
      <w:pPr>
        <w:pStyle w:val="ListParagraph"/>
        <w:numPr>
          <w:ilvl w:val="0"/>
          <w:numId w:val="25"/>
        </w:numPr>
        <w:spacing w:before="200" w:line="260" w:lineRule="atLeast"/>
        <w:ind w:left="567" w:hanging="567"/>
        <w:rPr>
          <w:lang w:val="sr-Cyrl-CS"/>
        </w:rPr>
      </w:pPr>
      <w:r w:rsidRPr="00895819">
        <w:rPr>
          <w:lang w:val="sr-Cyrl-CS"/>
        </w:rPr>
        <w:t xml:space="preserve">Информације о Операцији </w:t>
      </w:r>
    </w:p>
    <w:p w14:paraId="2DE5E61F" w14:textId="77777777" w:rsidR="00B16F8D" w:rsidRPr="00895819" w:rsidRDefault="00D76A05" w:rsidP="00B16F8D">
      <w:pPr>
        <w:pStyle w:val="ListParagraph"/>
        <w:numPr>
          <w:ilvl w:val="0"/>
          <w:numId w:val="26"/>
        </w:numPr>
        <w:spacing w:before="200" w:line="260" w:lineRule="atLeast"/>
        <w:ind w:left="1134" w:hanging="567"/>
        <w:rPr>
          <w:lang w:val="sr-Cyrl-CS"/>
        </w:rPr>
      </w:pPr>
      <w:r w:rsidRPr="00895819">
        <w:rPr>
          <w:lang w:val="sr-Cyrl-CS"/>
        </w:rPr>
        <w:t>број и назив из евиденције АФД</w:t>
      </w:r>
      <w:r w:rsidR="00B16F8D" w:rsidRPr="00895819">
        <w:rPr>
          <w:lang w:val="sr-Cyrl-CS"/>
        </w:rPr>
        <w:t>;</w:t>
      </w:r>
    </w:p>
    <w:p w14:paraId="67BA0A1A" w14:textId="77777777" w:rsidR="00B16F8D" w:rsidRPr="00895819" w:rsidRDefault="00D76A05" w:rsidP="00B16F8D">
      <w:pPr>
        <w:pStyle w:val="ListParagraph"/>
        <w:numPr>
          <w:ilvl w:val="0"/>
          <w:numId w:val="26"/>
        </w:numPr>
        <w:spacing w:before="200" w:line="260" w:lineRule="atLeast"/>
        <w:ind w:left="1134" w:hanging="567"/>
        <w:rPr>
          <w:lang w:val="sr-Cyrl-CS"/>
        </w:rPr>
      </w:pPr>
      <w:r w:rsidRPr="00895819">
        <w:rPr>
          <w:lang w:val="sr-Cyrl-CS"/>
        </w:rPr>
        <w:t>опис</w:t>
      </w:r>
      <w:r w:rsidR="00B16F8D" w:rsidRPr="00895819">
        <w:rPr>
          <w:lang w:val="sr-Cyrl-CS"/>
        </w:rPr>
        <w:t>;</w:t>
      </w:r>
    </w:p>
    <w:p w14:paraId="6722754A" w14:textId="77777777" w:rsidR="00B16F8D" w:rsidRPr="00895819" w:rsidRDefault="00D76A05" w:rsidP="00B16F8D">
      <w:pPr>
        <w:pStyle w:val="ListParagraph"/>
        <w:numPr>
          <w:ilvl w:val="0"/>
          <w:numId w:val="26"/>
        </w:numPr>
        <w:spacing w:before="200" w:line="260" w:lineRule="atLeast"/>
        <w:ind w:left="1134" w:hanging="567"/>
        <w:rPr>
          <w:lang w:val="sr-Cyrl-CS"/>
        </w:rPr>
      </w:pPr>
      <w:r w:rsidRPr="00895819">
        <w:rPr>
          <w:lang w:val="sr-Cyrl-CS"/>
        </w:rPr>
        <w:t>сектор делатности</w:t>
      </w:r>
      <w:r w:rsidR="00B16F8D" w:rsidRPr="00895819">
        <w:rPr>
          <w:lang w:val="sr-Cyrl-CS"/>
        </w:rPr>
        <w:t>;</w:t>
      </w:r>
    </w:p>
    <w:p w14:paraId="2FFA7CAA" w14:textId="77777777" w:rsidR="00B16F8D" w:rsidRPr="00895819" w:rsidRDefault="00D76A05" w:rsidP="00B16F8D">
      <w:pPr>
        <w:pStyle w:val="ListParagraph"/>
        <w:numPr>
          <w:ilvl w:val="0"/>
          <w:numId w:val="26"/>
        </w:numPr>
        <w:spacing w:before="200" w:line="260" w:lineRule="atLeast"/>
        <w:ind w:left="1134" w:hanging="567"/>
        <w:rPr>
          <w:lang w:val="sr-Cyrl-CS"/>
        </w:rPr>
      </w:pPr>
      <w:r w:rsidRPr="00895819">
        <w:rPr>
          <w:lang w:val="sr-Cyrl-CS"/>
        </w:rPr>
        <w:t>место реализације</w:t>
      </w:r>
      <w:r w:rsidR="00B16F8D" w:rsidRPr="00895819">
        <w:rPr>
          <w:lang w:val="sr-Cyrl-CS"/>
        </w:rPr>
        <w:t>;</w:t>
      </w:r>
    </w:p>
    <w:p w14:paraId="378D4500" w14:textId="77777777" w:rsidR="00B16F8D" w:rsidRPr="00895819" w:rsidRDefault="00D76A05" w:rsidP="00B16F8D">
      <w:pPr>
        <w:pStyle w:val="ListParagraph"/>
        <w:numPr>
          <w:ilvl w:val="0"/>
          <w:numId w:val="26"/>
        </w:numPr>
        <w:spacing w:before="200" w:line="260" w:lineRule="atLeast"/>
        <w:ind w:left="1134" w:hanging="567"/>
        <w:rPr>
          <w:lang w:val="sr-Cyrl-CS"/>
        </w:rPr>
      </w:pPr>
      <w:r w:rsidRPr="00895819">
        <w:rPr>
          <w:lang w:val="sr-Cyrl-CS"/>
        </w:rPr>
        <w:t>очекивани датум почетка</w:t>
      </w:r>
      <w:r w:rsidR="00B16F8D" w:rsidRPr="00895819">
        <w:rPr>
          <w:lang w:val="sr-Cyrl-CS"/>
        </w:rPr>
        <w:t>;</w:t>
      </w:r>
    </w:p>
    <w:p w14:paraId="419CD02A" w14:textId="77777777" w:rsidR="00B16F8D" w:rsidRPr="00895819" w:rsidRDefault="00D76A05" w:rsidP="00B16F8D">
      <w:pPr>
        <w:pStyle w:val="ListParagraph"/>
        <w:numPr>
          <w:ilvl w:val="0"/>
          <w:numId w:val="26"/>
        </w:numPr>
        <w:spacing w:before="200" w:line="260" w:lineRule="atLeast"/>
        <w:ind w:left="1134" w:hanging="567"/>
        <w:rPr>
          <w:lang w:val="sr-Cyrl-CS"/>
        </w:rPr>
      </w:pPr>
      <w:r w:rsidRPr="00895819">
        <w:rPr>
          <w:lang w:val="sr-Cyrl-CS"/>
        </w:rPr>
        <w:t>очекивани датум техничког завршетка</w:t>
      </w:r>
      <w:r w:rsidR="00B16F8D" w:rsidRPr="00895819">
        <w:rPr>
          <w:lang w:val="sr-Cyrl-CS"/>
        </w:rPr>
        <w:t>;</w:t>
      </w:r>
    </w:p>
    <w:p w14:paraId="37EAB9D1" w14:textId="77777777" w:rsidR="00B16F8D" w:rsidRPr="00895819" w:rsidRDefault="00D76A05" w:rsidP="00B16F8D">
      <w:pPr>
        <w:pStyle w:val="ListParagraph"/>
        <w:numPr>
          <w:ilvl w:val="0"/>
          <w:numId w:val="26"/>
        </w:numPr>
        <w:spacing w:before="200" w:line="260" w:lineRule="atLeast"/>
        <w:ind w:left="1134" w:hanging="567"/>
        <w:rPr>
          <w:lang w:val="sr-Cyrl-CS"/>
        </w:rPr>
      </w:pPr>
      <w:r w:rsidRPr="00895819">
        <w:rPr>
          <w:lang w:val="sr-Cyrl-CS"/>
        </w:rPr>
        <w:t>статус реализације ажуриран два пута годишње</w:t>
      </w:r>
      <w:r w:rsidR="00B16F8D" w:rsidRPr="00895819">
        <w:rPr>
          <w:lang w:val="sr-Cyrl-CS"/>
        </w:rPr>
        <w:t>;</w:t>
      </w:r>
    </w:p>
    <w:p w14:paraId="42E7699B" w14:textId="77777777" w:rsidR="00B16F8D" w:rsidRPr="00895819" w:rsidRDefault="00D76A05" w:rsidP="00B16F8D">
      <w:pPr>
        <w:pStyle w:val="ListParagraph"/>
        <w:numPr>
          <w:ilvl w:val="0"/>
          <w:numId w:val="25"/>
        </w:numPr>
        <w:spacing w:before="200" w:line="260" w:lineRule="atLeast"/>
        <w:ind w:left="567" w:hanging="567"/>
        <w:rPr>
          <w:lang w:val="sr-Cyrl-CS"/>
        </w:rPr>
      </w:pPr>
      <w:r w:rsidRPr="00895819">
        <w:rPr>
          <w:lang w:val="sr-Cyrl-CS"/>
        </w:rPr>
        <w:t>Информације о финансирању Операције</w:t>
      </w:r>
    </w:p>
    <w:p w14:paraId="42CB419D" w14:textId="77777777" w:rsidR="00B16F8D" w:rsidRPr="00895819" w:rsidRDefault="00D76A05" w:rsidP="00B16F8D">
      <w:pPr>
        <w:pStyle w:val="ListParagraph"/>
        <w:numPr>
          <w:ilvl w:val="0"/>
          <w:numId w:val="26"/>
        </w:numPr>
        <w:spacing w:before="200" w:line="260" w:lineRule="atLeast"/>
        <w:ind w:left="1134" w:hanging="567"/>
        <w:rPr>
          <w:lang w:val="sr-Cyrl-CS"/>
        </w:rPr>
      </w:pPr>
      <w:r w:rsidRPr="00895819">
        <w:rPr>
          <w:lang w:val="sr-Cyrl-CS"/>
        </w:rPr>
        <w:t>врста финансирања (зајам, донација, суфинансирање, делегирана средства</w:t>
      </w:r>
      <w:r w:rsidR="00B16F8D" w:rsidRPr="00895819">
        <w:rPr>
          <w:lang w:val="sr-Cyrl-CS"/>
        </w:rPr>
        <w:t>);</w:t>
      </w:r>
    </w:p>
    <w:p w14:paraId="60E250A3" w14:textId="77777777" w:rsidR="00AB5F4E" w:rsidRPr="00895819" w:rsidRDefault="00E47317" w:rsidP="00AB5F4E">
      <w:pPr>
        <w:pStyle w:val="ListParagraph"/>
        <w:numPr>
          <w:ilvl w:val="0"/>
          <w:numId w:val="26"/>
        </w:numPr>
        <w:spacing w:before="200" w:line="260" w:lineRule="atLeast"/>
        <w:ind w:left="1134" w:hanging="567"/>
        <w:rPr>
          <w:lang w:val="sr-Cyrl-CS"/>
        </w:rPr>
      </w:pPr>
      <w:r w:rsidRPr="00895819">
        <w:rPr>
          <w:lang w:val="sr-Cyrl-CS"/>
        </w:rPr>
        <w:t>износ главнице Кредита</w:t>
      </w:r>
      <w:r w:rsidR="00B16F8D" w:rsidRPr="00895819">
        <w:rPr>
          <w:lang w:val="sr-Cyrl-CS"/>
        </w:rPr>
        <w:t>;</w:t>
      </w:r>
    </w:p>
    <w:p w14:paraId="5F04375A" w14:textId="3C4FEA75" w:rsidR="00B16F8D" w:rsidRPr="00895819" w:rsidRDefault="00E47317" w:rsidP="00AB5F4E">
      <w:pPr>
        <w:pStyle w:val="ListParagraph"/>
        <w:numPr>
          <w:ilvl w:val="0"/>
          <w:numId w:val="26"/>
        </w:numPr>
        <w:spacing w:before="200" w:line="260" w:lineRule="atLeast"/>
        <w:ind w:left="1134" w:hanging="567"/>
        <w:rPr>
          <w:lang w:val="sr-Cyrl-CS"/>
        </w:rPr>
      </w:pPr>
      <w:r w:rsidRPr="00895819">
        <w:rPr>
          <w:lang w:val="sr-Cyrl-CS"/>
        </w:rPr>
        <w:t>износ неопредељене кредитне линије који је повучен (ажуриран у току реализације Операције</w:t>
      </w:r>
      <w:r w:rsidR="00B16F8D" w:rsidRPr="00895819">
        <w:rPr>
          <w:lang w:val="sr-Cyrl-CS"/>
        </w:rPr>
        <w:t>);</w:t>
      </w:r>
    </w:p>
    <w:p w14:paraId="3FCC7041" w14:textId="77777777" w:rsidR="00B16F8D" w:rsidRPr="00895819" w:rsidRDefault="00E47317" w:rsidP="00B16F8D">
      <w:pPr>
        <w:pStyle w:val="ListParagraph"/>
        <w:numPr>
          <w:ilvl w:val="0"/>
          <w:numId w:val="25"/>
        </w:numPr>
        <w:spacing w:before="200" w:line="260" w:lineRule="atLeast"/>
        <w:ind w:left="567" w:hanging="567"/>
        <w:rPr>
          <w:lang w:val="sr-Cyrl-CS"/>
        </w:rPr>
      </w:pPr>
      <w:r w:rsidRPr="00895819">
        <w:rPr>
          <w:lang w:val="sr-Cyrl-CS"/>
        </w:rPr>
        <w:t>Остале информације</w:t>
      </w:r>
    </w:p>
    <w:p w14:paraId="20FB516C" w14:textId="31B75741" w:rsidR="00B16F8D" w:rsidRPr="00895819" w:rsidRDefault="00E47317" w:rsidP="00B16F8D">
      <w:pPr>
        <w:pStyle w:val="ListParagraph"/>
        <w:numPr>
          <w:ilvl w:val="0"/>
          <w:numId w:val="26"/>
        </w:numPr>
        <w:spacing w:before="200" w:line="260" w:lineRule="atLeast"/>
        <w:ind w:left="709" w:hanging="142"/>
        <w:rPr>
          <w:lang w:val="sr-Cyrl-CS"/>
        </w:rPr>
      </w:pPr>
      <w:r w:rsidRPr="00895819">
        <w:rPr>
          <w:lang w:val="sr-Cyrl-CS"/>
        </w:rPr>
        <w:t>обавештење са информацијама о трансакцији и/или кратак опис трансак</w:t>
      </w:r>
      <w:r w:rsidR="00F84CA2">
        <w:rPr>
          <w:lang w:val="sr-Cyrl-CS"/>
        </w:rPr>
        <w:t>ције који је саставни део овог п</w:t>
      </w:r>
      <w:r w:rsidRPr="00895819">
        <w:rPr>
          <w:lang w:val="sr-Cyrl-CS"/>
        </w:rPr>
        <w:t>рилога</w:t>
      </w:r>
      <w:r w:rsidR="00B16F8D" w:rsidRPr="00895819">
        <w:rPr>
          <w:lang w:val="sr-Cyrl-CS"/>
        </w:rPr>
        <w:t xml:space="preserve">. </w:t>
      </w:r>
    </w:p>
    <w:p w14:paraId="646F4D9C" w14:textId="77777777" w:rsidR="00B16F8D" w:rsidRPr="00895819" w:rsidRDefault="00B16F8D" w:rsidP="00B16F8D">
      <w:pPr>
        <w:pStyle w:val="Schhead"/>
        <w:pageBreakBefore w:val="0"/>
        <w:rPr>
          <w:rFonts w:ascii="Times New Roman" w:hAnsi="Times New Roman"/>
          <w:lang w:val="sr-Cyrl-CS"/>
        </w:rPr>
      </w:pPr>
      <w:r w:rsidRPr="00895819">
        <w:rPr>
          <w:rFonts w:ascii="Times New Roman" w:hAnsi="Times New Roman"/>
          <w:lang w:val="sr-Cyrl-CS"/>
        </w:rPr>
        <w:br w:type="page"/>
      </w:r>
    </w:p>
    <w:p w14:paraId="1D014E6A" w14:textId="77777777" w:rsidR="00B16F8D" w:rsidRPr="00895819" w:rsidRDefault="00E47317" w:rsidP="00B16F8D">
      <w:pPr>
        <w:pStyle w:val="Schhead"/>
        <w:pageBreakBefore w:val="0"/>
        <w:outlineLvl w:val="0"/>
        <w:rPr>
          <w:rFonts w:ascii="Times New Roman" w:hAnsi="Times New Roman"/>
          <w:lang w:val="sr-Cyrl-CS"/>
        </w:rPr>
      </w:pPr>
      <w:bookmarkStart w:id="181" w:name="_Toc129873712"/>
      <w:r w:rsidRPr="00895819">
        <w:rPr>
          <w:rFonts w:ascii="Times New Roman" w:hAnsi="Times New Roman"/>
          <w:lang w:val="sr-Cyrl-CS"/>
        </w:rPr>
        <w:lastRenderedPageBreak/>
        <w:t>ПРИЛОГ</w:t>
      </w:r>
      <w:r w:rsidR="00B16F8D" w:rsidRPr="00895819">
        <w:rPr>
          <w:rFonts w:ascii="Times New Roman" w:hAnsi="Times New Roman"/>
          <w:lang w:val="sr-Cyrl-CS"/>
        </w:rPr>
        <w:t xml:space="preserve"> 7 - </w:t>
      </w:r>
      <w:r w:rsidRPr="00895819">
        <w:rPr>
          <w:rFonts w:ascii="Times New Roman" w:hAnsi="Times New Roman"/>
          <w:iCs/>
          <w:lang w:val="sr-Cyrl-CS"/>
        </w:rPr>
        <w:t xml:space="preserve">Нетаксативни списак документације о животнОЈ срединИ И СОЦИЈАЛНИМ ПИТАЊИМА </w:t>
      </w:r>
      <w:bookmarkEnd w:id="181"/>
      <w:r w:rsidRPr="00895819">
        <w:rPr>
          <w:rFonts w:ascii="Times New Roman" w:hAnsi="Times New Roman"/>
          <w:iCs/>
          <w:lang w:val="sr-Cyrl-CS"/>
        </w:rPr>
        <w:t>чије објављивање Зајмопримац допушта у складу са ПРАВИЛНИКОМ о Жалбеном механизму у погледу животне средине и СОЦИЈАЛНИ</w:t>
      </w:r>
      <w:r w:rsidR="008E2382" w:rsidRPr="00895819">
        <w:rPr>
          <w:rFonts w:ascii="Times New Roman" w:hAnsi="Times New Roman"/>
          <w:iCs/>
          <w:lang w:val="sr-Cyrl-CS"/>
        </w:rPr>
        <w:t>х</w:t>
      </w:r>
      <w:r w:rsidRPr="00895819">
        <w:rPr>
          <w:rFonts w:ascii="Times New Roman" w:hAnsi="Times New Roman"/>
          <w:iCs/>
          <w:lang w:val="sr-Cyrl-CS"/>
        </w:rPr>
        <w:t xml:space="preserve"> ПИТАЊА</w:t>
      </w:r>
    </w:p>
    <w:p w14:paraId="5629EBD5" w14:textId="77777777" w:rsidR="00B16F8D" w:rsidRPr="00895819" w:rsidRDefault="00B16F8D" w:rsidP="00B16F8D">
      <w:pPr>
        <w:spacing w:after="240"/>
        <w:ind w:left="1571"/>
        <w:contextualSpacing/>
        <w:rPr>
          <w:szCs w:val="22"/>
          <w:lang w:val="sr-Cyrl-CS"/>
        </w:rPr>
      </w:pPr>
    </w:p>
    <w:p w14:paraId="2149347B" w14:textId="77777777" w:rsidR="00B16F8D" w:rsidRPr="00895819" w:rsidRDefault="00B16F8D" w:rsidP="00B16F8D">
      <w:pPr>
        <w:spacing w:after="240"/>
        <w:ind w:left="348"/>
        <w:contextualSpacing/>
        <w:rPr>
          <w:szCs w:val="22"/>
          <w:lang w:val="sr-Cyrl-CS"/>
        </w:rPr>
      </w:pPr>
    </w:p>
    <w:p w14:paraId="106F0DF5" w14:textId="77777777" w:rsidR="00B16F8D" w:rsidRPr="00895819" w:rsidRDefault="000C2FCD" w:rsidP="00B16F8D">
      <w:pPr>
        <w:numPr>
          <w:ilvl w:val="0"/>
          <w:numId w:val="26"/>
        </w:numPr>
        <w:spacing w:before="120" w:after="240"/>
        <w:contextualSpacing/>
        <w:jc w:val="left"/>
        <w:rPr>
          <w:szCs w:val="22"/>
          <w:lang w:val="sr-Cyrl-CS"/>
        </w:rPr>
      </w:pPr>
      <w:r w:rsidRPr="00895819">
        <w:rPr>
          <w:szCs w:val="22"/>
          <w:lang w:val="sr-Cyrl-CS"/>
        </w:rPr>
        <w:t>Прелиминарни извештај о животној средини и социјалним питањима</w:t>
      </w:r>
    </w:p>
    <w:p w14:paraId="0F77171F" w14:textId="77777777" w:rsidR="00B16F8D" w:rsidRPr="00895819" w:rsidRDefault="00A71DB1" w:rsidP="00B16F8D">
      <w:pPr>
        <w:numPr>
          <w:ilvl w:val="0"/>
          <w:numId w:val="26"/>
        </w:numPr>
        <w:spacing w:before="120" w:after="240"/>
        <w:contextualSpacing/>
        <w:jc w:val="left"/>
        <w:rPr>
          <w:szCs w:val="22"/>
          <w:lang w:val="sr-Cyrl-CS"/>
        </w:rPr>
      </w:pPr>
      <w:r w:rsidRPr="00895819">
        <w:rPr>
          <w:szCs w:val="22"/>
          <w:lang w:val="sr-Cyrl-CS"/>
        </w:rPr>
        <w:t>Процена утицаја на животну средину и социјална питања</w:t>
      </w:r>
      <w:r w:rsidR="00B16F8D" w:rsidRPr="00895819">
        <w:rPr>
          <w:szCs w:val="22"/>
          <w:lang w:val="sr-Cyrl-CS"/>
        </w:rPr>
        <w:t xml:space="preserve"> (</w:t>
      </w:r>
      <w:r w:rsidRPr="00895819">
        <w:rPr>
          <w:szCs w:val="22"/>
          <w:lang w:val="sr-Cyrl-CS"/>
        </w:rPr>
        <w:t>ЕСИА</w:t>
      </w:r>
      <w:r w:rsidR="00B16F8D" w:rsidRPr="00895819">
        <w:rPr>
          <w:szCs w:val="22"/>
          <w:lang w:val="sr-Cyrl-CS"/>
        </w:rPr>
        <w:t>)</w:t>
      </w:r>
    </w:p>
    <w:p w14:paraId="66BEACB1" w14:textId="77777777" w:rsidR="00B16F8D" w:rsidRPr="00895819" w:rsidRDefault="00A71DB1" w:rsidP="00B16F8D">
      <w:pPr>
        <w:numPr>
          <w:ilvl w:val="0"/>
          <w:numId w:val="26"/>
        </w:numPr>
        <w:spacing w:before="120" w:after="240"/>
        <w:contextualSpacing/>
        <w:jc w:val="left"/>
        <w:rPr>
          <w:szCs w:val="22"/>
          <w:lang w:val="sr-Cyrl-CS"/>
        </w:rPr>
      </w:pPr>
      <w:r w:rsidRPr="00895819">
        <w:rPr>
          <w:szCs w:val="22"/>
          <w:lang w:val="sr-Cyrl-CS"/>
        </w:rPr>
        <w:t>План управљања животном средином и социјалним питањима</w:t>
      </w:r>
      <w:r w:rsidR="00B16F8D" w:rsidRPr="00895819">
        <w:rPr>
          <w:szCs w:val="22"/>
          <w:lang w:val="sr-Cyrl-CS"/>
        </w:rPr>
        <w:t xml:space="preserve"> (</w:t>
      </w:r>
      <w:r w:rsidRPr="00895819">
        <w:rPr>
          <w:szCs w:val="22"/>
          <w:lang w:val="sr-Cyrl-CS"/>
        </w:rPr>
        <w:t>ЕСМП</w:t>
      </w:r>
      <w:r w:rsidR="00B16F8D" w:rsidRPr="00895819">
        <w:rPr>
          <w:szCs w:val="22"/>
          <w:lang w:val="sr-Cyrl-CS"/>
        </w:rPr>
        <w:t>)</w:t>
      </w:r>
    </w:p>
    <w:p w14:paraId="3BF3F77D" w14:textId="77777777" w:rsidR="00B16F8D" w:rsidRPr="00895819" w:rsidRDefault="00A71DB1" w:rsidP="00B16F8D">
      <w:pPr>
        <w:numPr>
          <w:ilvl w:val="0"/>
          <w:numId w:val="26"/>
        </w:numPr>
        <w:spacing w:before="120" w:after="240"/>
        <w:contextualSpacing/>
        <w:jc w:val="left"/>
        <w:rPr>
          <w:szCs w:val="22"/>
          <w:lang w:val="sr-Cyrl-CS"/>
        </w:rPr>
      </w:pPr>
      <w:r w:rsidRPr="00895819">
        <w:rPr>
          <w:szCs w:val="22"/>
          <w:lang w:val="sr-Cyrl-CS"/>
        </w:rPr>
        <w:t xml:space="preserve">Оквир управљања животном средином и социјалним питањима </w:t>
      </w:r>
      <w:r w:rsidR="00B16F8D" w:rsidRPr="00895819">
        <w:rPr>
          <w:szCs w:val="22"/>
          <w:lang w:val="sr-Cyrl-CS"/>
        </w:rPr>
        <w:t>(</w:t>
      </w:r>
      <w:r w:rsidRPr="00895819">
        <w:rPr>
          <w:szCs w:val="22"/>
          <w:lang w:val="sr-Cyrl-CS"/>
        </w:rPr>
        <w:t>ЕСМФ</w:t>
      </w:r>
      <w:r w:rsidR="00B16F8D" w:rsidRPr="00895819">
        <w:rPr>
          <w:szCs w:val="22"/>
          <w:lang w:val="sr-Cyrl-CS"/>
        </w:rPr>
        <w:t>)</w:t>
      </w:r>
    </w:p>
    <w:p w14:paraId="196A538C" w14:textId="77777777" w:rsidR="00B16F8D" w:rsidRPr="00895819" w:rsidRDefault="00A71DB1" w:rsidP="00B16F8D">
      <w:pPr>
        <w:numPr>
          <w:ilvl w:val="0"/>
          <w:numId w:val="26"/>
        </w:numPr>
        <w:spacing w:before="120" w:after="240"/>
        <w:contextualSpacing/>
        <w:jc w:val="left"/>
        <w:rPr>
          <w:szCs w:val="22"/>
          <w:lang w:val="sr-Cyrl-CS"/>
        </w:rPr>
      </w:pPr>
      <w:r w:rsidRPr="00895819">
        <w:rPr>
          <w:szCs w:val="22"/>
          <w:lang w:val="sr-Cyrl-CS"/>
        </w:rPr>
        <w:t>План ангажовања у области животне средине и социјалних питања</w:t>
      </w:r>
      <w:r w:rsidR="00B16F8D" w:rsidRPr="00895819">
        <w:rPr>
          <w:szCs w:val="22"/>
          <w:lang w:val="sr-Cyrl-CS"/>
        </w:rPr>
        <w:t xml:space="preserve"> (</w:t>
      </w:r>
      <w:r w:rsidRPr="00895819">
        <w:rPr>
          <w:szCs w:val="22"/>
          <w:lang w:val="sr-Cyrl-CS"/>
        </w:rPr>
        <w:t>ЕСЕП</w:t>
      </w:r>
      <w:r w:rsidR="00B16F8D" w:rsidRPr="00895819">
        <w:rPr>
          <w:szCs w:val="22"/>
          <w:lang w:val="sr-Cyrl-CS"/>
        </w:rPr>
        <w:t>)</w:t>
      </w:r>
    </w:p>
    <w:p w14:paraId="1F13F33C" w14:textId="77777777" w:rsidR="00B16F8D" w:rsidRPr="00895819" w:rsidRDefault="00A71DB1" w:rsidP="00B16F8D">
      <w:pPr>
        <w:numPr>
          <w:ilvl w:val="0"/>
          <w:numId w:val="26"/>
        </w:numPr>
        <w:spacing w:before="120" w:after="240"/>
        <w:contextualSpacing/>
        <w:jc w:val="left"/>
        <w:rPr>
          <w:szCs w:val="22"/>
          <w:lang w:val="sr-Cyrl-CS"/>
        </w:rPr>
      </w:pPr>
      <w:r w:rsidRPr="00895819">
        <w:rPr>
          <w:szCs w:val="22"/>
          <w:lang w:val="sr-Cyrl-CS"/>
        </w:rPr>
        <w:t>Оквир расхода</w:t>
      </w:r>
      <w:r w:rsidR="00924CFD" w:rsidRPr="00895819">
        <w:rPr>
          <w:szCs w:val="22"/>
          <w:lang w:val="sr-Cyrl-CS"/>
        </w:rPr>
        <w:t xml:space="preserve"> (</w:t>
      </w:r>
      <w:r w:rsidRPr="00895819">
        <w:rPr>
          <w:szCs w:val="22"/>
          <w:lang w:val="sr-Cyrl-CS"/>
        </w:rPr>
        <w:t>Прилог</w:t>
      </w:r>
      <w:r w:rsidR="00B16F8D" w:rsidRPr="00895819">
        <w:rPr>
          <w:szCs w:val="22"/>
          <w:lang w:val="sr-Cyrl-CS"/>
        </w:rPr>
        <w:t xml:space="preserve"> 3</w:t>
      </w:r>
      <w:r w:rsidRPr="00895819">
        <w:rPr>
          <w:szCs w:val="22"/>
          <w:lang w:val="sr-Cyrl-CS"/>
        </w:rPr>
        <w:t>Б</w:t>
      </w:r>
      <w:r w:rsidR="00B16F8D" w:rsidRPr="00895819">
        <w:rPr>
          <w:szCs w:val="22"/>
          <w:lang w:val="sr-Cyrl-CS"/>
        </w:rPr>
        <w:t>)</w:t>
      </w:r>
    </w:p>
    <w:p w14:paraId="5B670250" w14:textId="77777777" w:rsidR="00B16F8D" w:rsidRPr="00895819" w:rsidRDefault="00A71DB1" w:rsidP="00B16F8D">
      <w:pPr>
        <w:numPr>
          <w:ilvl w:val="0"/>
          <w:numId w:val="26"/>
        </w:numPr>
        <w:spacing w:before="120" w:after="240"/>
        <w:contextualSpacing/>
        <w:jc w:val="left"/>
        <w:rPr>
          <w:szCs w:val="22"/>
          <w:lang w:val="sr-Cyrl-CS"/>
        </w:rPr>
      </w:pPr>
      <w:r w:rsidRPr="00895819">
        <w:rPr>
          <w:szCs w:val="22"/>
          <w:lang w:val="sr-Cyrl-CS"/>
        </w:rPr>
        <w:t>Оквир резултата</w:t>
      </w:r>
      <w:r w:rsidR="00924CFD" w:rsidRPr="00895819">
        <w:rPr>
          <w:szCs w:val="22"/>
          <w:lang w:val="sr-Cyrl-CS"/>
        </w:rPr>
        <w:t xml:space="preserve"> (</w:t>
      </w:r>
      <w:r w:rsidRPr="00895819">
        <w:rPr>
          <w:szCs w:val="22"/>
          <w:lang w:val="sr-Cyrl-CS"/>
        </w:rPr>
        <w:t>Прилог</w:t>
      </w:r>
      <w:r w:rsidR="00B16F8D" w:rsidRPr="00895819">
        <w:rPr>
          <w:szCs w:val="22"/>
          <w:lang w:val="sr-Cyrl-CS"/>
        </w:rPr>
        <w:t xml:space="preserve"> 3</w:t>
      </w:r>
      <w:r w:rsidR="006519C1" w:rsidRPr="00895819">
        <w:rPr>
          <w:szCs w:val="22"/>
          <w:lang w:val="sr-Cyrl-CS"/>
        </w:rPr>
        <w:t>Ц</w:t>
      </w:r>
      <w:r w:rsidR="00B16F8D" w:rsidRPr="00895819">
        <w:rPr>
          <w:szCs w:val="22"/>
          <w:lang w:val="sr-Cyrl-CS"/>
        </w:rPr>
        <w:t>)</w:t>
      </w:r>
    </w:p>
    <w:p w14:paraId="19D095C6" w14:textId="77777777" w:rsidR="00B16F8D" w:rsidRPr="00895819" w:rsidRDefault="006519C1" w:rsidP="00B16F8D">
      <w:pPr>
        <w:numPr>
          <w:ilvl w:val="0"/>
          <w:numId w:val="26"/>
        </w:numPr>
        <w:spacing w:before="120" w:after="240"/>
        <w:contextualSpacing/>
        <w:jc w:val="left"/>
        <w:rPr>
          <w:szCs w:val="22"/>
          <w:lang w:val="sr-Cyrl-CS"/>
        </w:rPr>
      </w:pPr>
      <w:r w:rsidRPr="00895819">
        <w:rPr>
          <w:szCs w:val="22"/>
          <w:lang w:val="sr-Cyrl-CS"/>
        </w:rPr>
        <w:t>Скраћена процена</w:t>
      </w:r>
      <w:r w:rsidR="006449C7" w:rsidRPr="00895819">
        <w:rPr>
          <w:szCs w:val="22"/>
          <w:lang w:val="sr-Cyrl-CS"/>
        </w:rPr>
        <w:t xml:space="preserve"> </w:t>
      </w:r>
      <w:r w:rsidRPr="00895819">
        <w:rPr>
          <w:szCs w:val="22"/>
          <w:lang w:val="sr-Cyrl-CS"/>
        </w:rPr>
        <w:t>животне средине и социјалних питања</w:t>
      </w:r>
    </w:p>
    <w:p w14:paraId="720E972E" w14:textId="77777777" w:rsidR="00B16F8D" w:rsidRPr="00895819" w:rsidRDefault="006519C1" w:rsidP="00B16F8D">
      <w:pPr>
        <w:numPr>
          <w:ilvl w:val="0"/>
          <w:numId w:val="26"/>
        </w:numPr>
        <w:spacing w:before="120" w:after="240"/>
        <w:contextualSpacing/>
        <w:jc w:val="left"/>
        <w:rPr>
          <w:szCs w:val="22"/>
          <w:lang w:val="sr-Cyrl-CS"/>
        </w:rPr>
      </w:pPr>
      <w:r w:rsidRPr="00895819">
        <w:rPr>
          <w:szCs w:val="22"/>
          <w:lang w:val="sr-Cyrl-CS"/>
        </w:rPr>
        <w:t>Скраћени акциони план у области животне средине и социјалних питања</w:t>
      </w:r>
    </w:p>
    <w:p w14:paraId="34CAC024" w14:textId="77777777" w:rsidR="00B16F8D" w:rsidRPr="00895819" w:rsidRDefault="006519C1" w:rsidP="00B16F8D">
      <w:pPr>
        <w:numPr>
          <w:ilvl w:val="0"/>
          <w:numId w:val="26"/>
        </w:numPr>
        <w:spacing w:before="120" w:after="240"/>
        <w:contextualSpacing/>
        <w:jc w:val="left"/>
        <w:rPr>
          <w:szCs w:val="22"/>
          <w:lang w:val="sr-Cyrl-CS"/>
        </w:rPr>
      </w:pPr>
      <w:r w:rsidRPr="00895819">
        <w:rPr>
          <w:szCs w:val="22"/>
          <w:lang w:val="sr-Cyrl-CS"/>
        </w:rPr>
        <w:t xml:space="preserve">Поглавља из Студије изводљивости </w:t>
      </w:r>
      <w:r w:rsidR="006449C7" w:rsidRPr="00895819">
        <w:rPr>
          <w:szCs w:val="22"/>
          <w:lang w:val="sr-Cyrl-CS"/>
        </w:rPr>
        <w:t>о</w:t>
      </w:r>
      <w:r w:rsidRPr="00895819">
        <w:rPr>
          <w:szCs w:val="22"/>
          <w:lang w:val="sr-Cyrl-CS"/>
        </w:rPr>
        <w:t xml:space="preserve"> животн</w:t>
      </w:r>
      <w:r w:rsidR="006449C7" w:rsidRPr="00895819">
        <w:rPr>
          <w:szCs w:val="22"/>
          <w:lang w:val="sr-Cyrl-CS"/>
        </w:rPr>
        <w:t>ој</w:t>
      </w:r>
      <w:r w:rsidRPr="00895819">
        <w:rPr>
          <w:szCs w:val="22"/>
          <w:lang w:val="sr-Cyrl-CS"/>
        </w:rPr>
        <w:t xml:space="preserve"> средин</w:t>
      </w:r>
      <w:r w:rsidR="006449C7" w:rsidRPr="00895819">
        <w:rPr>
          <w:szCs w:val="22"/>
          <w:lang w:val="sr-Cyrl-CS"/>
        </w:rPr>
        <w:t>и</w:t>
      </w:r>
      <w:r w:rsidRPr="00895819">
        <w:rPr>
          <w:szCs w:val="22"/>
          <w:lang w:val="sr-Cyrl-CS"/>
        </w:rPr>
        <w:t xml:space="preserve"> и социјални</w:t>
      </w:r>
      <w:r w:rsidR="006449C7" w:rsidRPr="00895819">
        <w:rPr>
          <w:szCs w:val="22"/>
          <w:lang w:val="sr-Cyrl-CS"/>
        </w:rPr>
        <w:t>м</w:t>
      </w:r>
      <w:r w:rsidRPr="00895819">
        <w:rPr>
          <w:szCs w:val="22"/>
          <w:lang w:val="sr-Cyrl-CS"/>
        </w:rPr>
        <w:t xml:space="preserve"> питањ</w:t>
      </w:r>
      <w:r w:rsidR="006449C7" w:rsidRPr="00895819">
        <w:rPr>
          <w:szCs w:val="22"/>
          <w:lang w:val="sr-Cyrl-CS"/>
        </w:rPr>
        <w:t>им</w:t>
      </w:r>
      <w:r w:rsidRPr="00895819">
        <w:rPr>
          <w:szCs w:val="22"/>
          <w:lang w:val="sr-Cyrl-CS"/>
        </w:rPr>
        <w:t>а</w:t>
      </w:r>
      <w:r w:rsidR="00B16F8D" w:rsidRPr="00895819">
        <w:rPr>
          <w:szCs w:val="22"/>
          <w:lang w:val="sr-Cyrl-CS"/>
        </w:rPr>
        <w:t xml:space="preserve"> </w:t>
      </w:r>
    </w:p>
    <w:p w14:paraId="6139E571" w14:textId="77777777" w:rsidR="00B16F8D" w:rsidRPr="00895819" w:rsidRDefault="006519C1" w:rsidP="00B16F8D">
      <w:pPr>
        <w:numPr>
          <w:ilvl w:val="0"/>
          <w:numId w:val="26"/>
        </w:numPr>
        <w:spacing w:before="120" w:after="240"/>
        <w:contextualSpacing/>
        <w:jc w:val="left"/>
        <w:rPr>
          <w:szCs w:val="22"/>
          <w:lang w:val="sr-Cyrl-CS"/>
        </w:rPr>
      </w:pPr>
      <w:r w:rsidRPr="00895819">
        <w:rPr>
          <w:szCs w:val="22"/>
          <w:lang w:val="sr-Cyrl-CS"/>
        </w:rPr>
        <w:t>Поглавља из извештаја о праћењу животне средине и социјалних питања</w:t>
      </w:r>
    </w:p>
    <w:p w14:paraId="0523FB05" w14:textId="77777777" w:rsidR="00B16F8D" w:rsidRPr="00895819" w:rsidRDefault="006519C1" w:rsidP="00B16F8D">
      <w:pPr>
        <w:numPr>
          <w:ilvl w:val="0"/>
          <w:numId w:val="26"/>
        </w:numPr>
        <w:spacing w:before="120" w:after="240"/>
        <w:contextualSpacing/>
        <w:jc w:val="left"/>
        <w:rPr>
          <w:szCs w:val="22"/>
          <w:lang w:val="sr-Cyrl-CS"/>
        </w:rPr>
      </w:pPr>
      <w:r w:rsidRPr="00895819">
        <w:rPr>
          <w:szCs w:val="22"/>
          <w:lang w:val="sr-Cyrl-CS"/>
        </w:rPr>
        <w:t>Извештај о праћењу имплементације ЕСЦП-а.</w:t>
      </w:r>
    </w:p>
    <w:p w14:paraId="50618F8F" w14:textId="77777777" w:rsidR="00B16F8D" w:rsidRPr="00895819" w:rsidRDefault="00B16F8D" w:rsidP="00B16F8D">
      <w:pPr>
        <w:jc w:val="left"/>
        <w:rPr>
          <w:szCs w:val="22"/>
          <w:lang w:val="sr-Cyrl-CS"/>
        </w:rPr>
      </w:pPr>
      <w:r w:rsidRPr="00895819">
        <w:rPr>
          <w:szCs w:val="22"/>
          <w:lang w:val="sr-Cyrl-CS"/>
        </w:rPr>
        <w:br w:type="page"/>
      </w:r>
    </w:p>
    <w:p w14:paraId="49CD4940" w14:textId="77777777" w:rsidR="00B16F8D" w:rsidRPr="00895819" w:rsidRDefault="00274CEC" w:rsidP="00B16F8D">
      <w:pPr>
        <w:pStyle w:val="Schhead"/>
        <w:pageBreakBefore w:val="0"/>
        <w:outlineLvl w:val="0"/>
        <w:rPr>
          <w:rFonts w:ascii="Times New Roman" w:hAnsi="Times New Roman"/>
          <w:lang w:val="sr-Cyrl-CS"/>
        </w:rPr>
      </w:pPr>
      <w:bookmarkStart w:id="182" w:name="_Toc129873713"/>
      <w:r w:rsidRPr="00895819">
        <w:rPr>
          <w:rFonts w:ascii="Times New Roman" w:hAnsi="Times New Roman"/>
          <w:lang w:val="sr-Cyrl-CS"/>
        </w:rPr>
        <w:lastRenderedPageBreak/>
        <w:t xml:space="preserve">ПРИЛОГ </w:t>
      </w:r>
      <w:r w:rsidR="00B16F8D" w:rsidRPr="00895819">
        <w:rPr>
          <w:rFonts w:ascii="Times New Roman" w:hAnsi="Times New Roman"/>
          <w:bCs w:val="0"/>
          <w:caps w:val="0"/>
          <w:lang w:val="sr-Cyrl-CS"/>
        </w:rPr>
        <w:t>8</w:t>
      </w:r>
      <w:r w:rsidR="00B16F8D" w:rsidRPr="00895819">
        <w:rPr>
          <w:rFonts w:ascii="Times New Roman" w:hAnsi="Times New Roman"/>
          <w:lang w:val="sr-Cyrl-CS"/>
        </w:rPr>
        <w:t xml:space="preserve"> – </w:t>
      </w:r>
      <w:bookmarkEnd w:id="182"/>
      <w:r w:rsidRPr="00895819">
        <w:rPr>
          <w:rFonts w:ascii="Times New Roman" w:hAnsi="Times New Roman"/>
          <w:lang w:val="sr-Cyrl-CS"/>
        </w:rPr>
        <w:t>ИЗЈАВА О ИНТЕГРИТЕТУ АФД-</w:t>
      </w:r>
      <w:r w:rsidR="005440FC" w:rsidRPr="00895819">
        <w:rPr>
          <w:rFonts w:ascii="Times New Roman" w:hAnsi="Times New Roman"/>
          <w:lang w:val="sr-Cyrl-CS"/>
        </w:rPr>
        <w:t>а</w:t>
      </w:r>
    </w:p>
    <w:p w14:paraId="637FF018" w14:textId="77777777" w:rsidR="00B16F8D" w:rsidRPr="00895819" w:rsidRDefault="00B16F8D" w:rsidP="00B16F8D">
      <w:pPr>
        <w:rPr>
          <w:lang w:val="sr-Cyrl-CS"/>
        </w:rPr>
      </w:pPr>
    </w:p>
    <w:p w14:paraId="3E2AAC60" w14:textId="77777777" w:rsidR="00B16F8D" w:rsidRPr="00895819" w:rsidRDefault="00B16F8D" w:rsidP="00B16F8D">
      <w:pPr>
        <w:rPr>
          <w:lang w:val="sr-Cyrl-CS"/>
        </w:rPr>
      </w:pPr>
    </w:p>
    <w:p w14:paraId="0623A8AF" w14:textId="77777777" w:rsidR="00B16F8D" w:rsidRPr="00895819" w:rsidRDefault="00274CEC" w:rsidP="00B16F8D">
      <w:pPr>
        <w:rPr>
          <w:rFonts w:cs="Arial"/>
          <w:bCs/>
          <w:szCs w:val="22"/>
          <w:lang w:val="sr-Cyrl-CS"/>
        </w:rPr>
      </w:pPr>
      <w:r w:rsidRPr="00895819">
        <w:rPr>
          <w:rFonts w:cs="Arial"/>
          <w:bCs/>
          <w:szCs w:val="22"/>
          <w:lang w:val="sr-Cyrl-CS"/>
        </w:rPr>
        <w:t>Позив за достављање понуда/Предлози/Уговор бр</w:t>
      </w:r>
      <w:r w:rsidR="00B16F8D" w:rsidRPr="00895819">
        <w:rPr>
          <w:rFonts w:cs="Arial"/>
          <w:bCs/>
          <w:szCs w:val="22"/>
          <w:lang w:val="sr-Cyrl-CS"/>
        </w:rPr>
        <w:t>.__________</w:t>
      </w:r>
    </w:p>
    <w:p w14:paraId="210AF1D5" w14:textId="77777777" w:rsidR="00B16F8D" w:rsidRPr="00895819" w:rsidRDefault="00274CEC" w:rsidP="00B16F8D">
      <w:pPr>
        <w:rPr>
          <w:rFonts w:cs="Arial"/>
          <w:bCs/>
          <w:szCs w:val="22"/>
          <w:lang w:val="sr-Cyrl-CS"/>
        </w:rPr>
      </w:pPr>
      <w:r w:rsidRPr="00895819">
        <w:rPr>
          <w:rFonts w:cs="Arial"/>
          <w:bCs/>
          <w:szCs w:val="22"/>
          <w:lang w:val="sr-Cyrl-CS"/>
        </w:rPr>
        <w:t>За</w:t>
      </w:r>
      <w:r w:rsidR="00B16F8D" w:rsidRPr="00895819">
        <w:rPr>
          <w:rFonts w:cs="Arial"/>
          <w:bCs/>
          <w:szCs w:val="22"/>
          <w:lang w:val="sr-Cyrl-CS"/>
        </w:rPr>
        <w:t>:___________________________</w:t>
      </w:r>
    </w:p>
    <w:p w14:paraId="3BEC2AF5" w14:textId="77777777" w:rsidR="00B16F8D" w:rsidRPr="00895819" w:rsidRDefault="00B16F8D" w:rsidP="00B16F8D">
      <w:pPr>
        <w:rPr>
          <w:rFonts w:cs="Arial"/>
          <w:bCs/>
          <w:szCs w:val="22"/>
          <w:lang w:val="sr-Cyrl-CS"/>
        </w:rPr>
      </w:pPr>
    </w:p>
    <w:p w14:paraId="6E38C3C8" w14:textId="77777777" w:rsidR="00B16F8D" w:rsidRPr="00895819" w:rsidRDefault="00274CEC" w:rsidP="00B16F8D">
      <w:pPr>
        <w:rPr>
          <w:rFonts w:cs="Arial"/>
          <w:bCs/>
          <w:szCs w:val="22"/>
          <w:lang w:val="sr-Cyrl-CS"/>
        </w:rPr>
      </w:pPr>
      <w:r w:rsidRPr="00895819">
        <w:rPr>
          <w:rFonts w:cs="Arial"/>
          <w:bCs/>
          <w:szCs w:val="22"/>
          <w:lang w:val="sr-Cyrl-CS"/>
        </w:rPr>
        <w:t>Овим изјављујемо и обавезујемо се да ни ми, нити ико други, нити један члан нашег заједничког улагања нити један од наших добављача, извођача, подизвођача, консултаната, подконсултаната, уколико су ангажовани, а који делују у наше име с одговарајућим овлашћењима или с нашим знањем или допуштењем, се није упуштао, нити ће се упуштати у било које забрањено деловање дефинисано Општом политиком АФД-а о борби против корупције, преваре, нелојалне конкуренције, прања новца и финансирања тероризма [1] (</w:t>
      </w:r>
      <w:r w:rsidR="009D2673" w:rsidRPr="00895819">
        <w:rPr>
          <w:rFonts w:cs="Arial"/>
          <w:bCs/>
          <w:szCs w:val="22"/>
          <w:lang w:val="sr-Cyrl-CS"/>
        </w:rPr>
        <w:t>„</w:t>
      </w:r>
      <w:r w:rsidRPr="00895819">
        <w:rPr>
          <w:rFonts w:cs="Arial"/>
          <w:bCs/>
          <w:szCs w:val="22"/>
          <w:lang w:val="sr-Cyrl-CS"/>
        </w:rPr>
        <w:t>Општа политика АФД-а”) у вези са текућим поступцима набавке и (</w:t>
      </w:r>
      <w:bookmarkStart w:id="183" w:name="_Hlk60598800"/>
      <w:r w:rsidRPr="00895819">
        <w:rPr>
          <w:rFonts w:cs="Arial"/>
          <w:bCs/>
          <w:szCs w:val="22"/>
          <w:lang w:val="sr-Cyrl-CS"/>
        </w:rPr>
        <w:t>у случају доделе уговора</w:t>
      </w:r>
      <w:bookmarkEnd w:id="183"/>
      <w:r w:rsidRPr="00895819">
        <w:rPr>
          <w:rFonts w:cs="Arial"/>
          <w:bCs/>
          <w:szCs w:val="22"/>
          <w:lang w:val="sr-Cyrl-CS"/>
        </w:rPr>
        <w:t>) реализацијом горе наведеног уговора (</w:t>
      </w:r>
      <w:r w:rsidR="009D2673" w:rsidRPr="00895819">
        <w:rPr>
          <w:rFonts w:cs="Arial"/>
          <w:bCs/>
          <w:szCs w:val="22"/>
          <w:lang w:val="sr-Cyrl-CS"/>
        </w:rPr>
        <w:t>„</w:t>
      </w:r>
      <w:r w:rsidRPr="00895819">
        <w:rPr>
          <w:rFonts w:cs="Arial"/>
          <w:bCs/>
          <w:szCs w:val="22"/>
          <w:lang w:val="sr-Cyrl-CS"/>
        </w:rPr>
        <w:t>Уговор”), са изменама и допунама</w:t>
      </w:r>
      <w:r w:rsidR="00B16F8D" w:rsidRPr="00895819">
        <w:rPr>
          <w:rFonts w:cs="Arial"/>
          <w:bCs/>
          <w:szCs w:val="22"/>
          <w:lang w:val="sr-Cyrl-CS"/>
        </w:rPr>
        <w:t xml:space="preserve">. </w:t>
      </w:r>
    </w:p>
    <w:p w14:paraId="12BBB423" w14:textId="77777777" w:rsidR="00B16F8D" w:rsidRPr="00895819" w:rsidRDefault="00B16F8D" w:rsidP="00B16F8D">
      <w:pPr>
        <w:rPr>
          <w:rFonts w:cs="Arial"/>
          <w:bCs/>
          <w:szCs w:val="22"/>
          <w:lang w:val="sr-Cyrl-CS"/>
        </w:rPr>
      </w:pPr>
    </w:p>
    <w:p w14:paraId="45FA6C85" w14:textId="77777777" w:rsidR="00B16F8D" w:rsidRPr="00895819" w:rsidRDefault="00274CEC" w:rsidP="00B16F8D">
      <w:pPr>
        <w:rPr>
          <w:rFonts w:cs="Arial"/>
          <w:bCs/>
          <w:szCs w:val="22"/>
          <w:lang w:val="sr-Cyrl-CS"/>
        </w:rPr>
      </w:pPr>
      <w:r w:rsidRPr="00895819">
        <w:rPr>
          <w:rFonts w:cs="Arial"/>
          <w:bCs/>
          <w:szCs w:val="22"/>
          <w:lang w:val="sr-Cyrl-CS"/>
        </w:rPr>
        <w:t>Сагласни смо да је учешће АФД-а у финансирању Уговора предмет примене Опште политике АФД-а. С обзиром на то, сагласни смо да АФД неће моћи да учествује у финансирању Уговора, уколико ми, чланови нашег заједничког улагања, добављачи, извођачи, подизвођачи, консултанти или подконсултанти буду неподобни као резултат одлуке Савета безбедности Уједињених нација према Поглављу VII Повеље Уједињених Нација или било које од следећих листа (</w:t>
      </w:r>
      <w:bookmarkStart w:id="184" w:name="_Hlk132714536"/>
      <w:r w:rsidRPr="00895819">
        <w:rPr>
          <w:rFonts w:cs="Arial"/>
          <w:bCs/>
          <w:szCs w:val="22"/>
          <w:lang w:val="sr-Cyrl-CS"/>
        </w:rPr>
        <w:t>Листе санкција АФД-а</w:t>
      </w:r>
      <w:r w:rsidR="00B16F8D" w:rsidRPr="00895819">
        <w:rPr>
          <w:rFonts w:cs="Arial"/>
          <w:bCs/>
          <w:szCs w:val="22"/>
          <w:lang w:val="sr-Cyrl-CS"/>
        </w:rPr>
        <w:t>):</w:t>
      </w:r>
    </w:p>
    <w:p w14:paraId="332200EF" w14:textId="77777777" w:rsidR="00B16F8D" w:rsidRPr="00895819" w:rsidRDefault="00B16F8D" w:rsidP="00B16F8D">
      <w:pPr>
        <w:rPr>
          <w:rFonts w:cs="Arial"/>
          <w:bCs/>
          <w:szCs w:val="22"/>
          <w:lang w:val="sr-Cyrl-CS"/>
        </w:rPr>
      </w:pPr>
    </w:p>
    <w:p w14:paraId="3A8AA9C4" w14:textId="05D1A0B0" w:rsidR="00B16F8D" w:rsidRPr="00895819" w:rsidRDefault="00274CEC" w:rsidP="00B16F8D">
      <w:pPr>
        <w:rPr>
          <w:rFonts w:cs="Arial"/>
          <w:bCs/>
          <w:szCs w:val="22"/>
          <w:lang w:val="sr-Cyrl-CS"/>
        </w:rPr>
      </w:pPr>
      <w:r w:rsidRPr="00895819">
        <w:rPr>
          <w:rFonts w:cs="Arial"/>
          <w:bCs/>
          <w:szCs w:val="22"/>
          <w:lang w:val="sr-Cyrl-CS"/>
        </w:rPr>
        <w:t>Листа финансијских санкција ЕУ</w:t>
      </w:r>
      <w:r w:rsidR="00B16F8D" w:rsidRPr="00895819">
        <w:rPr>
          <w:rFonts w:cs="Arial"/>
          <w:bCs/>
          <w:szCs w:val="22"/>
          <w:lang w:val="sr-Cyrl-CS"/>
        </w:rPr>
        <w:tab/>
      </w:r>
      <w:r w:rsidR="00AB5F4E" w:rsidRPr="00895819">
        <w:rPr>
          <w:rFonts w:cs="Arial"/>
          <w:bCs/>
          <w:szCs w:val="22"/>
          <w:lang w:val="sr-Cyrl-CS"/>
        </w:rPr>
        <w:tab/>
      </w:r>
      <w:r w:rsidR="00941AA3" w:rsidRPr="00895819">
        <w:rPr>
          <w:rFonts w:cs="Arial"/>
          <w:bCs/>
          <w:color w:val="0000FF"/>
          <w:szCs w:val="22"/>
          <w:u w:val="single"/>
          <w:lang w:val="sr-Cyrl-CS"/>
        </w:rPr>
        <w:t>https://webgate.ec.europa.eu/fsd/fsf#!/files</w:t>
      </w:r>
      <w:r w:rsidR="00B16F8D" w:rsidRPr="00895819">
        <w:rPr>
          <w:rFonts w:cs="Arial"/>
          <w:bCs/>
          <w:szCs w:val="22"/>
          <w:lang w:val="sr-Cyrl-CS"/>
        </w:rPr>
        <w:t xml:space="preserve">   </w:t>
      </w:r>
    </w:p>
    <w:p w14:paraId="749F8EFB" w14:textId="77777777" w:rsidR="00B16F8D" w:rsidRPr="00895819" w:rsidRDefault="00B16F8D" w:rsidP="00B16F8D">
      <w:pPr>
        <w:rPr>
          <w:rFonts w:cs="Arial"/>
          <w:bCs/>
          <w:szCs w:val="22"/>
          <w:lang w:val="sr-Cyrl-CS"/>
        </w:rPr>
      </w:pPr>
    </w:p>
    <w:p w14:paraId="283D17AA" w14:textId="49CB88DD" w:rsidR="00B16F8D" w:rsidRPr="00895819" w:rsidRDefault="00274CEC" w:rsidP="00B16F8D">
      <w:pPr>
        <w:rPr>
          <w:rFonts w:cs="Arial"/>
          <w:bCs/>
          <w:color w:val="0000FF"/>
          <w:szCs w:val="22"/>
          <w:u w:val="single"/>
          <w:lang w:val="sr-Cyrl-CS"/>
        </w:rPr>
      </w:pPr>
      <w:r w:rsidRPr="00895819">
        <w:rPr>
          <w:rFonts w:cs="Arial"/>
          <w:bCs/>
          <w:szCs w:val="22"/>
          <w:lang w:val="sr-Cyrl-CS"/>
        </w:rPr>
        <w:t>Француска листа финансијских санкција</w:t>
      </w:r>
      <w:r w:rsidR="00B16F8D" w:rsidRPr="00895819">
        <w:rPr>
          <w:rFonts w:cs="Arial"/>
          <w:bCs/>
          <w:szCs w:val="22"/>
          <w:lang w:val="sr-Cyrl-CS"/>
        </w:rPr>
        <w:tab/>
      </w:r>
      <w:hyperlink r:id="rId27" w:history="1">
        <w:r w:rsidR="00AB5F4E" w:rsidRPr="00895819">
          <w:rPr>
            <w:rStyle w:val="Hyperlink"/>
            <w:rFonts w:cs="Arial"/>
            <w:bCs/>
            <w:szCs w:val="22"/>
            <w:lang w:val="sr-Cyrl-CS"/>
          </w:rPr>
          <w:t>https://gels-avoirs.dgtresor.gouv.fr/</w:t>
        </w:r>
      </w:hyperlink>
    </w:p>
    <w:p w14:paraId="002857B3" w14:textId="77777777" w:rsidR="00AB5F4E" w:rsidRPr="00895819" w:rsidRDefault="00AB5F4E" w:rsidP="00B16F8D">
      <w:pPr>
        <w:rPr>
          <w:rFonts w:cs="Arial"/>
          <w:bCs/>
          <w:szCs w:val="22"/>
          <w:lang w:val="sr-Cyrl-CS"/>
        </w:rPr>
      </w:pPr>
    </w:p>
    <w:p w14:paraId="4AC19E90" w14:textId="77777777" w:rsidR="00B16F8D" w:rsidRPr="00895819" w:rsidRDefault="00274CEC" w:rsidP="00B16F8D">
      <w:pPr>
        <w:rPr>
          <w:rFonts w:cs="Arial"/>
          <w:bCs/>
          <w:szCs w:val="22"/>
          <w:lang w:val="sr-Cyrl-CS"/>
        </w:rPr>
      </w:pPr>
      <w:r w:rsidRPr="00895819">
        <w:rPr>
          <w:rFonts w:cs="Arial"/>
          <w:bCs/>
          <w:szCs w:val="22"/>
          <w:lang w:val="sr-Cyrl-CS"/>
        </w:rPr>
        <w:t>Листа комерцијалних санкција ЕУ</w:t>
      </w:r>
      <w:r w:rsidR="00B16F8D" w:rsidRPr="00895819">
        <w:rPr>
          <w:rFonts w:cs="Arial"/>
          <w:bCs/>
          <w:szCs w:val="22"/>
          <w:lang w:val="sr-Cyrl-CS"/>
        </w:rPr>
        <w:tab/>
      </w:r>
      <w:r w:rsidR="00941AA3" w:rsidRPr="00895819">
        <w:rPr>
          <w:rFonts w:cs="Arial"/>
          <w:bCs/>
          <w:color w:val="0000FF"/>
          <w:szCs w:val="22"/>
          <w:u w:val="single"/>
          <w:lang w:val="sr-Cyrl-CS"/>
        </w:rPr>
        <w:t>https://eeas.europa.eu/sites/eeas/files/restrictive_measures-2017-08-04.pdf</w:t>
      </w:r>
      <w:r w:rsidR="00B16F8D" w:rsidRPr="00895819">
        <w:rPr>
          <w:rFonts w:cs="Arial"/>
          <w:bCs/>
          <w:szCs w:val="22"/>
          <w:lang w:val="sr-Cyrl-CS"/>
        </w:rPr>
        <w:t xml:space="preserve">  </w:t>
      </w:r>
      <w:r w:rsidR="00B16F8D" w:rsidRPr="00895819">
        <w:rPr>
          <w:rFonts w:cs="Arial"/>
          <w:bCs/>
          <w:szCs w:val="22"/>
          <w:lang w:val="sr-Cyrl-CS"/>
        </w:rPr>
        <w:cr/>
      </w:r>
    </w:p>
    <w:bookmarkEnd w:id="184"/>
    <w:p w14:paraId="00ECD0EF" w14:textId="77777777" w:rsidR="00B16F8D" w:rsidRPr="00895819" w:rsidRDefault="00B16F8D" w:rsidP="00B16F8D">
      <w:pPr>
        <w:rPr>
          <w:rFonts w:cs="Arial"/>
          <w:bCs/>
          <w:szCs w:val="22"/>
          <w:lang w:val="sr-Cyrl-CS"/>
        </w:rPr>
      </w:pPr>
    </w:p>
    <w:p w14:paraId="18181367" w14:textId="77777777" w:rsidR="00B16F8D" w:rsidRPr="00895819" w:rsidRDefault="00363677" w:rsidP="00B16F8D">
      <w:pPr>
        <w:rPr>
          <w:rFonts w:cs="Arial"/>
          <w:bCs/>
          <w:szCs w:val="22"/>
          <w:lang w:val="sr-Cyrl-CS"/>
        </w:rPr>
      </w:pPr>
      <w:r w:rsidRPr="00895819">
        <w:rPr>
          <w:rFonts w:cs="Arial"/>
          <w:bCs/>
          <w:szCs w:val="22"/>
          <w:lang w:val="sr-Cyrl-CS"/>
        </w:rPr>
        <w:t>Дозволићемо и учинићемо да наши подизвођачи, подконсултанти, агенти, запослени, консултанти, пружаоци услуга или добављачи омогуће АФД-у да изврши преглед свих рачуна, евиденције и свих других докумената који се односе на поступак набавке и/или извршење Уговора (у случају доделе уговора), као и да ревизори које постави АФД изврше њихову ревизију</w:t>
      </w:r>
      <w:r w:rsidR="00B16F8D" w:rsidRPr="00895819">
        <w:rPr>
          <w:rFonts w:cs="Arial"/>
          <w:bCs/>
          <w:szCs w:val="22"/>
          <w:lang w:val="sr-Cyrl-CS"/>
        </w:rPr>
        <w:t>.</w:t>
      </w:r>
    </w:p>
    <w:p w14:paraId="6EAD2132" w14:textId="77777777" w:rsidR="00B16F8D" w:rsidRPr="00895819" w:rsidRDefault="00B16F8D" w:rsidP="00B16F8D">
      <w:pPr>
        <w:rPr>
          <w:rFonts w:cs="Arial"/>
          <w:bCs/>
          <w:szCs w:val="22"/>
          <w:lang w:val="sr-Cyrl-CS"/>
        </w:rPr>
      </w:pPr>
    </w:p>
    <w:p w14:paraId="02DF6B26" w14:textId="77777777" w:rsidR="00B16F8D" w:rsidRPr="00895819" w:rsidRDefault="00363677" w:rsidP="00B16F8D">
      <w:pPr>
        <w:rPr>
          <w:rFonts w:cs="Arial"/>
          <w:bCs/>
          <w:szCs w:val="22"/>
          <w:lang w:val="sr-Cyrl-CS"/>
        </w:rPr>
      </w:pPr>
      <w:r w:rsidRPr="00895819">
        <w:rPr>
          <w:rFonts w:cs="Arial"/>
          <w:bCs/>
          <w:szCs w:val="22"/>
          <w:lang w:val="sr-Cyrl-CS"/>
        </w:rPr>
        <w:t>Сагласни смо да ћемо чувати све рачуне, евиденцију и друга документа (у папиру или у електронском формату) везану за набавку и извршење Уговора</w:t>
      </w:r>
      <w:r w:rsidR="00B16F8D" w:rsidRPr="00895819">
        <w:rPr>
          <w:rFonts w:cs="Arial"/>
          <w:bCs/>
          <w:szCs w:val="22"/>
          <w:lang w:val="sr-Cyrl-CS"/>
        </w:rPr>
        <w:t>.</w:t>
      </w:r>
    </w:p>
    <w:p w14:paraId="501E42EE" w14:textId="77777777" w:rsidR="00B16F8D" w:rsidRPr="00895819" w:rsidRDefault="00B16F8D" w:rsidP="00B16F8D">
      <w:pPr>
        <w:rPr>
          <w:rFonts w:cs="Arial"/>
          <w:bCs/>
          <w:szCs w:val="22"/>
          <w:lang w:val="sr-Cyrl-CS"/>
        </w:rPr>
      </w:pPr>
    </w:p>
    <w:p w14:paraId="33FA9229" w14:textId="77777777" w:rsidR="00B16F8D" w:rsidRPr="00895819" w:rsidRDefault="00363677" w:rsidP="00B16F8D">
      <w:pPr>
        <w:rPr>
          <w:rFonts w:cs="Arial"/>
          <w:bCs/>
          <w:szCs w:val="22"/>
          <w:lang w:val="sr-Cyrl-CS"/>
        </w:rPr>
      </w:pPr>
      <w:r w:rsidRPr="00895819">
        <w:rPr>
          <w:rFonts w:cs="Arial"/>
          <w:bCs/>
          <w:szCs w:val="22"/>
          <w:lang w:val="sr-Cyrl-CS"/>
        </w:rPr>
        <w:t>Име</w:t>
      </w:r>
      <w:r w:rsidR="00B16F8D" w:rsidRPr="00895819">
        <w:rPr>
          <w:rFonts w:cs="Arial"/>
          <w:bCs/>
          <w:szCs w:val="22"/>
          <w:lang w:val="sr-Cyrl-CS"/>
        </w:rPr>
        <w:t xml:space="preserve">: ______________________________       </w:t>
      </w:r>
      <w:r w:rsidRPr="00895819">
        <w:rPr>
          <w:rFonts w:cs="Arial"/>
          <w:bCs/>
          <w:szCs w:val="22"/>
          <w:lang w:val="sr-Cyrl-CS"/>
        </w:rPr>
        <w:t>У својству</w:t>
      </w:r>
      <w:r w:rsidR="00B16F8D" w:rsidRPr="00895819">
        <w:rPr>
          <w:rFonts w:cs="Arial"/>
          <w:bCs/>
          <w:szCs w:val="22"/>
          <w:lang w:val="sr-Cyrl-CS"/>
        </w:rPr>
        <w:t>:</w:t>
      </w:r>
      <w:r w:rsidRPr="00895819">
        <w:rPr>
          <w:rFonts w:cs="Arial"/>
          <w:bCs/>
          <w:szCs w:val="22"/>
          <w:lang w:val="sr-Cyrl-CS"/>
        </w:rPr>
        <w:t>__</w:t>
      </w:r>
      <w:r w:rsidR="00B16F8D" w:rsidRPr="00895819">
        <w:rPr>
          <w:rFonts w:cs="Arial"/>
          <w:bCs/>
          <w:szCs w:val="22"/>
          <w:lang w:val="sr-Cyrl-CS"/>
        </w:rPr>
        <w:t xml:space="preserve">________________________ </w:t>
      </w:r>
    </w:p>
    <w:p w14:paraId="2EC5F661" w14:textId="77777777" w:rsidR="009D2673" w:rsidRPr="00895819" w:rsidRDefault="009D2673" w:rsidP="00B16F8D">
      <w:pPr>
        <w:rPr>
          <w:rFonts w:cs="Arial"/>
          <w:bCs/>
          <w:szCs w:val="22"/>
          <w:lang w:val="sr-Cyrl-CS"/>
        </w:rPr>
      </w:pPr>
    </w:p>
    <w:p w14:paraId="7B89A5A6" w14:textId="77777777" w:rsidR="00B16F8D" w:rsidRPr="00895819" w:rsidRDefault="00363677" w:rsidP="00B16F8D">
      <w:pPr>
        <w:rPr>
          <w:rFonts w:cs="Arial"/>
          <w:bCs/>
          <w:szCs w:val="22"/>
          <w:lang w:val="sr-Cyrl-CS"/>
        </w:rPr>
      </w:pPr>
      <w:r w:rsidRPr="00895819">
        <w:rPr>
          <w:rFonts w:cs="Arial"/>
          <w:bCs/>
          <w:szCs w:val="22"/>
          <w:lang w:val="sr-Cyrl-CS"/>
        </w:rPr>
        <w:t>Прописно овлашћен да потпише у име и за рачун</w:t>
      </w:r>
      <w:r w:rsidR="00B16F8D" w:rsidRPr="00895819">
        <w:rPr>
          <w:rFonts w:cs="Arial"/>
          <w:bCs/>
          <w:szCs w:val="22"/>
          <w:lang w:val="sr-Cyrl-CS"/>
        </w:rPr>
        <w:t xml:space="preserve"> [2]:_________________________________ </w:t>
      </w:r>
    </w:p>
    <w:p w14:paraId="6AA4DD45" w14:textId="77777777" w:rsidR="00B16F8D" w:rsidRPr="00895819" w:rsidRDefault="00B16F8D" w:rsidP="00B16F8D">
      <w:pPr>
        <w:rPr>
          <w:rFonts w:cs="Arial"/>
          <w:bCs/>
          <w:szCs w:val="22"/>
          <w:lang w:val="sr-Cyrl-CS"/>
        </w:rPr>
      </w:pPr>
    </w:p>
    <w:p w14:paraId="51C98598" w14:textId="77777777" w:rsidR="00B16F8D" w:rsidRPr="00895819" w:rsidRDefault="00B16F8D" w:rsidP="00B16F8D">
      <w:pPr>
        <w:rPr>
          <w:rFonts w:cs="Arial"/>
          <w:bCs/>
          <w:szCs w:val="22"/>
          <w:lang w:val="sr-Cyrl-CS"/>
        </w:rPr>
      </w:pPr>
    </w:p>
    <w:p w14:paraId="3B16F6C7" w14:textId="77777777" w:rsidR="00B16F8D" w:rsidRPr="00895819" w:rsidRDefault="00363677" w:rsidP="00B16F8D">
      <w:pPr>
        <w:spacing w:after="240"/>
        <w:rPr>
          <w:rFonts w:cs="Arial"/>
          <w:bCs/>
          <w:szCs w:val="22"/>
          <w:lang w:val="sr-Cyrl-CS"/>
        </w:rPr>
      </w:pPr>
      <w:r w:rsidRPr="00895819">
        <w:rPr>
          <w:rFonts w:cs="Arial"/>
          <w:bCs/>
          <w:szCs w:val="22"/>
          <w:lang w:val="sr-Cyrl-CS"/>
        </w:rPr>
        <w:t>Потпис:</w:t>
      </w:r>
      <w:r w:rsidR="00B16F8D" w:rsidRPr="00895819">
        <w:rPr>
          <w:rFonts w:cs="Arial"/>
          <w:bCs/>
          <w:szCs w:val="22"/>
          <w:lang w:val="sr-Cyrl-CS"/>
        </w:rPr>
        <w:t xml:space="preserve">_____________________                                       </w:t>
      </w:r>
      <w:r w:rsidRPr="00895819">
        <w:rPr>
          <w:rFonts w:cs="Arial"/>
          <w:bCs/>
          <w:szCs w:val="22"/>
          <w:lang w:val="sr-Cyrl-CS"/>
        </w:rPr>
        <w:t>Датум</w:t>
      </w:r>
      <w:r w:rsidR="00B16F8D" w:rsidRPr="00895819">
        <w:rPr>
          <w:rFonts w:cs="Arial"/>
          <w:bCs/>
          <w:szCs w:val="22"/>
          <w:lang w:val="sr-Cyrl-CS"/>
        </w:rPr>
        <w:t>:_____________________</w:t>
      </w:r>
    </w:p>
    <w:p w14:paraId="7B0612F8" w14:textId="77777777" w:rsidR="00B16F8D" w:rsidRPr="00895819" w:rsidRDefault="00B16F8D" w:rsidP="00B16F8D">
      <w:pPr>
        <w:jc w:val="left"/>
        <w:rPr>
          <w:rFonts w:cs="Arial"/>
          <w:bCs/>
          <w:szCs w:val="22"/>
          <w:lang w:val="sr-Cyrl-CS"/>
        </w:rPr>
        <w:sectPr w:rsidR="00B16F8D" w:rsidRPr="00895819" w:rsidSect="00485361">
          <w:pgSz w:w="11906" w:h="16838"/>
          <w:pgMar w:top="1417" w:right="1417" w:bottom="1417" w:left="1417" w:header="708" w:footer="400" w:gutter="0"/>
          <w:cols w:space="708"/>
          <w:formProt w:val="0"/>
          <w:titlePg/>
          <w:docGrid w:linePitch="360"/>
        </w:sectPr>
      </w:pPr>
    </w:p>
    <w:p w14:paraId="3312BCC4" w14:textId="77777777" w:rsidR="00B16F8D" w:rsidRPr="00895819" w:rsidRDefault="00363677" w:rsidP="00B16F8D">
      <w:pPr>
        <w:pStyle w:val="Schhead"/>
        <w:pageBreakBefore w:val="0"/>
        <w:outlineLvl w:val="0"/>
        <w:rPr>
          <w:rFonts w:ascii="Times New Roman" w:hAnsi="Times New Roman"/>
          <w:lang w:val="sr-Cyrl-CS"/>
        </w:rPr>
      </w:pPr>
      <w:bookmarkStart w:id="185" w:name="_Toc129873714"/>
      <w:r w:rsidRPr="00895819">
        <w:rPr>
          <w:rFonts w:ascii="Times New Roman" w:hAnsi="Times New Roman"/>
          <w:lang w:val="sr-Cyrl-CS"/>
        </w:rPr>
        <w:lastRenderedPageBreak/>
        <w:t>ПРИЛОГ</w:t>
      </w:r>
      <w:r w:rsidR="00B16F8D" w:rsidRPr="00895819">
        <w:rPr>
          <w:rFonts w:ascii="Times New Roman" w:hAnsi="Times New Roman"/>
          <w:lang w:val="sr-Cyrl-CS"/>
        </w:rPr>
        <w:t xml:space="preserve"> </w:t>
      </w:r>
      <w:r w:rsidR="00B16F8D" w:rsidRPr="00895819">
        <w:rPr>
          <w:rFonts w:ascii="Times New Roman" w:hAnsi="Times New Roman"/>
          <w:bCs w:val="0"/>
          <w:caps w:val="0"/>
          <w:lang w:val="sr-Cyrl-CS"/>
        </w:rPr>
        <w:t>9</w:t>
      </w:r>
      <w:r w:rsidR="00B16F8D" w:rsidRPr="00895819">
        <w:rPr>
          <w:rFonts w:ascii="Times New Roman" w:hAnsi="Times New Roman"/>
          <w:lang w:val="sr-Cyrl-CS"/>
        </w:rPr>
        <w:t xml:space="preserve"> – </w:t>
      </w:r>
      <w:r w:rsidR="00463ADB" w:rsidRPr="00895819">
        <w:rPr>
          <w:rFonts w:ascii="Times New Roman" w:hAnsi="Times New Roman"/>
          <w:lang w:val="sr-Cyrl-CS"/>
        </w:rPr>
        <w:t>СПИСАК ИСКЉУЧЕЊА</w:t>
      </w:r>
      <w:bookmarkEnd w:id="185"/>
    </w:p>
    <w:p w14:paraId="70E06AAA" w14:textId="77777777" w:rsidR="00B16F8D" w:rsidRPr="00895819" w:rsidRDefault="00B16F8D" w:rsidP="00B16F8D">
      <w:pPr>
        <w:jc w:val="left"/>
        <w:rPr>
          <w:b/>
          <w:bCs/>
          <w:szCs w:val="22"/>
          <w:lang w:val="sr-Cyrl-CS"/>
        </w:rPr>
      </w:pPr>
      <w:r w:rsidRPr="00895819">
        <w:rPr>
          <w:b/>
          <w:bCs/>
          <w:szCs w:val="22"/>
          <w:lang w:val="sr-Cyrl-CS"/>
        </w:rPr>
        <w:t xml:space="preserve">A. </w:t>
      </w:r>
      <w:r w:rsidR="00531A34" w:rsidRPr="00895819">
        <w:rPr>
          <w:b/>
          <w:bCs/>
          <w:szCs w:val="22"/>
          <w:lang w:val="sr-Cyrl-CS"/>
        </w:rPr>
        <w:t>Недозвољене активности</w:t>
      </w:r>
    </w:p>
    <w:p w14:paraId="6C68F630" w14:textId="77777777" w:rsidR="00B16F8D" w:rsidRPr="00895819" w:rsidRDefault="00B16F8D" w:rsidP="00B16F8D">
      <w:pPr>
        <w:jc w:val="left"/>
        <w:rPr>
          <w:b/>
          <w:bCs/>
          <w:szCs w:val="22"/>
          <w:lang w:val="sr-Cyrl-CS"/>
        </w:rPr>
      </w:pPr>
    </w:p>
    <w:p w14:paraId="11B98826" w14:textId="77777777" w:rsidR="00B16F8D" w:rsidRPr="00895819" w:rsidRDefault="00463ADB" w:rsidP="00B16F8D">
      <w:pPr>
        <w:spacing w:afterLines="60" w:after="144"/>
        <w:rPr>
          <w:bCs/>
          <w:szCs w:val="22"/>
          <w:lang w:val="sr-Cyrl-CS"/>
        </w:rPr>
      </w:pPr>
      <w:r w:rsidRPr="00895819">
        <w:rPr>
          <w:bCs/>
          <w:szCs w:val="22"/>
          <w:lang w:val="sr-Cyrl-CS"/>
        </w:rPr>
        <w:t>АФД Група искључује финансирање активности које укључују производњу или трговину недозвољеним производима, као и сваку активност која је незаконита према законима земље одредишта или Француске, као и према међународним конвенцијама или споразумима који стварају обавезе за земље одредишта или за Француску</w:t>
      </w:r>
      <w:r w:rsidR="00B16F8D" w:rsidRPr="00895819">
        <w:rPr>
          <w:bCs/>
          <w:szCs w:val="22"/>
          <w:lang w:val="sr-Cyrl-CS"/>
        </w:rPr>
        <w:t xml:space="preserve">. </w:t>
      </w:r>
      <w:r w:rsidRPr="00895819">
        <w:rPr>
          <w:bCs/>
          <w:szCs w:val="22"/>
          <w:lang w:val="sr-Cyrl-CS"/>
        </w:rPr>
        <w:t>То посебно обухвата</w:t>
      </w:r>
      <w:r w:rsidR="00B16F8D" w:rsidRPr="00895819">
        <w:rPr>
          <w:bCs/>
          <w:szCs w:val="22"/>
          <w:lang w:val="sr-Cyrl-CS"/>
        </w:rPr>
        <w:t>:</w:t>
      </w:r>
    </w:p>
    <w:p w14:paraId="15A8E543" w14:textId="77777777" w:rsidR="00B16F8D" w:rsidRPr="00895819" w:rsidRDefault="00531A34" w:rsidP="00531A34">
      <w:pPr>
        <w:pStyle w:val="ListParagraph"/>
        <w:numPr>
          <w:ilvl w:val="0"/>
          <w:numId w:val="47"/>
        </w:numPr>
        <w:spacing w:afterLines="60" w:after="144"/>
        <w:rPr>
          <w:bCs/>
          <w:lang w:val="sr-Cyrl-CS"/>
        </w:rPr>
      </w:pPr>
      <w:r w:rsidRPr="00895819">
        <w:rPr>
          <w:bCs/>
          <w:lang w:val="sr-Cyrl-CS"/>
        </w:rPr>
        <w:t>сваку опрему, сектор или услугу која подлеже економским санкцијама издатим од стране Уједињених нација, Европске уније или Француске, без апсолутних или релативних ограничења у погледу износа</w:t>
      </w:r>
      <w:r w:rsidR="00B16F8D" w:rsidRPr="00895819">
        <w:rPr>
          <w:bCs/>
          <w:lang w:val="sr-Cyrl-CS"/>
        </w:rPr>
        <w:t>;</w:t>
      </w:r>
    </w:p>
    <w:p w14:paraId="0B6FEB73" w14:textId="77777777" w:rsidR="00B16F8D" w:rsidRPr="00895819" w:rsidRDefault="00531A34" w:rsidP="00531A34">
      <w:pPr>
        <w:pStyle w:val="ListParagraph"/>
        <w:numPr>
          <w:ilvl w:val="0"/>
          <w:numId w:val="47"/>
        </w:numPr>
        <w:spacing w:afterLines="60" w:after="144"/>
        <w:rPr>
          <w:bCs/>
          <w:lang w:val="sr-Cyrl-CS"/>
        </w:rPr>
      </w:pPr>
      <w:r w:rsidRPr="00895819">
        <w:rPr>
          <w:bCs/>
          <w:lang w:val="sr-Cyrl-CS"/>
        </w:rPr>
        <w:t>производњу или делатност</w:t>
      </w:r>
      <w:r w:rsidR="009D2673" w:rsidRPr="00895819">
        <w:rPr>
          <w:bCs/>
          <w:lang w:val="sr-Cyrl-CS"/>
        </w:rPr>
        <w:t>и</w:t>
      </w:r>
      <w:r w:rsidRPr="00895819">
        <w:rPr>
          <w:bCs/>
          <w:lang w:val="sr-Cyrl-CS"/>
        </w:rPr>
        <w:t xml:space="preserve"> које укључују принудни рад</w:t>
      </w:r>
      <w:r w:rsidR="003B5A9E" w:rsidRPr="00895819">
        <w:rPr>
          <w:rStyle w:val="FootnoteReference"/>
          <w:bCs/>
          <w:lang w:val="sr-Cyrl-CS"/>
        </w:rPr>
        <w:footnoteReference w:id="10"/>
      </w:r>
      <w:r w:rsidRPr="00895819">
        <w:rPr>
          <w:bCs/>
          <w:lang w:val="sr-Cyrl-CS"/>
        </w:rPr>
        <w:t>, дечији рад</w:t>
      </w:r>
      <w:r w:rsidR="00022979" w:rsidRPr="00895819">
        <w:rPr>
          <w:rStyle w:val="FootnoteReference"/>
          <w:bCs/>
          <w:lang w:val="sr-Cyrl-CS"/>
        </w:rPr>
        <w:footnoteReference w:id="11"/>
      </w:r>
      <w:r w:rsidRPr="00895819">
        <w:rPr>
          <w:bCs/>
          <w:lang w:val="sr-Cyrl-CS"/>
        </w:rPr>
        <w:t xml:space="preserve"> или трговину људима</w:t>
      </w:r>
      <w:r w:rsidR="00B16F8D" w:rsidRPr="00895819">
        <w:rPr>
          <w:rStyle w:val="FootnoteReference"/>
          <w:bCs/>
          <w:lang w:val="sr-Cyrl-CS"/>
        </w:rPr>
        <w:footnoteReference w:id="12"/>
      </w:r>
      <w:r w:rsidR="00B16F8D" w:rsidRPr="00895819">
        <w:rPr>
          <w:bCs/>
          <w:lang w:val="sr-Cyrl-CS"/>
        </w:rPr>
        <w:t>;</w:t>
      </w:r>
    </w:p>
    <w:p w14:paraId="5FA83F6A" w14:textId="77777777" w:rsidR="00B16F8D" w:rsidRPr="00895819" w:rsidRDefault="00531A34" w:rsidP="00531A34">
      <w:pPr>
        <w:pStyle w:val="ListParagraph"/>
        <w:numPr>
          <w:ilvl w:val="0"/>
          <w:numId w:val="47"/>
        </w:numPr>
        <w:spacing w:afterLines="60" w:after="144"/>
        <w:rPr>
          <w:bCs/>
          <w:lang w:val="sr-Cyrl-CS"/>
        </w:rPr>
      </w:pPr>
      <w:r w:rsidRPr="00895819">
        <w:rPr>
          <w:bCs/>
          <w:lang w:val="sr-Cyrl-CS"/>
        </w:rPr>
        <w:t>недозвољене активности које укључују органе, ткива и производе људског тела, или активности генетског инжењеринга забрањене националним биоетичким стандардима Француске</w:t>
      </w:r>
      <w:r w:rsidR="00B16F8D" w:rsidRPr="00895819">
        <w:rPr>
          <w:rStyle w:val="FootnoteReference"/>
          <w:bCs/>
          <w:lang w:val="sr-Cyrl-CS"/>
        </w:rPr>
        <w:footnoteReference w:id="13"/>
      </w:r>
      <w:r w:rsidR="00B16F8D" w:rsidRPr="00895819">
        <w:rPr>
          <w:bCs/>
          <w:lang w:val="sr-Cyrl-CS"/>
        </w:rPr>
        <w:t xml:space="preserve"> </w:t>
      </w:r>
      <w:r w:rsidRPr="00895819">
        <w:rPr>
          <w:bCs/>
          <w:lang w:val="sr-Cyrl-CS"/>
        </w:rPr>
        <w:t>или земље домаћина, и релевантним применљивим европским или међународним стандардима</w:t>
      </w:r>
      <w:r w:rsidR="00B16F8D" w:rsidRPr="00895819">
        <w:rPr>
          <w:rStyle w:val="FootnoteReference"/>
          <w:bCs/>
          <w:lang w:val="sr-Cyrl-CS"/>
        </w:rPr>
        <w:footnoteReference w:id="14"/>
      </w:r>
      <w:r w:rsidR="00B16F8D" w:rsidRPr="00895819">
        <w:rPr>
          <w:bCs/>
          <w:lang w:val="sr-Cyrl-CS"/>
        </w:rPr>
        <w:t>;</w:t>
      </w:r>
    </w:p>
    <w:p w14:paraId="5495BEE4" w14:textId="77777777" w:rsidR="00B16F8D" w:rsidRPr="00895819" w:rsidRDefault="00531A34" w:rsidP="00531A34">
      <w:pPr>
        <w:pStyle w:val="ListParagraph"/>
        <w:numPr>
          <w:ilvl w:val="0"/>
          <w:numId w:val="47"/>
        </w:numPr>
        <w:spacing w:afterLines="60" w:after="144"/>
        <w:rPr>
          <w:bCs/>
          <w:lang w:val="sr-Cyrl-CS"/>
        </w:rPr>
      </w:pPr>
      <w:r w:rsidRPr="00895819">
        <w:rPr>
          <w:bCs/>
          <w:lang w:val="sr-Cyrl-CS"/>
        </w:rPr>
        <w:t xml:space="preserve">трговину, производњу, узгој или поседовање животиња, биљака или било којих природних производа у супротности са одредбама </w:t>
      </w:r>
      <w:r w:rsidR="00B16F8D" w:rsidRPr="00895819">
        <w:rPr>
          <w:bCs/>
          <w:lang w:val="sr-Cyrl-CS"/>
        </w:rPr>
        <w:t>CITES</w:t>
      </w:r>
      <w:r w:rsidR="00B16F8D" w:rsidRPr="00895819">
        <w:rPr>
          <w:rStyle w:val="FootnoteReference"/>
          <w:bCs/>
          <w:lang w:val="sr-Cyrl-CS"/>
        </w:rPr>
        <w:footnoteReference w:id="15"/>
      </w:r>
      <w:r w:rsidR="00B16F8D" w:rsidRPr="00895819">
        <w:rPr>
          <w:bCs/>
          <w:lang w:val="sr-Cyrl-CS"/>
        </w:rPr>
        <w:t>;</w:t>
      </w:r>
    </w:p>
    <w:p w14:paraId="0FC91490" w14:textId="51A282ED" w:rsidR="00B16F8D" w:rsidRPr="00895819" w:rsidRDefault="00531A34" w:rsidP="00531A34">
      <w:pPr>
        <w:pStyle w:val="ListParagraph"/>
        <w:numPr>
          <w:ilvl w:val="0"/>
          <w:numId w:val="47"/>
        </w:numPr>
        <w:spacing w:afterLines="60" w:after="144"/>
        <w:rPr>
          <w:bCs/>
          <w:lang w:val="sr-Cyrl-CS"/>
        </w:rPr>
      </w:pPr>
      <w:r w:rsidRPr="00895819">
        <w:rPr>
          <w:bCs/>
          <w:lang w:val="sr-Cyrl-CS"/>
        </w:rPr>
        <w:t>риболов коришћењем „лебдеће мреже</w:t>
      </w:r>
      <w:r w:rsidR="007C25D7" w:rsidRPr="00895819">
        <w:rPr>
          <w:lang w:val="sr-Cyrl-CS"/>
        </w:rPr>
        <w:t>”</w:t>
      </w:r>
      <w:r w:rsidRPr="00895819">
        <w:rPr>
          <w:bCs/>
          <w:lang w:val="sr-Cyrl-CS"/>
        </w:rPr>
        <w:t xml:space="preserve"> дуже од </w:t>
      </w:r>
      <w:r w:rsidR="00B16F8D" w:rsidRPr="00895819">
        <w:rPr>
          <w:bCs/>
          <w:lang w:val="sr-Cyrl-CS"/>
        </w:rPr>
        <w:t>2</w:t>
      </w:r>
      <w:r w:rsidRPr="00895819">
        <w:rPr>
          <w:bCs/>
          <w:lang w:val="sr-Cyrl-CS"/>
        </w:rPr>
        <w:t>,</w:t>
      </w:r>
      <w:r w:rsidR="00B16F8D" w:rsidRPr="00895819">
        <w:rPr>
          <w:bCs/>
          <w:lang w:val="sr-Cyrl-CS"/>
        </w:rPr>
        <w:t xml:space="preserve">5 </w:t>
      </w:r>
      <w:r w:rsidR="001207D9" w:rsidRPr="00895819">
        <w:rPr>
          <w:bCs/>
          <w:lang w:val="sr-Cyrl-CS"/>
        </w:rPr>
        <w:t>km</w:t>
      </w:r>
      <w:r w:rsidR="00B16F8D" w:rsidRPr="00895819">
        <w:rPr>
          <w:bCs/>
          <w:lang w:val="sr-Cyrl-CS"/>
        </w:rPr>
        <w:t>;</w:t>
      </w:r>
    </w:p>
    <w:p w14:paraId="302682B9" w14:textId="77777777" w:rsidR="00B16F8D" w:rsidRPr="00895819" w:rsidRDefault="00531A34" w:rsidP="00531A34">
      <w:pPr>
        <w:pStyle w:val="ListParagraph"/>
        <w:numPr>
          <w:ilvl w:val="0"/>
          <w:numId w:val="47"/>
        </w:numPr>
        <w:spacing w:afterLines="60" w:after="144"/>
        <w:rPr>
          <w:bCs/>
          <w:lang w:val="sr-Cyrl-CS"/>
        </w:rPr>
      </w:pPr>
      <w:r w:rsidRPr="00895819">
        <w:rPr>
          <w:bCs/>
          <w:lang w:val="sr-Cyrl-CS"/>
        </w:rPr>
        <w:t>истраживање, куповину, промоцију или умножавање генетски модификованог семена</w:t>
      </w:r>
      <w:r w:rsidR="00B16F8D" w:rsidRPr="00895819">
        <w:rPr>
          <w:rStyle w:val="FootnoteReference"/>
          <w:bCs/>
          <w:lang w:val="sr-Cyrl-CS"/>
        </w:rPr>
        <w:footnoteReference w:id="16"/>
      </w:r>
      <w:r w:rsidR="00B16F8D" w:rsidRPr="00895819">
        <w:rPr>
          <w:bCs/>
          <w:lang w:val="sr-Cyrl-CS"/>
        </w:rPr>
        <w:t xml:space="preserve">; </w:t>
      </w:r>
    </w:p>
    <w:p w14:paraId="5071C5B4" w14:textId="77777777" w:rsidR="00B16F8D" w:rsidRPr="00895819" w:rsidRDefault="00531A34" w:rsidP="00531A34">
      <w:pPr>
        <w:pStyle w:val="ListParagraph"/>
        <w:numPr>
          <w:ilvl w:val="0"/>
          <w:numId w:val="47"/>
        </w:numPr>
        <w:spacing w:afterLines="60" w:after="144"/>
        <w:rPr>
          <w:bCs/>
          <w:lang w:val="sr-Cyrl-CS"/>
        </w:rPr>
      </w:pPr>
      <w:r w:rsidRPr="00895819">
        <w:rPr>
          <w:bCs/>
          <w:lang w:val="sr-Cyrl-CS"/>
        </w:rPr>
        <w:t>производњу, употребу или промет опасних материјала (као што су азбестна влакна) и свих производа (укључујући хемијске производе, фармацеутске производе, пестициде/хербициде, супстанце које оштећују озонски омотач</w:t>
      </w:r>
      <w:r w:rsidR="00B16F8D" w:rsidRPr="00895819">
        <w:rPr>
          <w:rStyle w:val="FootnoteReference"/>
          <w:bCs/>
          <w:lang w:val="sr-Cyrl-CS"/>
        </w:rPr>
        <w:footnoteReference w:id="17"/>
      </w:r>
      <w:r w:rsidR="00B16F8D" w:rsidRPr="00895819">
        <w:rPr>
          <w:bCs/>
          <w:lang w:val="sr-Cyrl-CS"/>
        </w:rPr>
        <w:t xml:space="preserve"> </w:t>
      </w:r>
      <w:r w:rsidRPr="00895819">
        <w:rPr>
          <w:bCs/>
          <w:lang w:val="sr-Cyrl-CS"/>
        </w:rPr>
        <w:t>или било који други опасни производ) чија је производња или употреба забрањена или ће се постепено укидати у прописима земаља одредишта или на међународном нивоу</w:t>
      </w:r>
      <w:r w:rsidR="00B16F8D" w:rsidRPr="00895819">
        <w:rPr>
          <w:bCs/>
          <w:lang w:val="sr-Cyrl-CS"/>
        </w:rPr>
        <w:t>;</w:t>
      </w:r>
    </w:p>
    <w:p w14:paraId="37BA63B5" w14:textId="77777777" w:rsidR="00B16F8D" w:rsidRPr="00895819" w:rsidRDefault="00333FC1" w:rsidP="00333FC1">
      <w:pPr>
        <w:pStyle w:val="ListParagraph"/>
        <w:numPr>
          <w:ilvl w:val="0"/>
          <w:numId w:val="47"/>
        </w:numPr>
        <w:spacing w:afterLines="60" w:after="144"/>
        <w:rPr>
          <w:bCs/>
          <w:lang w:val="sr-Cyrl-CS"/>
        </w:rPr>
      </w:pPr>
      <w:r w:rsidRPr="00895819">
        <w:rPr>
          <w:bCs/>
          <w:lang w:val="sr-Cyrl-CS"/>
        </w:rPr>
        <w:lastRenderedPageBreak/>
        <w:t>прекограничну трговину отпадом, осим оне која је у складу са Базелском конвенцијом</w:t>
      </w:r>
      <w:r w:rsidR="00B16F8D" w:rsidRPr="00895819">
        <w:rPr>
          <w:rStyle w:val="FootnoteReference"/>
          <w:bCs/>
          <w:lang w:val="sr-Cyrl-CS"/>
        </w:rPr>
        <w:footnoteReference w:id="18"/>
      </w:r>
      <w:r w:rsidR="00B16F8D" w:rsidRPr="00895819">
        <w:rPr>
          <w:bCs/>
          <w:lang w:val="sr-Cyrl-CS"/>
        </w:rPr>
        <w:t xml:space="preserve"> </w:t>
      </w:r>
      <w:r w:rsidRPr="00895819">
        <w:rPr>
          <w:bCs/>
          <w:lang w:val="sr-Cyrl-CS"/>
        </w:rPr>
        <w:t>и њеним основним прописима</w:t>
      </w:r>
      <w:r w:rsidR="00B16F8D" w:rsidRPr="00895819">
        <w:rPr>
          <w:bCs/>
          <w:lang w:val="sr-Cyrl-CS"/>
        </w:rPr>
        <w:t>;</w:t>
      </w:r>
    </w:p>
    <w:p w14:paraId="048FDE04" w14:textId="77777777" w:rsidR="00B16F8D" w:rsidRPr="00895819" w:rsidRDefault="00333FC1" w:rsidP="00A23467">
      <w:pPr>
        <w:pStyle w:val="ListParagraph"/>
        <w:numPr>
          <w:ilvl w:val="0"/>
          <w:numId w:val="47"/>
        </w:numPr>
        <w:spacing w:afterLines="60" w:after="144"/>
        <w:rPr>
          <w:bCs/>
          <w:lang w:val="sr-Cyrl-CS"/>
        </w:rPr>
      </w:pPr>
      <w:r w:rsidRPr="00895819">
        <w:rPr>
          <w:bCs/>
          <w:lang w:val="sr-Cyrl-CS"/>
        </w:rPr>
        <w:t>експлоатациј</w:t>
      </w:r>
      <w:r w:rsidR="00010AC3" w:rsidRPr="00895819">
        <w:rPr>
          <w:bCs/>
          <w:lang w:val="sr-Cyrl-CS"/>
        </w:rPr>
        <w:t>у</w:t>
      </w:r>
      <w:r w:rsidRPr="00895819">
        <w:rPr>
          <w:bCs/>
          <w:lang w:val="sr-Cyrl-CS"/>
        </w:rPr>
        <w:t xml:space="preserve"> рудника дијаманата и промет дијамантима у земљама које нису приступиле Кимберлијевом процесу</w:t>
      </w:r>
      <w:r w:rsidR="00B16F8D" w:rsidRPr="00895819">
        <w:rPr>
          <w:bCs/>
          <w:lang w:val="sr-Cyrl-CS"/>
        </w:rPr>
        <w:t>;</w:t>
      </w:r>
    </w:p>
    <w:p w14:paraId="1E44E8F7" w14:textId="77777777" w:rsidR="00B16F8D" w:rsidRPr="00895819" w:rsidRDefault="00333FC1" w:rsidP="00A23467">
      <w:pPr>
        <w:pStyle w:val="ListParagraph"/>
        <w:numPr>
          <w:ilvl w:val="0"/>
          <w:numId w:val="47"/>
        </w:numPr>
        <w:spacing w:afterLines="60" w:after="144"/>
        <w:rPr>
          <w:bCs/>
          <w:lang w:val="sr-Cyrl-CS"/>
        </w:rPr>
      </w:pPr>
      <w:r w:rsidRPr="00895819">
        <w:rPr>
          <w:bCs/>
          <w:lang w:val="sr-Cyrl-CS"/>
        </w:rPr>
        <w:t>недозвољена трговина или активности које омогућавају недозвољен промет културних добара</w:t>
      </w:r>
      <w:r w:rsidR="00B16F8D" w:rsidRPr="00895819">
        <w:rPr>
          <w:rStyle w:val="FootnoteReference"/>
          <w:bCs/>
          <w:lang w:val="sr-Cyrl-CS"/>
        </w:rPr>
        <w:footnoteReference w:id="19"/>
      </w:r>
      <w:r w:rsidR="00B16F8D" w:rsidRPr="00895819">
        <w:rPr>
          <w:bCs/>
          <w:lang w:val="sr-Cyrl-CS"/>
        </w:rPr>
        <w:t>.</w:t>
      </w:r>
    </w:p>
    <w:p w14:paraId="54AA1755" w14:textId="77777777" w:rsidR="00B16F8D" w:rsidRPr="00895819" w:rsidRDefault="00B16F8D" w:rsidP="00B16F8D">
      <w:pPr>
        <w:rPr>
          <w:szCs w:val="22"/>
          <w:lang w:val="sr-Cyrl-CS" w:eastAsia="en-US"/>
        </w:rPr>
      </w:pPr>
    </w:p>
    <w:p w14:paraId="1C4DFC49" w14:textId="3D227F0A" w:rsidR="00B16F8D" w:rsidRPr="00895819" w:rsidRDefault="00AB5F4E" w:rsidP="00716B86">
      <w:pPr>
        <w:rPr>
          <w:b/>
          <w:bCs/>
          <w:szCs w:val="22"/>
          <w:lang w:val="sr-Cyrl-CS"/>
        </w:rPr>
      </w:pPr>
      <w:r w:rsidRPr="00895819">
        <w:rPr>
          <w:b/>
          <w:bCs/>
          <w:szCs w:val="22"/>
          <w:lang w:val="sr-Cyrl-CS"/>
        </w:rPr>
        <w:t>Б</w:t>
      </w:r>
      <w:r w:rsidR="00B16F8D" w:rsidRPr="00895819">
        <w:rPr>
          <w:b/>
          <w:bCs/>
          <w:szCs w:val="22"/>
          <w:lang w:val="sr-Cyrl-CS"/>
        </w:rPr>
        <w:t xml:space="preserve">. </w:t>
      </w:r>
      <w:r w:rsidR="00716B86" w:rsidRPr="00895819">
        <w:rPr>
          <w:b/>
          <w:bCs/>
          <w:szCs w:val="22"/>
          <w:lang w:val="sr-Cyrl-CS"/>
        </w:rPr>
        <w:t xml:space="preserve">Активности које нису усклађене са обавезама АФД </w:t>
      </w:r>
      <w:r w:rsidR="00010AC3" w:rsidRPr="00895819">
        <w:rPr>
          <w:b/>
          <w:bCs/>
          <w:szCs w:val="22"/>
          <w:lang w:val="sr-Cyrl-CS"/>
        </w:rPr>
        <w:t>г</w:t>
      </w:r>
      <w:r w:rsidR="00716B86" w:rsidRPr="00895819">
        <w:rPr>
          <w:b/>
          <w:bCs/>
          <w:szCs w:val="22"/>
          <w:lang w:val="sr-Cyrl-CS"/>
        </w:rPr>
        <w:t>рупе у области одрживог развоја</w:t>
      </w:r>
    </w:p>
    <w:p w14:paraId="76D43F47" w14:textId="77777777" w:rsidR="00B16F8D" w:rsidRPr="00895819" w:rsidRDefault="00716B86" w:rsidP="00B16F8D">
      <w:pPr>
        <w:pStyle w:val="BodyText"/>
        <w:spacing w:before="242" w:line="252" w:lineRule="auto"/>
        <w:rPr>
          <w:rFonts w:cs="Times New Roman"/>
          <w:spacing w:val="-4"/>
          <w:szCs w:val="22"/>
          <w:lang w:val="sr-Cyrl-CS"/>
        </w:rPr>
      </w:pPr>
      <w:r w:rsidRPr="00895819">
        <w:rPr>
          <w:rFonts w:cs="Times New Roman"/>
          <w:spacing w:val="-4"/>
          <w:szCs w:val="22"/>
          <w:lang w:val="sr-Cyrl-CS"/>
        </w:rPr>
        <w:t xml:space="preserve">Стратешка оријентација АФД групе огледа се у мандату који јој је доделила француска држава у оквиру Циљева одрживог развоја Агенде 2030 и </w:t>
      </w:r>
      <w:r w:rsidR="00010AC3" w:rsidRPr="00895819">
        <w:rPr>
          <w:rFonts w:cs="Times New Roman"/>
          <w:spacing w:val="-4"/>
          <w:szCs w:val="22"/>
          <w:lang w:val="sr-Cyrl-CS"/>
        </w:rPr>
        <w:t xml:space="preserve">Споразума из </w:t>
      </w:r>
      <w:r w:rsidRPr="00895819">
        <w:rPr>
          <w:rFonts w:cs="Times New Roman"/>
          <w:spacing w:val="-4"/>
          <w:szCs w:val="22"/>
          <w:lang w:val="sr-Cyrl-CS"/>
        </w:rPr>
        <w:t>Пари</w:t>
      </w:r>
      <w:r w:rsidR="00010AC3" w:rsidRPr="00895819">
        <w:rPr>
          <w:rFonts w:cs="Times New Roman"/>
          <w:spacing w:val="-4"/>
          <w:szCs w:val="22"/>
          <w:lang w:val="sr-Cyrl-CS"/>
        </w:rPr>
        <w:t>за</w:t>
      </w:r>
      <w:r w:rsidR="00B16F8D" w:rsidRPr="00895819">
        <w:rPr>
          <w:rFonts w:cs="Times New Roman"/>
          <w:spacing w:val="-4"/>
          <w:szCs w:val="22"/>
          <w:lang w:val="sr-Cyrl-CS"/>
        </w:rPr>
        <w:t xml:space="preserve">. </w:t>
      </w:r>
      <w:r w:rsidRPr="00895819">
        <w:rPr>
          <w:rFonts w:cs="Times New Roman"/>
          <w:spacing w:val="-4"/>
          <w:szCs w:val="22"/>
          <w:lang w:val="sr-Cyrl-CS"/>
        </w:rPr>
        <w:t>У овом својству, кроз своје активности промовише друштвену и еколошку одрживост и искључује финансирање следећих активности чији се видљиви или потенцијални штетни утицаји на људска права, неједнакости, климу или биодиверзитет сматрају некомпатибилним са овим циљем</w:t>
      </w:r>
      <w:r w:rsidR="00B16F8D" w:rsidRPr="00895819">
        <w:rPr>
          <w:rFonts w:cs="Times New Roman"/>
          <w:spacing w:val="-4"/>
          <w:szCs w:val="22"/>
          <w:lang w:val="sr-Cyrl-CS"/>
        </w:rPr>
        <w:t>:</w:t>
      </w:r>
    </w:p>
    <w:p w14:paraId="478C80ED" w14:textId="77777777" w:rsidR="00B16F8D" w:rsidRPr="00895819" w:rsidRDefault="00716B86" w:rsidP="00B16F8D">
      <w:pPr>
        <w:pStyle w:val="ListParagraph"/>
        <w:widowControl w:val="0"/>
        <w:numPr>
          <w:ilvl w:val="0"/>
          <w:numId w:val="47"/>
        </w:numPr>
        <w:tabs>
          <w:tab w:val="left" w:pos="555"/>
        </w:tabs>
        <w:autoSpaceDE w:val="0"/>
        <w:autoSpaceDN w:val="0"/>
        <w:spacing w:before="196"/>
        <w:rPr>
          <w:lang w:val="sr-Cyrl-CS"/>
        </w:rPr>
      </w:pPr>
      <w:r w:rsidRPr="00895819">
        <w:rPr>
          <w:lang w:val="sr-Cyrl-CS"/>
        </w:rPr>
        <w:t>Производња или трговина</w:t>
      </w:r>
      <w:r w:rsidR="00B16F8D" w:rsidRPr="00895819">
        <w:rPr>
          <w:lang w:val="sr-Cyrl-CS"/>
        </w:rPr>
        <w:t>:</w:t>
      </w:r>
    </w:p>
    <w:p w14:paraId="743AE0EE" w14:textId="77777777" w:rsidR="00B16F8D" w:rsidRPr="00895819" w:rsidRDefault="00716B86" w:rsidP="00B16F8D">
      <w:pPr>
        <w:pStyle w:val="ListParagraph"/>
        <w:widowControl w:val="0"/>
        <w:numPr>
          <w:ilvl w:val="1"/>
          <w:numId w:val="47"/>
        </w:numPr>
        <w:tabs>
          <w:tab w:val="left" w:pos="555"/>
        </w:tabs>
        <w:autoSpaceDE w:val="0"/>
        <w:autoSpaceDN w:val="0"/>
        <w:spacing w:before="196"/>
        <w:rPr>
          <w:lang w:val="sr-Cyrl-CS"/>
        </w:rPr>
      </w:pPr>
      <w:r w:rsidRPr="00895819">
        <w:rPr>
          <w:spacing w:val="-1"/>
          <w:lang w:val="sr-Cyrl-CS"/>
        </w:rPr>
        <w:t>у вези са порнографијом или проституцијом</w:t>
      </w:r>
      <w:r w:rsidR="00B16F8D" w:rsidRPr="00895819">
        <w:rPr>
          <w:lang w:val="sr-Cyrl-CS"/>
        </w:rPr>
        <w:t>;</w:t>
      </w:r>
    </w:p>
    <w:p w14:paraId="11D40CB1" w14:textId="77777777" w:rsidR="00B16F8D" w:rsidRPr="00895819" w:rsidRDefault="00B16F8D" w:rsidP="00B16F8D">
      <w:pPr>
        <w:widowControl w:val="0"/>
        <w:tabs>
          <w:tab w:val="left" w:pos="555"/>
        </w:tabs>
        <w:autoSpaceDE w:val="0"/>
        <w:autoSpaceDN w:val="0"/>
        <w:spacing w:before="196"/>
        <w:ind w:left="567"/>
        <w:rPr>
          <w:lang w:val="sr-Cyrl-CS"/>
        </w:rPr>
      </w:pPr>
      <w:r w:rsidRPr="00895819">
        <w:rPr>
          <w:lang w:val="sr-Cyrl-CS"/>
        </w:rPr>
        <w:tab/>
      </w:r>
      <w:r w:rsidR="00716B86" w:rsidRPr="00895819">
        <w:rPr>
          <w:rFonts w:eastAsia="Calibri"/>
          <w:szCs w:val="22"/>
          <w:lang w:val="sr-Cyrl-CS" w:eastAsia="en-US"/>
        </w:rPr>
        <w:t>Производња или трговина</w:t>
      </w:r>
      <w:r w:rsidR="00716B86" w:rsidRPr="00895819">
        <w:rPr>
          <w:rFonts w:eastAsia="Calibri"/>
          <w:szCs w:val="22"/>
          <w:vertAlign w:val="superscript"/>
          <w:lang w:val="sr-Cyrl-CS" w:eastAsia="en-US"/>
        </w:rPr>
        <w:t xml:space="preserve"> </w:t>
      </w:r>
      <w:r w:rsidRPr="00895819">
        <w:rPr>
          <w:rFonts w:eastAsia="Calibri"/>
          <w:szCs w:val="22"/>
          <w:vertAlign w:val="superscript"/>
          <w:lang w:val="sr-Cyrl-CS" w:eastAsia="en-US"/>
        </w:rPr>
        <w:footnoteReference w:id="20"/>
      </w:r>
      <w:r w:rsidRPr="00895819">
        <w:rPr>
          <w:rFonts w:eastAsia="Calibri"/>
          <w:szCs w:val="22"/>
          <w:lang w:val="sr-Cyrl-CS" w:eastAsia="en-US"/>
        </w:rPr>
        <w:t>:</w:t>
      </w:r>
    </w:p>
    <w:p w14:paraId="0EF78A17" w14:textId="77777777" w:rsidR="00B16F8D" w:rsidRPr="00895819" w:rsidRDefault="00716B86" w:rsidP="00B16F8D">
      <w:pPr>
        <w:pStyle w:val="ListParagraph"/>
        <w:widowControl w:val="0"/>
        <w:numPr>
          <w:ilvl w:val="1"/>
          <w:numId w:val="47"/>
        </w:numPr>
        <w:tabs>
          <w:tab w:val="left" w:pos="555"/>
        </w:tabs>
        <w:autoSpaceDE w:val="0"/>
        <w:autoSpaceDN w:val="0"/>
        <w:spacing w:before="196"/>
        <w:rPr>
          <w:lang w:val="sr-Cyrl-CS"/>
        </w:rPr>
      </w:pPr>
      <w:r w:rsidRPr="00895819">
        <w:rPr>
          <w:lang w:val="sr-Cyrl-CS"/>
        </w:rPr>
        <w:t>оружја и/или муниције</w:t>
      </w:r>
      <w:r w:rsidR="00B16F8D" w:rsidRPr="00895819">
        <w:rPr>
          <w:lang w:val="sr-Cyrl-CS"/>
        </w:rPr>
        <w:t>;</w:t>
      </w:r>
    </w:p>
    <w:p w14:paraId="49795924" w14:textId="77777777" w:rsidR="00B16F8D" w:rsidRPr="00895819" w:rsidRDefault="00716B86" w:rsidP="00B16F8D">
      <w:pPr>
        <w:pStyle w:val="ListParagraph"/>
        <w:widowControl w:val="0"/>
        <w:numPr>
          <w:ilvl w:val="1"/>
          <w:numId w:val="47"/>
        </w:numPr>
        <w:tabs>
          <w:tab w:val="left" w:pos="555"/>
        </w:tabs>
        <w:autoSpaceDE w:val="0"/>
        <w:autoSpaceDN w:val="0"/>
        <w:spacing w:before="196"/>
        <w:rPr>
          <w:lang w:val="sr-Cyrl-CS"/>
        </w:rPr>
      </w:pPr>
      <w:r w:rsidRPr="00895819">
        <w:rPr>
          <w:lang w:val="sr-Cyrl-CS"/>
        </w:rPr>
        <w:t>дувана</w:t>
      </w:r>
      <w:r w:rsidR="00B16F8D" w:rsidRPr="00895819">
        <w:rPr>
          <w:lang w:val="sr-Cyrl-CS"/>
        </w:rPr>
        <w:t>;</w:t>
      </w:r>
    </w:p>
    <w:p w14:paraId="4F5D8A2D" w14:textId="77777777" w:rsidR="00B16F8D" w:rsidRPr="00895819" w:rsidRDefault="00716B86" w:rsidP="00B16F8D">
      <w:pPr>
        <w:pStyle w:val="ListParagraph"/>
        <w:widowControl w:val="0"/>
        <w:numPr>
          <w:ilvl w:val="1"/>
          <w:numId w:val="47"/>
        </w:numPr>
        <w:tabs>
          <w:tab w:val="left" w:pos="555"/>
        </w:tabs>
        <w:autoSpaceDE w:val="0"/>
        <w:autoSpaceDN w:val="0"/>
        <w:spacing w:before="196"/>
        <w:rPr>
          <w:lang w:val="sr-Cyrl-CS"/>
        </w:rPr>
      </w:pPr>
      <w:r w:rsidRPr="00895819">
        <w:rPr>
          <w:lang w:val="sr-Cyrl-CS"/>
        </w:rPr>
        <w:t>алкохолних пића</w:t>
      </w:r>
      <w:r w:rsidR="00B16F8D" w:rsidRPr="00895819">
        <w:rPr>
          <w:spacing w:val="-10"/>
          <w:lang w:val="sr-Cyrl-CS"/>
        </w:rPr>
        <w:t xml:space="preserve"> </w:t>
      </w:r>
      <w:r w:rsidR="00B16F8D" w:rsidRPr="00895819">
        <w:rPr>
          <w:lang w:val="sr-Cyrl-CS"/>
        </w:rPr>
        <w:t>(</w:t>
      </w:r>
      <w:r w:rsidRPr="00895819">
        <w:rPr>
          <w:lang w:val="sr-Cyrl-CS"/>
        </w:rPr>
        <w:t>искључујући пиво и вино</w:t>
      </w:r>
      <w:r w:rsidR="00B16F8D" w:rsidRPr="00895819">
        <w:rPr>
          <w:lang w:val="sr-Cyrl-CS"/>
        </w:rPr>
        <w:t>);</w:t>
      </w:r>
    </w:p>
    <w:p w14:paraId="528AC0DB" w14:textId="77777777" w:rsidR="00B16F8D" w:rsidRPr="00895819" w:rsidRDefault="00010AC3" w:rsidP="00B16F8D">
      <w:pPr>
        <w:pStyle w:val="ListParagraph"/>
        <w:widowControl w:val="0"/>
        <w:numPr>
          <w:ilvl w:val="1"/>
          <w:numId w:val="47"/>
        </w:numPr>
        <w:tabs>
          <w:tab w:val="left" w:pos="555"/>
        </w:tabs>
        <w:autoSpaceDE w:val="0"/>
        <w:autoSpaceDN w:val="0"/>
        <w:spacing w:before="196"/>
        <w:rPr>
          <w:lang w:val="sr-Cyrl-CS"/>
        </w:rPr>
      </w:pPr>
      <w:r w:rsidRPr="00895819">
        <w:rPr>
          <w:lang w:val="sr-Cyrl-CS"/>
        </w:rPr>
        <w:t>коцкарнице</w:t>
      </w:r>
      <w:r w:rsidR="00716B86" w:rsidRPr="00895819">
        <w:rPr>
          <w:lang w:val="sr-Cyrl-CS"/>
        </w:rPr>
        <w:t>, казина или еквивалентн</w:t>
      </w:r>
      <w:r w:rsidRPr="00895819">
        <w:rPr>
          <w:lang w:val="sr-Cyrl-CS"/>
        </w:rPr>
        <w:t>е локације</w:t>
      </w:r>
      <w:r w:rsidR="00B16F8D" w:rsidRPr="00895819">
        <w:rPr>
          <w:rStyle w:val="FootnoteReference"/>
          <w:lang w:val="sr-Cyrl-CS"/>
        </w:rPr>
        <w:footnoteReference w:id="21"/>
      </w:r>
      <w:r w:rsidR="00B16F8D" w:rsidRPr="00895819">
        <w:rPr>
          <w:lang w:val="sr-Cyrl-CS"/>
        </w:rPr>
        <w:t>;</w:t>
      </w:r>
    </w:p>
    <w:p w14:paraId="3015699A" w14:textId="77777777" w:rsidR="00B16F8D" w:rsidRPr="00895819" w:rsidRDefault="00716B86" w:rsidP="00B16F8D">
      <w:pPr>
        <w:pStyle w:val="ListParagraph"/>
        <w:widowControl w:val="0"/>
        <w:numPr>
          <w:ilvl w:val="0"/>
          <w:numId w:val="47"/>
        </w:numPr>
        <w:tabs>
          <w:tab w:val="left" w:pos="555"/>
        </w:tabs>
        <w:autoSpaceDE w:val="0"/>
        <w:autoSpaceDN w:val="0"/>
        <w:spacing w:before="196"/>
        <w:rPr>
          <w:lang w:val="sr-Cyrl-CS"/>
        </w:rPr>
      </w:pPr>
      <w:r w:rsidRPr="00895819">
        <w:rPr>
          <w:lang w:val="sr-Cyrl-CS"/>
        </w:rPr>
        <w:t>производња и дистрибуција или учешће у медијима који су расистички или анти-демократски или који промовишу дискриминацију против дела становништва</w:t>
      </w:r>
      <w:r w:rsidR="00B16F8D" w:rsidRPr="00895819">
        <w:rPr>
          <w:lang w:val="sr-Cyrl-CS"/>
        </w:rPr>
        <w:t>;</w:t>
      </w:r>
    </w:p>
    <w:p w14:paraId="4080FCD5" w14:textId="77777777" w:rsidR="00B16F8D" w:rsidRPr="00895819" w:rsidRDefault="00716B86" w:rsidP="00B16F8D">
      <w:pPr>
        <w:pStyle w:val="ListParagraph"/>
        <w:widowControl w:val="0"/>
        <w:numPr>
          <w:ilvl w:val="0"/>
          <w:numId w:val="47"/>
        </w:numPr>
        <w:tabs>
          <w:tab w:val="left" w:pos="555"/>
        </w:tabs>
        <w:autoSpaceDE w:val="0"/>
        <w:autoSpaceDN w:val="0"/>
        <w:spacing w:before="196"/>
        <w:rPr>
          <w:lang w:val="sr-Cyrl-CS"/>
        </w:rPr>
      </w:pPr>
      <w:r w:rsidRPr="00895819">
        <w:rPr>
          <w:lang w:val="sr-Cyrl-CS"/>
        </w:rPr>
        <w:t>радње које доводе до неповратне измене или значајног измештања кључног елемента културног наслеђа</w:t>
      </w:r>
      <w:r w:rsidR="00B16F8D" w:rsidRPr="00895819">
        <w:rPr>
          <w:rStyle w:val="FootnoteReference"/>
          <w:lang w:val="sr-Cyrl-CS"/>
        </w:rPr>
        <w:footnoteReference w:id="22"/>
      </w:r>
      <w:r w:rsidR="00B16F8D" w:rsidRPr="00895819">
        <w:rPr>
          <w:lang w:val="sr-Cyrl-CS"/>
        </w:rPr>
        <w:t>;</w:t>
      </w:r>
    </w:p>
    <w:p w14:paraId="2F704096" w14:textId="77777777" w:rsidR="00B16F8D" w:rsidRPr="00895819" w:rsidRDefault="00716B86" w:rsidP="00B16F8D">
      <w:pPr>
        <w:pStyle w:val="ListParagraph"/>
        <w:widowControl w:val="0"/>
        <w:numPr>
          <w:ilvl w:val="0"/>
          <w:numId w:val="47"/>
        </w:numPr>
        <w:tabs>
          <w:tab w:val="left" w:pos="555"/>
        </w:tabs>
        <w:autoSpaceDE w:val="0"/>
        <w:autoSpaceDN w:val="0"/>
        <w:spacing w:before="196"/>
        <w:rPr>
          <w:lang w:val="sr-Cyrl-CS"/>
        </w:rPr>
      </w:pPr>
      <w:r w:rsidRPr="00895819">
        <w:rPr>
          <w:spacing w:val="-4"/>
          <w:w w:val="99"/>
          <w:lang w:val="sr-Cyrl-CS"/>
        </w:rPr>
        <w:t>пројекти изградње, проширења или реновирања електрана на фосилна горива</w:t>
      </w:r>
      <w:r w:rsidR="00B16F8D" w:rsidRPr="00895819">
        <w:rPr>
          <w:rStyle w:val="FootnoteReference"/>
          <w:lang w:val="sr-Cyrl-CS"/>
        </w:rPr>
        <w:footnoteReference w:id="23"/>
      </w:r>
      <w:r w:rsidR="00B16F8D" w:rsidRPr="00895819">
        <w:rPr>
          <w:lang w:val="sr-Cyrl-CS"/>
        </w:rPr>
        <w:t>;</w:t>
      </w:r>
    </w:p>
    <w:p w14:paraId="006A7FBB" w14:textId="77777777" w:rsidR="00B16F8D" w:rsidRPr="00895819" w:rsidRDefault="00716B86" w:rsidP="00FA08FD">
      <w:pPr>
        <w:pStyle w:val="ListParagraph"/>
        <w:widowControl w:val="0"/>
        <w:numPr>
          <w:ilvl w:val="0"/>
          <w:numId w:val="47"/>
        </w:numPr>
        <w:tabs>
          <w:tab w:val="left" w:pos="555"/>
        </w:tabs>
        <w:autoSpaceDE w:val="0"/>
        <w:autoSpaceDN w:val="0"/>
        <w:spacing w:before="196"/>
        <w:rPr>
          <w:lang w:val="sr-Cyrl-CS"/>
        </w:rPr>
      </w:pPr>
      <w:r w:rsidRPr="00895819">
        <w:rPr>
          <w:lang w:val="sr-Cyrl-CS"/>
        </w:rPr>
        <w:t>инфраструктур</w:t>
      </w:r>
      <w:r w:rsidR="00C61D70" w:rsidRPr="00895819">
        <w:rPr>
          <w:lang w:val="sr-Cyrl-CS"/>
        </w:rPr>
        <w:t>а</w:t>
      </w:r>
      <w:r w:rsidRPr="00895819">
        <w:rPr>
          <w:lang w:val="sr-Cyrl-CS"/>
        </w:rPr>
        <w:t xml:space="preserve"> која је повезана</w:t>
      </w:r>
      <w:r w:rsidR="00B16F8D" w:rsidRPr="00895819">
        <w:rPr>
          <w:rStyle w:val="FootnoteReference"/>
          <w:lang w:val="sr-Cyrl-CS"/>
        </w:rPr>
        <w:footnoteReference w:id="24"/>
      </w:r>
      <w:r w:rsidR="00B16F8D" w:rsidRPr="00895819">
        <w:rPr>
          <w:position w:val="6"/>
          <w:lang w:val="sr-Cyrl-CS"/>
        </w:rPr>
        <w:t xml:space="preserve"> </w:t>
      </w:r>
      <w:r w:rsidRPr="00895819">
        <w:rPr>
          <w:lang w:val="sr-Cyrl-CS"/>
        </w:rPr>
        <w:t xml:space="preserve">са постројењем за производњу, складиштење или прераду фосилних енергетских ресурса </w:t>
      </w:r>
      <w:r w:rsidR="00B16F8D" w:rsidRPr="00895819">
        <w:rPr>
          <w:spacing w:val="-1"/>
          <w:lang w:val="sr-Cyrl-CS"/>
        </w:rPr>
        <w:t>(</w:t>
      </w:r>
      <w:r w:rsidR="00FA08FD" w:rsidRPr="00895819">
        <w:rPr>
          <w:spacing w:val="-1"/>
          <w:lang w:val="sr-Cyrl-CS"/>
        </w:rPr>
        <w:t>рудници, постројења за прераду, складишта, итд</w:t>
      </w:r>
      <w:r w:rsidR="00B16F8D" w:rsidRPr="00895819">
        <w:rPr>
          <w:spacing w:val="-1"/>
          <w:lang w:val="sr-Cyrl-CS"/>
        </w:rPr>
        <w:t>.)</w:t>
      </w:r>
      <w:r w:rsidR="00B16F8D" w:rsidRPr="00895819">
        <w:rPr>
          <w:spacing w:val="-11"/>
          <w:lang w:val="sr-Cyrl-CS"/>
        </w:rPr>
        <w:t xml:space="preserve"> </w:t>
      </w:r>
      <w:r w:rsidR="00FA08FD" w:rsidRPr="00895819">
        <w:rPr>
          <w:spacing w:val="-1"/>
          <w:lang w:val="sr-Cyrl-CS"/>
        </w:rPr>
        <w:t xml:space="preserve">или за производњу електричне енергије из фосилних извора енергије из тачке 14. ове </w:t>
      </w:r>
      <w:r w:rsidR="00FA08FD" w:rsidRPr="00895819">
        <w:rPr>
          <w:spacing w:val="-1"/>
          <w:lang w:val="sr-Cyrl-CS"/>
        </w:rPr>
        <w:lastRenderedPageBreak/>
        <w:t>листе</w:t>
      </w:r>
      <w:r w:rsidR="00B16F8D" w:rsidRPr="00895819">
        <w:rPr>
          <w:spacing w:val="-2"/>
          <w:lang w:val="sr-Cyrl-CS"/>
        </w:rPr>
        <w:t>;</w:t>
      </w:r>
    </w:p>
    <w:p w14:paraId="10B2D61E" w14:textId="77777777" w:rsidR="00B16F8D" w:rsidRPr="00895819" w:rsidRDefault="005E707A" w:rsidP="00B16F8D">
      <w:pPr>
        <w:pStyle w:val="ListParagraph"/>
        <w:widowControl w:val="0"/>
        <w:numPr>
          <w:ilvl w:val="0"/>
          <w:numId w:val="47"/>
        </w:numPr>
        <w:tabs>
          <w:tab w:val="left" w:pos="555"/>
        </w:tabs>
        <w:autoSpaceDE w:val="0"/>
        <w:autoSpaceDN w:val="0"/>
        <w:spacing w:before="196"/>
        <w:rPr>
          <w:lang w:val="sr-Cyrl-CS"/>
        </w:rPr>
      </w:pPr>
      <w:r w:rsidRPr="00895819">
        <w:rPr>
          <w:spacing w:val="-1"/>
          <w:lang w:val="sr-Cyrl-CS"/>
        </w:rPr>
        <w:t>Пројекти за истраживање, производњу или прераду или намењени искључиво транспорту угља, гаса и нафте (конвенционални или неконвенционални</w:t>
      </w:r>
      <w:r w:rsidR="00B16F8D" w:rsidRPr="00895819">
        <w:rPr>
          <w:lang w:val="sr-Cyrl-CS"/>
        </w:rPr>
        <w:t>);</w:t>
      </w:r>
    </w:p>
    <w:p w14:paraId="37CD04AF" w14:textId="77777777" w:rsidR="00B16F8D" w:rsidRPr="00895819" w:rsidRDefault="005E707A" w:rsidP="00B16F8D">
      <w:pPr>
        <w:pStyle w:val="ListParagraph"/>
        <w:widowControl w:val="0"/>
        <w:numPr>
          <w:ilvl w:val="0"/>
          <w:numId w:val="47"/>
        </w:numPr>
        <w:tabs>
          <w:tab w:val="left" w:pos="555"/>
        </w:tabs>
        <w:autoSpaceDE w:val="0"/>
        <w:autoSpaceDN w:val="0"/>
        <w:spacing w:before="196"/>
        <w:rPr>
          <w:lang w:val="sr-Cyrl-CS"/>
        </w:rPr>
      </w:pPr>
      <w:r w:rsidRPr="00895819">
        <w:rPr>
          <w:lang w:val="sr-Cyrl-CS"/>
        </w:rPr>
        <w:t>Биодиверзитет</w:t>
      </w:r>
      <w:r w:rsidR="00B16F8D" w:rsidRPr="00895819">
        <w:rPr>
          <w:lang w:val="sr-Cyrl-CS"/>
        </w:rPr>
        <w:t>:</w:t>
      </w:r>
    </w:p>
    <w:p w14:paraId="4F396D00" w14:textId="35EE1D9C" w:rsidR="00B16F8D" w:rsidRPr="00895819" w:rsidRDefault="00C61D70" w:rsidP="00B16F8D">
      <w:pPr>
        <w:pStyle w:val="ListParagraph"/>
        <w:widowControl w:val="0"/>
        <w:numPr>
          <w:ilvl w:val="1"/>
          <w:numId w:val="47"/>
        </w:numPr>
        <w:tabs>
          <w:tab w:val="left" w:pos="555"/>
        </w:tabs>
        <w:autoSpaceDE w:val="0"/>
        <w:autoSpaceDN w:val="0"/>
        <w:rPr>
          <w:lang w:val="sr-Cyrl-CS"/>
        </w:rPr>
      </w:pPr>
      <w:r w:rsidRPr="00895819">
        <w:rPr>
          <w:spacing w:val="-1"/>
          <w:lang w:val="sr-Cyrl-CS"/>
        </w:rPr>
        <w:t>с</w:t>
      </w:r>
      <w:r w:rsidR="00AA7FAA" w:rsidRPr="00895819">
        <w:rPr>
          <w:spacing w:val="-1"/>
          <w:lang w:val="sr-Cyrl-CS"/>
        </w:rPr>
        <w:t xml:space="preserve">вако финансирање </w:t>
      </w:r>
      <w:r w:rsidR="00B16F8D" w:rsidRPr="00895819">
        <w:rPr>
          <w:spacing w:val="-1"/>
          <w:lang w:val="sr-Cyrl-CS"/>
        </w:rPr>
        <w:t xml:space="preserve">(a) </w:t>
      </w:r>
      <w:r w:rsidRPr="00895819">
        <w:rPr>
          <w:spacing w:val="-1"/>
          <w:lang w:val="sr-Cyrl-CS"/>
        </w:rPr>
        <w:t xml:space="preserve">локалитета Алијансе за нулто изумирање </w:t>
      </w:r>
      <w:r w:rsidR="00B16F8D" w:rsidRPr="00895819">
        <w:rPr>
          <w:spacing w:val="-1"/>
          <w:lang w:val="sr-Cyrl-CS"/>
        </w:rPr>
        <w:t>(</w:t>
      </w:r>
      <w:r w:rsidRPr="00895819">
        <w:rPr>
          <w:spacing w:val="-1"/>
          <w:lang w:val="sr-Cyrl-CS"/>
        </w:rPr>
        <w:t>АЗЕ</w:t>
      </w:r>
      <w:r w:rsidR="00B16F8D" w:rsidRPr="00895819">
        <w:rPr>
          <w:lang w:val="sr-Cyrl-CS"/>
        </w:rPr>
        <w:t>)</w:t>
      </w:r>
      <w:r w:rsidR="00B16F8D" w:rsidRPr="00895819">
        <w:rPr>
          <w:rStyle w:val="FootnoteReference"/>
          <w:position w:val="6"/>
          <w:lang w:val="sr-Cyrl-CS"/>
        </w:rPr>
        <w:footnoteReference w:id="25"/>
      </w:r>
      <w:r w:rsidR="00B16F8D" w:rsidRPr="00895819">
        <w:rPr>
          <w:lang w:val="sr-Cyrl-CS"/>
        </w:rPr>
        <w:t xml:space="preserve"> </w:t>
      </w:r>
      <w:r w:rsidR="00B16F8D" w:rsidRPr="00895819">
        <w:rPr>
          <w:vertAlign w:val="superscript"/>
          <w:lang w:val="sr-Cyrl-CS"/>
        </w:rPr>
        <w:t>/</w:t>
      </w:r>
      <w:r w:rsidR="00B16F8D" w:rsidRPr="00895819">
        <w:rPr>
          <w:lang w:val="sr-Cyrl-CS"/>
        </w:rPr>
        <w:t xml:space="preserve"> </w:t>
      </w:r>
      <w:r w:rsidR="00B16F8D" w:rsidRPr="00895819">
        <w:rPr>
          <w:rStyle w:val="FootnoteReference"/>
          <w:lang w:val="sr-Cyrl-CS"/>
        </w:rPr>
        <w:footnoteReference w:id="26"/>
      </w:r>
      <w:r w:rsidR="00A23467" w:rsidRPr="00895819">
        <w:rPr>
          <w:lang w:val="sr-Cyrl-CS"/>
        </w:rPr>
        <w:t>, (б</w:t>
      </w:r>
      <w:r w:rsidR="00B16F8D" w:rsidRPr="00895819">
        <w:rPr>
          <w:lang w:val="sr-Cyrl-CS"/>
        </w:rPr>
        <w:t xml:space="preserve">) </w:t>
      </w:r>
      <w:r w:rsidR="0037713F" w:rsidRPr="00895819">
        <w:rPr>
          <w:lang w:val="sr-Cyrl-CS"/>
        </w:rPr>
        <w:t xml:space="preserve">природних и мешовитих локалитета </w:t>
      </w:r>
      <w:r w:rsidRPr="00895819">
        <w:rPr>
          <w:lang w:val="sr-Cyrl-CS"/>
        </w:rPr>
        <w:t>на Унесковој листи светске баштине;</w:t>
      </w:r>
      <w:r w:rsidR="00B16F8D" w:rsidRPr="00895819">
        <w:rPr>
          <w:spacing w:val="-16"/>
          <w:vertAlign w:val="superscript"/>
          <w:lang w:val="sr-Cyrl-CS"/>
        </w:rPr>
        <w:t>27</w:t>
      </w:r>
      <w:r w:rsidR="00B16F8D" w:rsidRPr="00895819">
        <w:rPr>
          <w:spacing w:val="4"/>
          <w:position w:val="6"/>
          <w:lang w:val="sr-Cyrl-CS"/>
        </w:rPr>
        <w:t xml:space="preserve"> </w:t>
      </w:r>
      <w:r w:rsidRPr="00895819">
        <w:rPr>
          <w:spacing w:val="-3"/>
          <w:lang w:val="sr-Cyrl-CS"/>
        </w:rPr>
        <w:t>и</w:t>
      </w:r>
      <w:r w:rsidR="00B16F8D" w:rsidRPr="00895819">
        <w:rPr>
          <w:spacing w:val="-16"/>
          <w:lang w:val="sr-Cyrl-CS"/>
        </w:rPr>
        <w:t xml:space="preserve"> </w:t>
      </w:r>
      <w:r w:rsidR="00A23467" w:rsidRPr="00895819">
        <w:rPr>
          <w:spacing w:val="-3"/>
          <w:lang w:val="sr-Cyrl-CS"/>
        </w:rPr>
        <w:t>(ц</w:t>
      </w:r>
      <w:r w:rsidR="00B16F8D" w:rsidRPr="00895819">
        <w:rPr>
          <w:spacing w:val="-3"/>
          <w:lang w:val="sr-Cyrl-CS"/>
        </w:rPr>
        <w:t>)</w:t>
      </w:r>
      <w:r w:rsidR="00B16F8D" w:rsidRPr="00895819">
        <w:rPr>
          <w:spacing w:val="-16"/>
          <w:lang w:val="sr-Cyrl-CS"/>
        </w:rPr>
        <w:t xml:space="preserve"> </w:t>
      </w:r>
      <w:r w:rsidRPr="00895819">
        <w:rPr>
          <w:spacing w:val="-1"/>
          <w:lang w:val="sr-Cyrl-CS"/>
        </w:rPr>
        <w:t>законски заштићених подручја</w:t>
      </w:r>
      <w:r w:rsidR="00B16F8D" w:rsidRPr="00895819">
        <w:rPr>
          <w:spacing w:val="-44"/>
          <w:lang w:val="sr-Cyrl-CS"/>
        </w:rPr>
        <w:t xml:space="preserve">   </w:t>
      </w:r>
      <w:r w:rsidR="00B16F8D" w:rsidRPr="00895819">
        <w:rPr>
          <w:lang w:val="sr-Cyrl-CS"/>
        </w:rPr>
        <w:t>(</w:t>
      </w:r>
      <w:r w:rsidRPr="00895819">
        <w:rPr>
          <w:lang w:val="sr-Cyrl-CS"/>
        </w:rPr>
        <w:t>ИУЦН категорије</w:t>
      </w:r>
      <w:r w:rsidR="00B16F8D" w:rsidRPr="00895819">
        <w:rPr>
          <w:lang w:val="sr-Cyrl-CS"/>
        </w:rPr>
        <w:t>)</w:t>
      </w:r>
      <w:r w:rsidRPr="00895819">
        <w:rPr>
          <w:lang w:val="sr-Cyrl-CS"/>
        </w:rPr>
        <w:t>;</w:t>
      </w:r>
      <w:r w:rsidR="00B16F8D" w:rsidRPr="00895819">
        <w:rPr>
          <w:rStyle w:val="FootnoteReference"/>
          <w:spacing w:val="19"/>
          <w:position w:val="6"/>
          <w:lang w:val="sr-Cyrl-CS"/>
        </w:rPr>
        <w:footnoteReference w:id="27"/>
      </w:r>
      <w:r w:rsidR="00B16F8D" w:rsidRPr="00895819">
        <w:rPr>
          <w:spacing w:val="19"/>
          <w:position w:val="6"/>
          <w:lang w:val="sr-Cyrl-CS"/>
        </w:rPr>
        <w:t xml:space="preserve"> </w:t>
      </w:r>
      <w:r w:rsidR="00AA7FAA" w:rsidRPr="00895819">
        <w:rPr>
          <w:lang w:val="sr-Cyrl-CS"/>
        </w:rPr>
        <w:t>и</w:t>
      </w:r>
    </w:p>
    <w:p w14:paraId="69177CCD" w14:textId="77777777" w:rsidR="00B16F8D" w:rsidRPr="00895819" w:rsidRDefault="00AA7FAA" w:rsidP="00B16F8D">
      <w:pPr>
        <w:pStyle w:val="ListParagraph"/>
        <w:widowControl w:val="0"/>
        <w:numPr>
          <w:ilvl w:val="1"/>
          <w:numId w:val="47"/>
        </w:numPr>
        <w:tabs>
          <w:tab w:val="left" w:pos="555"/>
        </w:tabs>
        <w:autoSpaceDE w:val="0"/>
        <w:autoSpaceDN w:val="0"/>
        <w:spacing w:before="196"/>
        <w:rPr>
          <w:lang w:val="sr-Cyrl-CS"/>
        </w:rPr>
      </w:pPr>
      <w:r w:rsidRPr="00895819">
        <w:rPr>
          <w:lang w:val="sr-Cyrl-CS"/>
        </w:rPr>
        <w:t>сваку операцију која води до штетног и неповратног</w:t>
      </w:r>
      <w:r w:rsidR="00B16F8D" w:rsidRPr="00895819">
        <w:rPr>
          <w:rStyle w:val="FootnoteReference"/>
          <w:position w:val="6"/>
          <w:lang w:val="sr-Cyrl-CS"/>
        </w:rPr>
        <w:footnoteReference w:id="28"/>
      </w:r>
      <w:r w:rsidR="00B16F8D" w:rsidRPr="00895819">
        <w:rPr>
          <w:position w:val="6"/>
          <w:lang w:val="sr-Cyrl-CS"/>
        </w:rPr>
        <w:t xml:space="preserve"> </w:t>
      </w:r>
      <w:r w:rsidRPr="00895819">
        <w:rPr>
          <w:spacing w:val="-1"/>
          <w:lang w:val="sr-Cyrl-CS"/>
        </w:rPr>
        <w:t>или резидуалног</w:t>
      </w:r>
      <w:r w:rsidR="00B16F8D" w:rsidRPr="00895819">
        <w:rPr>
          <w:rStyle w:val="FootnoteReference"/>
          <w:spacing w:val="-1"/>
          <w:lang w:val="sr-Cyrl-CS"/>
        </w:rPr>
        <w:footnoteReference w:id="29"/>
      </w:r>
      <w:r w:rsidR="00B16F8D" w:rsidRPr="00895819">
        <w:rPr>
          <w:spacing w:val="18"/>
          <w:position w:val="6"/>
          <w:lang w:val="sr-Cyrl-CS"/>
        </w:rPr>
        <w:t xml:space="preserve"> </w:t>
      </w:r>
      <w:r w:rsidRPr="00895819">
        <w:rPr>
          <w:spacing w:val="-1"/>
          <w:lang w:val="sr-Cyrl-CS"/>
        </w:rPr>
        <w:t>утицаја на кључно станиште</w:t>
      </w:r>
      <w:r w:rsidR="00B16F8D" w:rsidRPr="00895819">
        <w:rPr>
          <w:rStyle w:val="FootnoteReference"/>
          <w:lang w:val="sr-Cyrl-CS"/>
        </w:rPr>
        <w:footnoteReference w:id="30"/>
      </w:r>
      <w:r w:rsidR="00B16F8D" w:rsidRPr="00895819">
        <w:rPr>
          <w:spacing w:val="-1"/>
          <w:vertAlign w:val="superscript"/>
          <w:lang w:val="sr-Cyrl-CS"/>
        </w:rPr>
        <w:t xml:space="preserve"> / </w:t>
      </w:r>
      <w:r w:rsidR="00B16F8D" w:rsidRPr="00895819">
        <w:rPr>
          <w:rStyle w:val="FootnoteReference"/>
          <w:spacing w:val="-1"/>
          <w:lang w:val="sr-Cyrl-CS"/>
        </w:rPr>
        <w:footnoteReference w:id="31"/>
      </w:r>
    </w:p>
    <w:p w14:paraId="451BC294" w14:textId="76B8407D" w:rsidR="00B16F8D" w:rsidRPr="00895819" w:rsidRDefault="00C61D70" w:rsidP="00B16F8D">
      <w:pPr>
        <w:pStyle w:val="ListParagraph"/>
        <w:widowControl w:val="0"/>
        <w:numPr>
          <w:ilvl w:val="1"/>
          <w:numId w:val="47"/>
        </w:numPr>
        <w:tabs>
          <w:tab w:val="left" w:pos="555"/>
        </w:tabs>
        <w:autoSpaceDE w:val="0"/>
        <w:autoSpaceDN w:val="0"/>
        <w:spacing w:before="196"/>
        <w:rPr>
          <w:lang w:val="sr-Cyrl-CS"/>
        </w:rPr>
      </w:pPr>
      <w:r w:rsidRPr="00895819">
        <w:rPr>
          <w:lang w:val="sr-Cyrl-CS"/>
        </w:rPr>
        <w:t>с</w:t>
      </w:r>
      <w:r w:rsidR="00AA7FAA" w:rsidRPr="00895819">
        <w:rPr>
          <w:lang w:val="sr-Cyrl-CS"/>
        </w:rPr>
        <w:t xml:space="preserve">ваки шумски пројекат или пољопривредни пројекат са широким обухватом (&gt;100 </w:t>
      </w:r>
      <w:r w:rsidR="00A23467" w:rsidRPr="00895819">
        <w:rPr>
          <w:lang w:val="sr-Cyrl-CS"/>
        </w:rPr>
        <w:t>ha</w:t>
      </w:r>
      <w:r w:rsidR="00AA7FAA" w:rsidRPr="00895819">
        <w:rPr>
          <w:lang w:val="sr-Cyrl-CS"/>
        </w:rPr>
        <w:t>) који не примењује методологију</w:t>
      </w:r>
      <w:r w:rsidR="00B16F8D" w:rsidRPr="00895819">
        <w:rPr>
          <w:rStyle w:val="FootnoteReference"/>
          <w:w w:val="95"/>
          <w:lang w:val="sr-Cyrl-CS"/>
        </w:rPr>
        <w:footnoteReference w:id="32"/>
      </w:r>
      <w:r w:rsidR="00B16F8D" w:rsidRPr="00895819">
        <w:rPr>
          <w:spacing w:val="1"/>
          <w:w w:val="95"/>
          <w:position w:val="6"/>
          <w:lang w:val="sr-Cyrl-CS"/>
        </w:rPr>
        <w:t xml:space="preserve"> </w:t>
      </w:r>
      <w:r w:rsidR="00AA7FAA" w:rsidRPr="00895819">
        <w:rPr>
          <w:lang w:val="sr-Cyrl-CS"/>
        </w:rPr>
        <w:t>којом се обезбеђује</w:t>
      </w:r>
      <w:r w:rsidRPr="00895819">
        <w:rPr>
          <w:lang w:val="sr-Cyrl-CS"/>
        </w:rPr>
        <w:t xml:space="preserve"> да се не крче шуме</w:t>
      </w:r>
      <w:r w:rsidR="00B16F8D" w:rsidRPr="00895819">
        <w:rPr>
          <w:lang w:val="sr-Cyrl-CS"/>
        </w:rPr>
        <w:t>;</w:t>
      </w:r>
    </w:p>
    <w:p w14:paraId="55047624" w14:textId="77777777" w:rsidR="00B16F8D" w:rsidRPr="00895819" w:rsidRDefault="00AA7FAA" w:rsidP="00B16F8D">
      <w:pPr>
        <w:pStyle w:val="ListParagraph"/>
        <w:widowControl w:val="0"/>
        <w:numPr>
          <w:ilvl w:val="0"/>
          <w:numId w:val="47"/>
        </w:numPr>
        <w:tabs>
          <w:tab w:val="left" w:pos="555"/>
        </w:tabs>
        <w:autoSpaceDE w:val="0"/>
        <w:autoSpaceDN w:val="0"/>
        <w:spacing w:before="196"/>
        <w:rPr>
          <w:lang w:val="sr-Cyrl-CS"/>
        </w:rPr>
      </w:pPr>
      <w:r w:rsidRPr="00895819">
        <w:rPr>
          <w:spacing w:val="-2"/>
          <w:lang w:val="sr-Cyrl-CS"/>
        </w:rPr>
        <w:t>Пројекти чија сврха и/или приступ нису у складу са људским правима, а</w:t>
      </w:r>
      <w:r w:rsidR="003A2DCD" w:rsidRPr="00895819">
        <w:rPr>
          <w:spacing w:val="-2"/>
          <w:lang w:val="sr-Cyrl-CS"/>
        </w:rPr>
        <w:t xml:space="preserve"> </w:t>
      </w:r>
      <w:r w:rsidRPr="00895819">
        <w:rPr>
          <w:spacing w:val="-2"/>
          <w:lang w:val="sr-Cyrl-CS"/>
        </w:rPr>
        <w:t>у случају финансирања приватног сектора, пројекти засновани на образложењима која су јасно у супротности са Водећим принципима Уједињених нација о пословању и људским правима</w:t>
      </w:r>
      <w:r w:rsidR="00B16F8D" w:rsidRPr="00895819">
        <w:rPr>
          <w:rStyle w:val="FootnoteReference"/>
          <w:lang w:val="sr-Cyrl-CS"/>
        </w:rPr>
        <w:footnoteReference w:id="33"/>
      </w:r>
      <w:r w:rsidR="00B16F8D" w:rsidRPr="00895819">
        <w:rPr>
          <w:lang w:val="sr-Cyrl-CS"/>
        </w:rPr>
        <w:t>;</w:t>
      </w:r>
    </w:p>
    <w:p w14:paraId="27351CC5" w14:textId="77777777" w:rsidR="00B16F8D" w:rsidRPr="00895819" w:rsidRDefault="00AA7FAA" w:rsidP="00B16F8D">
      <w:pPr>
        <w:pStyle w:val="ListParagraph"/>
        <w:widowControl w:val="0"/>
        <w:numPr>
          <w:ilvl w:val="0"/>
          <w:numId w:val="47"/>
        </w:numPr>
        <w:tabs>
          <w:tab w:val="left" w:pos="555"/>
        </w:tabs>
        <w:autoSpaceDE w:val="0"/>
        <w:autoSpaceDN w:val="0"/>
        <w:spacing w:before="196"/>
        <w:rPr>
          <w:color w:val="003573"/>
          <w:lang w:val="sr-Cyrl-CS"/>
        </w:rPr>
      </w:pPr>
      <w:r w:rsidRPr="00895819">
        <w:rPr>
          <w:spacing w:val="-2"/>
          <w:lang w:val="sr-Cyrl-CS"/>
        </w:rPr>
        <w:t xml:space="preserve">Пројекти за које је познато да спроводе принудно </w:t>
      </w:r>
      <w:r w:rsidR="00A93F04" w:rsidRPr="00895819">
        <w:rPr>
          <w:spacing w:val="-2"/>
          <w:lang w:val="sr-Cyrl-CS"/>
        </w:rPr>
        <w:t>расељавање</w:t>
      </w:r>
      <w:r w:rsidRPr="00895819">
        <w:rPr>
          <w:spacing w:val="-2"/>
          <w:lang w:val="sr-Cyrl-CS"/>
        </w:rPr>
        <w:t xml:space="preserve"> у смислу значења које му дају Уједињене нације</w:t>
      </w:r>
      <w:r w:rsidR="00B16F8D" w:rsidRPr="00895819">
        <w:rPr>
          <w:spacing w:val="-2"/>
          <w:lang w:val="sr-Cyrl-CS"/>
        </w:rPr>
        <w:footnoteReference w:id="34"/>
      </w:r>
      <w:r w:rsidR="00B16F8D" w:rsidRPr="00895819">
        <w:rPr>
          <w:spacing w:val="-2"/>
          <w:lang w:val="sr-Cyrl-CS"/>
        </w:rPr>
        <w:t xml:space="preserve"> </w:t>
      </w:r>
      <w:r w:rsidRPr="00895819">
        <w:rPr>
          <w:spacing w:val="-2"/>
          <w:lang w:val="sr-Cyrl-CS"/>
        </w:rPr>
        <w:t>на територији где се предложени пројекат реализује, а чије исељење може бити узрочно повезано са сврхом пројекта и које је материјално немогуће надокнадити</w:t>
      </w:r>
      <w:r w:rsidR="00B16F8D" w:rsidRPr="00895819">
        <w:rPr>
          <w:rStyle w:val="FootnoteReference"/>
          <w:lang w:val="sr-Cyrl-CS"/>
        </w:rPr>
        <w:footnoteReference w:id="35"/>
      </w:r>
      <w:r w:rsidR="00B16F8D" w:rsidRPr="00895819">
        <w:rPr>
          <w:lang w:val="sr-Cyrl-CS"/>
        </w:rPr>
        <w:t>.</w:t>
      </w:r>
    </w:p>
    <w:p w14:paraId="3B9D754D" w14:textId="77777777" w:rsidR="00B16F8D" w:rsidRPr="00895819" w:rsidRDefault="00B16F8D" w:rsidP="00B16F8D">
      <w:pPr>
        <w:tabs>
          <w:tab w:val="left" w:pos="1200"/>
        </w:tabs>
        <w:rPr>
          <w:lang w:val="sr-Cyrl-CS" w:eastAsia="en-US"/>
        </w:rPr>
      </w:pPr>
    </w:p>
    <w:bookmarkEnd w:id="0"/>
    <w:p w14:paraId="22A9EC9B" w14:textId="77777777" w:rsidR="00485361" w:rsidRPr="00895819" w:rsidRDefault="00485361">
      <w:pPr>
        <w:rPr>
          <w:lang w:val="sr-Cyrl-CS"/>
        </w:rPr>
      </w:pPr>
    </w:p>
    <w:sectPr w:rsidR="00485361" w:rsidRPr="00895819" w:rsidSect="00485361">
      <w:pgSz w:w="11906" w:h="16838"/>
      <w:pgMar w:top="1417" w:right="1417" w:bottom="1417" w:left="1417" w:header="708" w:footer="40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E694E" w14:textId="77777777" w:rsidR="00A6784E" w:rsidRDefault="00A6784E" w:rsidP="00B16F8D">
      <w:r>
        <w:separator/>
      </w:r>
    </w:p>
  </w:endnote>
  <w:endnote w:type="continuationSeparator" w:id="0">
    <w:p w14:paraId="7CA23EF3" w14:textId="77777777" w:rsidR="00A6784E" w:rsidRDefault="00A6784E" w:rsidP="00B16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Marlett">
    <w:panose1 w:val="00000000000000000000"/>
    <w:charset w:val="02"/>
    <w:family w:val="auto"/>
    <w:pitch w:val="variable"/>
    <w:sig w:usb0="00000000" w:usb1="10000000" w:usb2="00000000" w:usb3="00000000" w:csb0="80000000" w:csb1="00000000"/>
  </w:font>
  <w:font w:name="MS Outlook">
    <w:charset w:val="02"/>
    <w:family w:val="decorative"/>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Gras">
    <w:altName w:val="Times New Roman"/>
    <w:charset w:val="00"/>
    <w:family w:val="auto"/>
    <w:pitch w:val="default"/>
  </w:font>
  <w:font w:name="Roboto Lt">
    <w:altName w:val="Times New Roman"/>
    <w:charset w:val="01"/>
    <w:family w:val="auto"/>
    <w:pitch w:val="variable"/>
  </w:font>
  <w:font w:name="Haettenschweiler">
    <w:panose1 w:val="020B070604090206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3" w:usb1="00000000" w:usb2="00000000" w:usb3="00000000" w:csb0="00000001"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Swis721 LtCn BT">
    <w:altName w:val="Segoe Print"/>
    <w:charset w:val="00"/>
    <w:family w:val="swiss"/>
    <w:pitch w:val="variable"/>
    <w:sig w:usb0="00000003" w:usb1="00000000" w:usb2="00000000" w:usb3="00000000" w:csb0="0000001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BCB71" w14:textId="77777777" w:rsidR="00B34C6C" w:rsidRDefault="00B34C6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72</w:t>
    </w:r>
    <w:r>
      <w:rPr>
        <w:rStyle w:val="PageNumber"/>
      </w:rPr>
      <w:fldChar w:fldCharType="end"/>
    </w:r>
  </w:p>
  <w:p w14:paraId="65089167" w14:textId="77777777" w:rsidR="00B34C6C" w:rsidRDefault="00B34C6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51B02" w14:textId="32DBE315" w:rsidR="00B34C6C" w:rsidRDefault="00B34C6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25173">
      <w:rPr>
        <w:rStyle w:val="PageNumber"/>
        <w:noProof/>
      </w:rPr>
      <w:t>145</w:t>
    </w:r>
    <w:r>
      <w:rPr>
        <w:rStyle w:val="PageNumber"/>
      </w:rPr>
      <w:fldChar w:fldCharType="end"/>
    </w:r>
  </w:p>
  <w:p w14:paraId="4D49CCCE" w14:textId="77777777" w:rsidR="00B34C6C" w:rsidRDefault="00B34C6C">
    <w:pPr>
      <w:pStyle w:val="Footer"/>
      <w:spacing w:line="200" w:lineRule="exact"/>
      <w:ind w:right="36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07B34" w14:textId="6E757442" w:rsidR="00B34C6C" w:rsidRDefault="00B34C6C">
    <w:pPr>
      <w:pStyle w:val="Footer"/>
      <w:spacing w:line="200" w:lineRule="exact"/>
      <w:jc w:val="left"/>
      <w:rPr>
        <w:rFonts w:ascii="Arial" w:hAnsi="Arial" w:cs="Arial"/>
        <w:sz w:val="16"/>
        <w:szCs w:val="16"/>
      </w:rPr>
    </w:pPr>
    <w:r>
      <w:rPr>
        <w:rFonts w:ascii="Arial" w:hAnsi="Arial" w:cs="Arial"/>
        <w:sz w:val="16"/>
        <w:szCs w:val="16"/>
      </w:rPr>
      <w:tab/>
    </w:r>
    <w:r>
      <w:rPr>
        <w:rStyle w:val="PageNumber"/>
        <w:sz w:val="16"/>
        <w:szCs w:val="16"/>
      </w:rPr>
      <w:fldChar w:fldCharType="begin"/>
    </w:r>
    <w:r>
      <w:rPr>
        <w:rStyle w:val="PageNumber"/>
        <w:sz w:val="16"/>
        <w:szCs w:val="16"/>
      </w:rPr>
      <w:instrText xml:space="preserve"> PAGE </w:instrText>
    </w:r>
    <w:r>
      <w:rPr>
        <w:rStyle w:val="PageNumber"/>
        <w:sz w:val="16"/>
        <w:szCs w:val="16"/>
      </w:rPr>
      <w:fldChar w:fldCharType="separate"/>
    </w:r>
    <w:r w:rsidR="00C25173">
      <w:rPr>
        <w:rStyle w:val="PageNumber"/>
        <w:noProof/>
        <w:sz w:val="16"/>
        <w:szCs w:val="16"/>
      </w:rPr>
      <w:t>98</w:t>
    </w:r>
    <w:r>
      <w:rPr>
        <w:rStyle w:val="PageNumbe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3AA04" w14:textId="77777777" w:rsidR="00B34C6C" w:rsidRDefault="00B34C6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72</w:t>
    </w:r>
    <w:r>
      <w:rPr>
        <w:rStyle w:val="PageNumber"/>
      </w:rPr>
      <w:fldChar w:fldCharType="end"/>
    </w:r>
  </w:p>
  <w:p w14:paraId="28BE313F" w14:textId="77777777" w:rsidR="00B34C6C" w:rsidRDefault="00B34C6C">
    <w:pPr>
      <w:pStyle w:val="Footer"/>
      <w:ind w:right="360"/>
    </w:pPr>
  </w:p>
  <w:p w14:paraId="237416E7" w14:textId="77777777" w:rsidR="00B34C6C" w:rsidRDefault="00B34C6C"/>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EF31D" w14:textId="16CB6383" w:rsidR="00B34C6C" w:rsidRDefault="00B34C6C">
    <w:pPr>
      <w:pStyle w:val="Footer"/>
      <w:spacing w:line="200" w:lineRule="exact"/>
      <w:jc w:val="left"/>
      <w:rPr>
        <w:rFonts w:ascii="Arial" w:hAnsi="Arial" w:cs="Arial"/>
        <w:sz w:val="16"/>
        <w:szCs w:val="16"/>
      </w:rPr>
    </w:pPr>
    <w:r>
      <w:rPr>
        <w:rFonts w:ascii="Arial" w:hAnsi="Arial" w:cs="Arial"/>
        <w:sz w:val="16"/>
        <w:szCs w:val="16"/>
      </w:rPr>
      <w:tab/>
    </w:r>
    <w:r>
      <w:rPr>
        <w:rStyle w:val="PageNumber"/>
        <w:sz w:val="16"/>
        <w:szCs w:val="16"/>
      </w:rPr>
      <w:fldChar w:fldCharType="begin"/>
    </w:r>
    <w:r>
      <w:rPr>
        <w:rStyle w:val="PageNumber"/>
        <w:sz w:val="16"/>
        <w:szCs w:val="16"/>
      </w:rPr>
      <w:instrText xml:space="preserve"> PAGE </w:instrText>
    </w:r>
    <w:r>
      <w:rPr>
        <w:rStyle w:val="PageNumber"/>
        <w:sz w:val="16"/>
        <w:szCs w:val="16"/>
      </w:rPr>
      <w:fldChar w:fldCharType="separate"/>
    </w:r>
    <w:r w:rsidR="00F84CA2">
      <w:rPr>
        <w:rStyle w:val="PageNumber"/>
        <w:noProof/>
        <w:sz w:val="16"/>
        <w:szCs w:val="16"/>
      </w:rPr>
      <w:t>179</w:t>
    </w:r>
    <w:r>
      <w:rPr>
        <w:rStyle w:val="PageNumber"/>
        <w:sz w:val="16"/>
        <w:szCs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4A19A" w14:textId="092A9C12" w:rsidR="00B34C6C" w:rsidRDefault="00B34C6C">
    <w:pPr>
      <w:pStyle w:val="Footer"/>
      <w:spacing w:line="200" w:lineRule="exact"/>
      <w:jc w:val="left"/>
      <w:rPr>
        <w:rFonts w:ascii="Arial" w:hAnsi="Arial" w:cs="Arial"/>
        <w:sz w:val="16"/>
        <w:szCs w:val="16"/>
      </w:rPr>
    </w:pPr>
    <w:r>
      <w:rPr>
        <w:rFonts w:ascii="Arial" w:hAnsi="Arial" w:cs="Arial"/>
        <w:sz w:val="16"/>
        <w:szCs w:val="16"/>
      </w:rPr>
      <w:tab/>
    </w:r>
    <w:r>
      <w:rPr>
        <w:rStyle w:val="PageNumber"/>
        <w:sz w:val="16"/>
        <w:szCs w:val="16"/>
      </w:rPr>
      <w:fldChar w:fldCharType="begin"/>
    </w:r>
    <w:r>
      <w:rPr>
        <w:rStyle w:val="PageNumber"/>
        <w:sz w:val="16"/>
        <w:szCs w:val="16"/>
      </w:rPr>
      <w:instrText xml:space="preserve"> PAGE </w:instrText>
    </w:r>
    <w:r>
      <w:rPr>
        <w:rStyle w:val="PageNumber"/>
        <w:sz w:val="16"/>
        <w:szCs w:val="16"/>
      </w:rPr>
      <w:fldChar w:fldCharType="separate"/>
    </w:r>
    <w:r w:rsidR="00F84CA2">
      <w:rPr>
        <w:rStyle w:val="PageNumber"/>
        <w:noProof/>
        <w:sz w:val="16"/>
        <w:szCs w:val="16"/>
      </w:rPr>
      <w:t>178</w:t>
    </w:r>
    <w:r>
      <w:rPr>
        <w:rStyle w:val="PageNumber"/>
        <w:sz w:val="16"/>
        <w:szCs w:val="16"/>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FB612" w14:textId="77777777" w:rsidR="00B34C6C" w:rsidRDefault="00B34C6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72</w:t>
    </w:r>
    <w:r>
      <w:rPr>
        <w:rStyle w:val="PageNumber"/>
      </w:rPr>
      <w:fldChar w:fldCharType="end"/>
    </w:r>
  </w:p>
  <w:p w14:paraId="12E8BF49" w14:textId="77777777" w:rsidR="00B34C6C" w:rsidRDefault="00B34C6C">
    <w:pPr>
      <w:pStyle w:val="Footer"/>
      <w:ind w:right="360"/>
    </w:pPr>
  </w:p>
  <w:p w14:paraId="05FF18FB" w14:textId="77777777" w:rsidR="00B34C6C" w:rsidRDefault="00B34C6C"/>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F93D8" w14:textId="4C2B5550" w:rsidR="00B34C6C" w:rsidRDefault="00B34C6C">
    <w:pPr>
      <w:pStyle w:val="Footer"/>
      <w:spacing w:line="200" w:lineRule="exact"/>
      <w:jc w:val="left"/>
      <w:rPr>
        <w:rFonts w:ascii="Arial" w:hAnsi="Arial" w:cs="Arial"/>
        <w:sz w:val="16"/>
        <w:szCs w:val="16"/>
      </w:rPr>
    </w:pPr>
    <w:r>
      <w:rPr>
        <w:rFonts w:ascii="Arial" w:hAnsi="Arial" w:cs="Arial"/>
        <w:sz w:val="16"/>
        <w:szCs w:val="16"/>
      </w:rPr>
      <w:tab/>
    </w:r>
    <w:r>
      <w:rPr>
        <w:rStyle w:val="PageNumber"/>
        <w:sz w:val="16"/>
        <w:szCs w:val="16"/>
      </w:rPr>
      <w:fldChar w:fldCharType="begin"/>
    </w:r>
    <w:r>
      <w:rPr>
        <w:rStyle w:val="PageNumber"/>
        <w:sz w:val="16"/>
        <w:szCs w:val="16"/>
      </w:rPr>
      <w:instrText xml:space="preserve"> PAGE </w:instrText>
    </w:r>
    <w:r>
      <w:rPr>
        <w:rStyle w:val="PageNumber"/>
        <w:sz w:val="16"/>
        <w:szCs w:val="16"/>
      </w:rPr>
      <w:fldChar w:fldCharType="separate"/>
    </w:r>
    <w:r w:rsidR="00F84CA2">
      <w:rPr>
        <w:rStyle w:val="PageNumber"/>
        <w:noProof/>
        <w:sz w:val="16"/>
        <w:szCs w:val="16"/>
      </w:rPr>
      <w:t>198</w:t>
    </w:r>
    <w:r>
      <w:rPr>
        <w:rStyle w:val="PageNumber"/>
        <w:sz w:val="16"/>
        <w:szCs w:val="16"/>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917B8" w14:textId="77CBD9E3" w:rsidR="00B34C6C" w:rsidRDefault="00B34C6C">
    <w:pPr>
      <w:pStyle w:val="Footer"/>
      <w:spacing w:line="200" w:lineRule="exact"/>
      <w:jc w:val="left"/>
      <w:rPr>
        <w:rFonts w:ascii="Arial" w:hAnsi="Arial" w:cs="Arial"/>
        <w:sz w:val="16"/>
        <w:szCs w:val="16"/>
      </w:rPr>
    </w:pPr>
    <w:r>
      <w:rPr>
        <w:rFonts w:ascii="Arial" w:hAnsi="Arial" w:cs="Arial"/>
        <w:sz w:val="16"/>
        <w:szCs w:val="16"/>
      </w:rPr>
      <w:tab/>
    </w:r>
    <w:r>
      <w:rPr>
        <w:rStyle w:val="PageNumber"/>
        <w:sz w:val="16"/>
        <w:szCs w:val="16"/>
      </w:rPr>
      <w:fldChar w:fldCharType="begin"/>
    </w:r>
    <w:r>
      <w:rPr>
        <w:rStyle w:val="PageNumber"/>
        <w:sz w:val="16"/>
        <w:szCs w:val="16"/>
      </w:rPr>
      <w:instrText xml:space="preserve"> PAGE </w:instrText>
    </w:r>
    <w:r>
      <w:rPr>
        <w:rStyle w:val="PageNumber"/>
        <w:sz w:val="16"/>
        <w:szCs w:val="16"/>
      </w:rPr>
      <w:fldChar w:fldCharType="separate"/>
    </w:r>
    <w:r w:rsidR="00F84CA2">
      <w:rPr>
        <w:rStyle w:val="PageNumber"/>
        <w:noProof/>
        <w:sz w:val="16"/>
        <w:szCs w:val="16"/>
      </w:rPr>
      <w:t>196</w:t>
    </w:r>
    <w:r>
      <w:rPr>
        <w:rStyle w:val="PageNumbe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B6F41" w14:textId="77777777" w:rsidR="00A6784E" w:rsidRDefault="00A6784E" w:rsidP="00B16F8D">
      <w:r>
        <w:separator/>
      </w:r>
    </w:p>
  </w:footnote>
  <w:footnote w:type="continuationSeparator" w:id="0">
    <w:p w14:paraId="57C1E2D1" w14:textId="77777777" w:rsidR="00A6784E" w:rsidRDefault="00A6784E" w:rsidP="00B16F8D">
      <w:r>
        <w:continuationSeparator/>
      </w:r>
    </w:p>
  </w:footnote>
  <w:footnote w:id="1">
    <w:p w14:paraId="3352F073" w14:textId="77777777" w:rsidR="00B34C6C" w:rsidRDefault="00B34C6C"/>
    <w:p w14:paraId="0FDF3AFB" w14:textId="77777777" w:rsidR="00B34C6C" w:rsidRPr="00770EE4" w:rsidRDefault="00B34C6C" w:rsidP="00B16F8D">
      <w:pPr>
        <w:pStyle w:val="FootnoteText"/>
        <w:rPr>
          <w:lang w:val="en-US"/>
        </w:rPr>
      </w:pPr>
    </w:p>
  </w:footnote>
  <w:footnote w:id="2">
    <w:p w14:paraId="01E66270" w14:textId="77777777" w:rsidR="00B34C6C" w:rsidRPr="008C1C45" w:rsidRDefault="00B34C6C" w:rsidP="00444D01">
      <w:pPr>
        <w:pStyle w:val="FootnoteText"/>
      </w:pPr>
      <w:r w:rsidRPr="008C1C45">
        <w:rPr>
          <w:rStyle w:val="FootnoteReference"/>
        </w:rPr>
        <w:footnoteRef/>
      </w:r>
      <w:r w:rsidRPr="008C1C45">
        <w:t xml:space="preserve"> Сви подаци су преузети из базе података Индикатора светског развоја из 2022. године</w:t>
      </w:r>
      <w:r w:rsidRPr="008C1C45">
        <w:rPr>
          <w:lang w:val="en-US"/>
        </w:rPr>
        <w:t xml:space="preserve"> </w:t>
      </w:r>
      <w:r w:rsidRPr="008C1C45">
        <w:t>(</w:t>
      </w:r>
      <w:r w:rsidRPr="008C1C45">
        <w:rPr>
          <w:lang w:val="en-US"/>
        </w:rPr>
        <w:t>World Development Indicators</w:t>
      </w:r>
      <w:r w:rsidRPr="008C1C45">
        <w:t>)</w:t>
      </w:r>
    </w:p>
  </w:footnote>
  <w:footnote w:id="3">
    <w:p w14:paraId="7E5B1F73" w14:textId="3B1A22F2" w:rsidR="00B34C6C" w:rsidRPr="008C1C45" w:rsidRDefault="00B34C6C" w:rsidP="00444D01">
      <w:pPr>
        <w:pStyle w:val="FootnoteText"/>
        <w:rPr>
          <w:lang w:val="en-US"/>
        </w:rPr>
      </w:pPr>
      <w:r w:rsidRPr="008C1C45">
        <w:rPr>
          <w:rStyle w:val="FootnoteReference"/>
        </w:rPr>
        <w:footnoteRef/>
      </w:r>
      <w:r w:rsidRPr="008C1C45">
        <w:t xml:space="preserve"> Подаци о емисији </w:t>
      </w:r>
      <w:r w:rsidRPr="007A6BE0">
        <w:rPr>
          <w:lang w:val="sr-Latn-RS"/>
        </w:rPr>
        <w:t>GHG</w:t>
      </w:r>
      <w:r w:rsidRPr="008C1C45">
        <w:t xml:space="preserve"> и броју становника су преузети из Института за светске ресурсе и Индикатора светског развоја за 2019. годину</w:t>
      </w:r>
    </w:p>
  </w:footnote>
  <w:footnote w:id="4">
    <w:p w14:paraId="08D28AE6" w14:textId="77777777" w:rsidR="00B34C6C" w:rsidRPr="00356E64" w:rsidRDefault="00B34C6C" w:rsidP="00E9209A">
      <w:pPr>
        <w:pStyle w:val="FootnoteText"/>
        <w:rPr>
          <w:lang w:val="en-US"/>
        </w:rPr>
      </w:pPr>
      <w:r w:rsidRPr="008C1C45">
        <w:rPr>
          <w:rStyle w:val="FootnoteReference"/>
        </w:rPr>
        <w:footnoteRef/>
      </w:r>
      <w:r w:rsidRPr="008C1C45">
        <w:t xml:space="preserve"> G. Magagcho, A. Godin, « Утицаји </w:t>
      </w:r>
      <w:r>
        <w:rPr>
          <w:i/>
        </w:rPr>
        <w:t>ЦБАМ</w:t>
      </w:r>
      <w:r w:rsidRPr="008C1C45">
        <w:rPr>
          <w:i/>
        </w:rPr>
        <w:t xml:space="preserve"> на трговинске партнере ЕУ: последице за земље у развоју</w:t>
      </w:r>
      <w:r w:rsidRPr="008C1C45">
        <w:t>», публикација AFD-а, из марта 2022. године</w:t>
      </w:r>
    </w:p>
  </w:footnote>
  <w:footnote w:id="5">
    <w:p w14:paraId="10275760" w14:textId="77777777" w:rsidR="00B34C6C" w:rsidRPr="00BD6002" w:rsidRDefault="00B34C6C">
      <w:pPr>
        <w:pStyle w:val="FootnoteText"/>
      </w:pPr>
      <w:r w:rsidRPr="00770EE4">
        <w:rPr>
          <w:rStyle w:val="FootnoteReference"/>
          <w:lang w:val="en-US"/>
        </w:rPr>
        <w:footnoteRef/>
      </w:r>
      <w:r w:rsidRPr="00770EE4">
        <w:rPr>
          <w:lang w:val="en-US"/>
        </w:rPr>
        <w:t xml:space="preserve"> </w:t>
      </w:r>
      <w:r>
        <w:t>Укључен у Оквир расхода АФД-а,</w:t>
      </w:r>
      <w:r w:rsidRPr="00770EE4">
        <w:rPr>
          <w:lang w:val="en-US"/>
        </w:rPr>
        <w:t xml:space="preserve"> cf. </w:t>
      </w:r>
      <w:r>
        <w:t>Прилог</w:t>
      </w:r>
      <w:r w:rsidRPr="00770EE4">
        <w:rPr>
          <w:lang w:val="en-US"/>
        </w:rPr>
        <w:t xml:space="preserve"> 3</w:t>
      </w:r>
      <w:r>
        <w:t>Б</w:t>
      </w:r>
    </w:p>
  </w:footnote>
  <w:footnote w:id="6">
    <w:p w14:paraId="504FABBB" w14:textId="77777777" w:rsidR="00B34C6C" w:rsidRPr="006C6502" w:rsidRDefault="00B34C6C">
      <w:pPr>
        <w:pStyle w:val="FootnoteText"/>
      </w:pPr>
      <w:r w:rsidRPr="00770EE4">
        <w:rPr>
          <w:rStyle w:val="FootnoteReference"/>
          <w:lang w:val="en-US"/>
        </w:rPr>
        <w:footnoteRef/>
      </w:r>
      <w:r w:rsidRPr="006C6502">
        <w:t xml:space="preserve"> </w:t>
      </w:r>
      <w:r>
        <w:t xml:space="preserve">Укључен у Оквир расхода Суфинансијера </w:t>
      </w:r>
    </w:p>
  </w:footnote>
  <w:footnote w:id="7">
    <w:p w14:paraId="1B7C0512" w14:textId="77777777" w:rsidR="00B34C6C" w:rsidRPr="006C6502" w:rsidRDefault="00B34C6C">
      <w:pPr>
        <w:pStyle w:val="FootnoteText"/>
      </w:pPr>
      <w:r w:rsidRPr="00770EE4">
        <w:rPr>
          <w:rStyle w:val="FootnoteReference"/>
          <w:lang w:val="en-US"/>
        </w:rPr>
        <w:footnoteRef/>
      </w:r>
      <w:r w:rsidRPr="006C6502">
        <w:t xml:space="preserve"> </w:t>
      </w:r>
      <w:r>
        <w:t xml:space="preserve">Финансира се заједнички </w:t>
      </w:r>
      <w:r w:rsidRPr="00770EE4">
        <w:rPr>
          <w:i/>
          <w:lang w:val="en-US"/>
        </w:rPr>
        <w:t>pari</w:t>
      </w:r>
      <w:r w:rsidRPr="006C6502">
        <w:rPr>
          <w:i/>
        </w:rPr>
        <w:t xml:space="preserve"> </w:t>
      </w:r>
      <w:r w:rsidRPr="00770EE4">
        <w:rPr>
          <w:i/>
          <w:lang w:val="en-US"/>
        </w:rPr>
        <w:t>passu</w:t>
      </w:r>
      <w:r w:rsidRPr="006C6502">
        <w:t xml:space="preserve"> </w:t>
      </w:r>
      <w:r>
        <w:t>од стране Суфинансијера</w:t>
      </w:r>
    </w:p>
  </w:footnote>
  <w:footnote w:id="8">
    <w:p w14:paraId="7FDB38BC" w14:textId="77777777" w:rsidR="00B34C6C" w:rsidRPr="006C6502" w:rsidRDefault="00B34C6C">
      <w:pPr>
        <w:pStyle w:val="FootnoteText"/>
      </w:pPr>
      <w:r w:rsidRPr="00770EE4">
        <w:rPr>
          <w:rStyle w:val="FootnoteReference"/>
          <w:lang w:val="en-US"/>
        </w:rPr>
        <w:footnoteRef/>
      </w:r>
      <w:r w:rsidRPr="006C6502">
        <w:t xml:space="preserve"> </w:t>
      </w:r>
      <w:r>
        <w:t>пп</w:t>
      </w:r>
      <w:r w:rsidRPr="006C6502">
        <w:t xml:space="preserve"> = </w:t>
      </w:r>
      <w:r>
        <w:t>процентни поен</w:t>
      </w:r>
      <w:r w:rsidRPr="006C6502">
        <w:t>.</w:t>
      </w:r>
    </w:p>
  </w:footnote>
  <w:footnote w:id="9">
    <w:p w14:paraId="181C8327" w14:textId="77777777" w:rsidR="00B34C6C" w:rsidRDefault="00B34C6C">
      <w:pPr>
        <w:pStyle w:val="FootnoteText"/>
      </w:pPr>
      <w:r>
        <w:rPr>
          <w:rStyle w:val="FootnoteReference"/>
        </w:rPr>
        <w:footnoteRef/>
      </w:r>
      <w:r>
        <w:t xml:space="preserve"> У случају да се Захтев за повлачење средстава односи и на Траншу буџетске подршке и на Траншу техничке помоћи, назначите релевантни банковни рачун. </w:t>
      </w:r>
    </w:p>
  </w:footnote>
  <w:footnote w:id="10">
    <w:p w14:paraId="18E03694" w14:textId="497C182D" w:rsidR="00B34C6C" w:rsidRDefault="00B34C6C">
      <w:pPr>
        <w:pStyle w:val="FootnoteText"/>
      </w:pPr>
      <w:r>
        <w:rPr>
          <w:rStyle w:val="FootnoteReference"/>
        </w:rPr>
        <w:footnoteRef/>
      </w:r>
      <w:r>
        <w:t xml:space="preserve"> „Принудни рад</w:t>
      </w:r>
      <w:r w:rsidRPr="004628E6">
        <w:t>”</w:t>
      </w:r>
      <w:r>
        <w:t xml:space="preserve"> се односи на сваки рад или пружање услуга који се принудно спроводи и тражи од појединца под претњом силом или казном, како је дефинисано у конвенцијама Међународне организације рада</w:t>
      </w:r>
      <w:r w:rsidR="0052229E">
        <w:t xml:space="preserve"> (МОР)</w:t>
      </w:r>
      <w:r>
        <w:t xml:space="preserve">. </w:t>
      </w:r>
    </w:p>
  </w:footnote>
  <w:footnote w:id="11">
    <w:p w14:paraId="6C9A8336" w14:textId="2ACA3CA7" w:rsidR="00B34C6C" w:rsidRDefault="00B34C6C">
      <w:pPr>
        <w:pStyle w:val="FootnoteText"/>
      </w:pPr>
      <w:r>
        <w:rPr>
          <w:rStyle w:val="FootnoteReference"/>
        </w:rPr>
        <w:footnoteRef/>
      </w:r>
      <w:r>
        <w:t xml:space="preserve"> </w:t>
      </w:r>
      <w:r w:rsidRPr="00022979">
        <w:t>Запослени морају имати најмање 14 година како је дефинисано у Декларацији МОР-а о основним принципима и правима на раду (</w:t>
      </w:r>
      <w:r w:rsidR="00AB5F4E">
        <w:t>Ц</w:t>
      </w:r>
      <w:r w:rsidRPr="00022979">
        <w:t>138 – Конвенција о минималној старосној доби, члан 2), осим ако локални закони не захтевају обавезно школовање или минималну старост за пријем на посао или рад.</w:t>
      </w:r>
      <w:r w:rsidR="00D01BF6">
        <w:t xml:space="preserve"> У таквим околностима, мора да се примени највиши услов за старосно доба.</w:t>
      </w:r>
    </w:p>
  </w:footnote>
  <w:footnote w:id="12">
    <w:p w14:paraId="7EA89856" w14:textId="77777777" w:rsidR="00B34C6C" w:rsidRPr="006C6502" w:rsidRDefault="00B34C6C" w:rsidP="00B16F8D">
      <w:pPr>
        <w:pStyle w:val="FootnoteText"/>
      </w:pPr>
      <w:r w:rsidRPr="00770EE4">
        <w:rPr>
          <w:rStyle w:val="FootnoteReference"/>
          <w:lang w:val="en-US"/>
        </w:rPr>
        <w:footnoteRef/>
      </w:r>
      <w:r w:rsidRPr="006C6502">
        <w:t xml:space="preserve"> </w:t>
      </w:r>
      <w:r>
        <w:t>Конвенција Савета Европе о борби против трговине људима</w:t>
      </w:r>
      <w:r w:rsidRPr="006C6502">
        <w:t xml:space="preserve"> (2005); </w:t>
      </w:r>
      <w:r>
        <w:t>Директива</w:t>
      </w:r>
      <w:r w:rsidRPr="006C6502">
        <w:t xml:space="preserve"> 2011/36/</w:t>
      </w:r>
      <w:r w:rsidRPr="00770EE4">
        <w:rPr>
          <w:lang w:val="en-US"/>
        </w:rPr>
        <w:t>E</w:t>
      </w:r>
      <w:r>
        <w:t>У</w:t>
      </w:r>
      <w:r w:rsidRPr="006C6502">
        <w:t>.</w:t>
      </w:r>
    </w:p>
  </w:footnote>
  <w:footnote w:id="13">
    <w:p w14:paraId="24E926D6" w14:textId="4CD2DE66" w:rsidR="00B34C6C" w:rsidRPr="006C6502" w:rsidRDefault="00B34C6C" w:rsidP="00B16F8D">
      <w:pPr>
        <w:pStyle w:val="FootnoteText"/>
      </w:pPr>
      <w:r w:rsidRPr="00770EE4">
        <w:rPr>
          <w:rStyle w:val="FootnoteReference"/>
          <w:lang w:val="en-US"/>
        </w:rPr>
        <w:footnoteRef/>
      </w:r>
      <w:r w:rsidRPr="006C6502">
        <w:t xml:space="preserve"> </w:t>
      </w:r>
      <w:r w:rsidRPr="00770EE4">
        <w:rPr>
          <w:lang w:val="en-US"/>
        </w:rPr>
        <w:t>V</w:t>
      </w:r>
      <w:r w:rsidRPr="006C6502">
        <w:t xml:space="preserve">. </w:t>
      </w:r>
      <w:r w:rsidRPr="00770EE4">
        <w:rPr>
          <w:lang w:val="en-US"/>
        </w:rPr>
        <w:t>AR</w:t>
      </w:r>
      <w:r w:rsidRPr="006C6502">
        <w:t xml:space="preserve">. 16 à 16-14 </w:t>
      </w:r>
      <w:r>
        <w:t xml:space="preserve">Француског грађанског законика </w:t>
      </w:r>
      <w:r w:rsidRPr="006C6502">
        <w:t>(</w:t>
      </w:r>
      <w:r>
        <w:t>углавном онако како је наведено у Закону бр</w:t>
      </w:r>
      <w:r w:rsidRPr="006C6502">
        <w:t xml:space="preserve">. 94-653 </w:t>
      </w:r>
      <w:r>
        <w:t>од</w:t>
      </w:r>
      <w:r w:rsidRPr="006C6502">
        <w:t xml:space="preserve"> 29</w:t>
      </w:r>
      <w:r>
        <w:t>. јула</w:t>
      </w:r>
      <w:r w:rsidRPr="006C6502">
        <w:t xml:space="preserve"> 1994</w:t>
      </w:r>
      <w:r>
        <w:t>.</w:t>
      </w:r>
      <w:r w:rsidR="00A23467">
        <w:t xml:space="preserve"> године</w:t>
      </w:r>
      <w:r>
        <w:t xml:space="preserve"> о поштовању људског тела у Закону бр.</w:t>
      </w:r>
      <w:r w:rsidRPr="006C6502">
        <w:t xml:space="preserve"> 2004-800 </w:t>
      </w:r>
      <w:r>
        <w:t>од</w:t>
      </w:r>
      <w:r w:rsidRPr="006C6502">
        <w:t xml:space="preserve"> 6</w:t>
      </w:r>
      <w:r>
        <w:t>. августа</w:t>
      </w:r>
      <w:r w:rsidRPr="006C6502">
        <w:t xml:space="preserve"> 2004</w:t>
      </w:r>
      <w:r w:rsidR="00A23467">
        <w:t>. године</w:t>
      </w:r>
      <w:r w:rsidRPr="006C6502">
        <w:t xml:space="preserve"> </w:t>
      </w:r>
      <w:r w:rsidRPr="00770EE4">
        <w:rPr>
          <w:lang w:val="en-US"/>
        </w:rPr>
        <w:t>o</w:t>
      </w:r>
      <w:r>
        <w:t xml:space="preserve"> биоетици</w:t>
      </w:r>
      <w:r w:rsidRPr="006C6502">
        <w:t>).</w:t>
      </w:r>
    </w:p>
  </w:footnote>
  <w:footnote w:id="14">
    <w:p w14:paraId="1F83A281" w14:textId="77777777" w:rsidR="00B34C6C" w:rsidRPr="006C6502" w:rsidRDefault="00B34C6C" w:rsidP="00B16F8D">
      <w:pPr>
        <w:pStyle w:val="FootnoteText"/>
      </w:pPr>
      <w:r w:rsidRPr="00770EE4">
        <w:rPr>
          <w:rStyle w:val="FootnoteReference"/>
          <w:lang w:val="en-US"/>
        </w:rPr>
        <w:footnoteRef/>
      </w:r>
      <w:r w:rsidRPr="006C6502">
        <w:t xml:space="preserve"> </w:t>
      </w:r>
      <w:r>
        <w:t>Конвенција о заштити људских права и достојанства људског бића у погледу примене биологије и медицине</w:t>
      </w:r>
      <w:r w:rsidRPr="006C6502">
        <w:t xml:space="preserve">: </w:t>
      </w:r>
      <w:r>
        <w:t>Конвенција о људским правима и биомедицини</w:t>
      </w:r>
      <w:r w:rsidRPr="006C6502">
        <w:t xml:space="preserve"> (</w:t>
      </w:r>
      <w:r>
        <w:t>Овиедо</w:t>
      </w:r>
      <w:r w:rsidRPr="006C6502">
        <w:t xml:space="preserve">, 04/04/1997); </w:t>
      </w:r>
      <w:r>
        <w:t>Конвенција Савет Европе</w:t>
      </w:r>
      <w:r w:rsidRPr="006C6502">
        <w:t xml:space="preserve"> </w:t>
      </w:r>
      <w:r>
        <w:t xml:space="preserve">о борби против трговине органима </w:t>
      </w:r>
      <w:r w:rsidRPr="006C6502">
        <w:t>(</w:t>
      </w:r>
      <w:r w:rsidRPr="00270CF9">
        <w:rPr>
          <w:i/>
          <w:iCs/>
          <w:lang w:val="en-US"/>
        </w:rPr>
        <w:t>Saint</w:t>
      </w:r>
      <w:r w:rsidRPr="006C6502">
        <w:rPr>
          <w:i/>
          <w:iCs/>
        </w:rPr>
        <w:t>-</w:t>
      </w:r>
      <w:r w:rsidRPr="00270CF9">
        <w:rPr>
          <w:i/>
          <w:iCs/>
          <w:lang w:val="en-US"/>
        </w:rPr>
        <w:t>Jacques</w:t>
      </w:r>
      <w:r w:rsidRPr="006C6502">
        <w:rPr>
          <w:i/>
          <w:iCs/>
        </w:rPr>
        <w:t>-</w:t>
      </w:r>
      <w:r w:rsidRPr="00270CF9">
        <w:rPr>
          <w:i/>
          <w:iCs/>
          <w:lang w:val="en-US"/>
        </w:rPr>
        <w:t>de</w:t>
      </w:r>
      <w:r w:rsidRPr="006C6502">
        <w:rPr>
          <w:i/>
          <w:iCs/>
        </w:rPr>
        <w:t>-</w:t>
      </w:r>
      <w:r w:rsidRPr="00270CF9">
        <w:rPr>
          <w:i/>
          <w:iCs/>
          <w:lang w:val="en-US"/>
        </w:rPr>
        <w:t>Compostelle</w:t>
      </w:r>
      <w:r w:rsidRPr="006C6502">
        <w:t>, 25/03/2015).</w:t>
      </w:r>
    </w:p>
  </w:footnote>
  <w:footnote w:id="15">
    <w:p w14:paraId="17FE02A3" w14:textId="77777777" w:rsidR="00B34C6C" w:rsidRPr="006C6502" w:rsidRDefault="00B34C6C" w:rsidP="00B16F8D">
      <w:pPr>
        <w:pStyle w:val="FootnoteText"/>
      </w:pPr>
      <w:r w:rsidRPr="00770EE4">
        <w:rPr>
          <w:rStyle w:val="FootnoteReference"/>
          <w:lang w:val="en-US"/>
        </w:rPr>
        <w:footnoteRef/>
      </w:r>
      <w:r w:rsidRPr="006C6502">
        <w:t xml:space="preserve"> </w:t>
      </w:r>
      <w:r>
        <w:t>ЦИТЕС</w:t>
      </w:r>
      <w:r w:rsidRPr="006C6502">
        <w:t xml:space="preserve">: </w:t>
      </w:r>
      <w:r>
        <w:t xml:space="preserve">Конвенција о међународном промету угрожених врста дивље флоре и фауне </w:t>
      </w:r>
      <w:r w:rsidRPr="006C6502">
        <w:t>(</w:t>
      </w:r>
      <w:r>
        <w:t>Вашингтон</w:t>
      </w:r>
      <w:r w:rsidRPr="006C6502">
        <w:t>, 1973).</w:t>
      </w:r>
    </w:p>
  </w:footnote>
  <w:footnote w:id="16">
    <w:p w14:paraId="06B7DD8B" w14:textId="71D1E355" w:rsidR="00B34C6C" w:rsidRPr="00C41C43" w:rsidRDefault="00B34C6C" w:rsidP="00B16F8D">
      <w:pPr>
        <w:pStyle w:val="FootnoteText"/>
      </w:pPr>
      <w:r w:rsidRPr="00770EE4">
        <w:rPr>
          <w:rStyle w:val="FootnoteReference"/>
          <w:lang w:val="en-US"/>
        </w:rPr>
        <w:footnoteRef/>
      </w:r>
      <w:r w:rsidRPr="006C6502">
        <w:t xml:space="preserve"> </w:t>
      </w:r>
      <w:r>
        <w:t>Програмски акт бр</w:t>
      </w:r>
      <w:r w:rsidRPr="006C6502">
        <w:t xml:space="preserve">. 2021-1031 </w:t>
      </w:r>
      <w:r w:rsidRPr="00770EE4">
        <w:rPr>
          <w:lang w:val="en-US"/>
        </w:rPr>
        <w:t>o</w:t>
      </w:r>
      <w:r>
        <w:t>д</w:t>
      </w:r>
      <w:r w:rsidRPr="006C6502">
        <w:t xml:space="preserve"> 4</w:t>
      </w:r>
      <w:r>
        <w:t>. августа</w:t>
      </w:r>
      <w:r w:rsidRPr="006C6502">
        <w:t xml:space="preserve"> 2021</w:t>
      </w:r>
      <w:r w:rsidR="00A23467">
        <w:t>. године</w:t>
      </w:r>
      <w:r w:rsidRPr="006C6502">
        <w:t xml:space="preserve"> </w:t>
      </w:r>
      <w:r>
        <w:t xml:space="preserve">о инклузивном развоју и борби против глобалне неједнакости забрањује АФД-у финансирање активности које се односе на куповини, промоцији или умножавање генетски модификованог семена </w:t>
      </w:r>
      <w:r w:rsidRPr="006C6502">
        <w:t>(</w:t>
      </w:r>
      <w:r>
        <w:t>ЛПДСЛИ</w:t>
      </w:r>
      <w:r w:rsidRPr="006C6502">
        <w:t xml:space="preserve"> – </w:t>
      </w:r>
      <w:r w:rsidRPr="00270CF9">
        <w:rPr>
          <w:i/>
          <w:iCs/>
          <w:lang w:val="en-US"/>
        </w:rPr>
        <w:t>Cadre</w:t>
      </w:r>
      <w:r w:rsidRPr="006C6502">
        <w:rPr>
          <w:i/>
          <w:iCs/>
        </w:rPr>
        <w:t xml:space="preserve"> </w:t>
      </w:r>
      <w:r w:rsidRPr="00270CF9">
        <w:rPr>
          <w:i/>
          <w:iCs/>
          <w:lang w:val="en-US"/>
        </w:rPr>
        <w:t>de</w:t>
      </w:r>
      <w:r w:rsidRPr="006C6502">
        <w:rPr>
          <w:i/>
          <w:iCs/>
        </w:rPr>
        <w:t xml:space="preserve"> </w:t>
      </w:r>
      <w:r w:rsidRPr="00270CF9">
        <w:rPr>
          <w:i/>
          <w:iCs/>
          <w:lang w:val="en-US"/>
        </w:rPr>
        <w:t>partenariat</w:t>
      </w:r>
      <w:r w:rsidRPr="006C6502">
        <w:rPr>
          <w:i/>
          <w:iCs/>
        </w:rPr>
        <w:t xml:space="preserve"> </w:t>
      </w:r>
      <w:r w:rsidRPr="00270CF9">
        <w:rPr>
          <w:i/>
          <w:iCs/>
          <w:lang w:val="en-US"/>
        </w:rPr>
        <w:t>global</w:t>
      </w:r>
      <w:r w:rsidRPr="006C6502">
        <w:t xml:space="preserve"> [</w:t>
      </w:r>
      <w:r>
        <w:t xml:space="preserve">Оквир глобалног </w:t>
      </w:r>
      <w:r w:rsidRPr="00C41C43">
        <w:t>партнерства] Део II – Б – б / - 3 - став 6). АФД овоме додаје истраживачке активности (Стратегија територијалне и еколошке транзиције 2020-2024</w:t>
      </w:r>
      <w:r w:rsidR="00A23467">
        <w:t>. године</w:t>
      </w:r>
      <w:r w:rsidRPr="00C41C43">
        <w:t>).</w:t>
      </w:r>
    </w:p>
  </w:footnote>
  <w:footnote w:id="17">
    <w:p w14:paraId="56BAC50F" w14:textId="0C270D21" w:rsidR="00B34C6C" w:rsidRPr="00C41C43" w:rsidRDefault="00B34C6C" w:rsidP="00B16F8D">
      <w:pPr>
        <w:pStyle w:val="FootnoteText"/>
      </w:pPr>
      <w:r w:rsidRPr="00C41C43">
        <w:rPr>
          <w:rStyle w:val="FootnoteReference"/>
        </w:rPr>
        <w:footnoteRef/>
      </w:r>
      <w:r w:rsidRPr="00C41C43">
        <w:t xml:space="preserve"> Било која хемијска компонента која реагује и уништава стратосферски озонски омотач, што доводи до стварања „рупа</w:t>
      </w:r>
      <w:r w:rsidRPr="004628E6">
        <w:t>”</w:t>
      </w:r>
      <w:r w:rsidRPr="00C41C43">
        <w:t xml:space="preserve"> у овом слоју. Монтреалски протокол наводи супстанце које оштећују озонски омотач (ОДС), њихове циљеве смањења и рокове за њихово постепено укидање.</w:t>
      </w:r>
    </w:p>
  </w:footnote>
  <w:footnote w:id="18">
    <w:p w14:paraId="5626A6B1" w14:textId="77777777" w:rsidR="00B34C6C" w:rsidRPr="006C6502" w:rsidRDefault="00B34C6C" w:rsidP="00B16F8D">
      <w:pPr>
        <w:pStyle w:val="FootnoteText"/>
      </w:pPr>
      <w:r w:rsidRPr="00C41C43">
        <w:rPr>
          <w:rStyle w:val="FootnoteReference"/>
        </w:rPr>
        <w:footnoteRef/>
      </w:r>
      <w:r w:rsidRPr="00C41C43">
        <w:t xml:space="preserve"> Базелска конвенција о контроли прекограничног кретања опасног отпада и њиховог одлагања доступна је на: www.basel.int</w:t>
      </w:r>
    </w:p>
  </w:footnote>
  <w:footnote w:id="19">
    <w:p w14:paraId="23D5B0C4" w14:textId="77777777" w:rsidR="00B34C6C" w:rsidRPr="00D63471" w:rsidRDefault="00B34C6C" w:rsidP="00B16F8D">
      <w:pPr>
        <w:pStyle w:val="FootnoteText"/>
      </w:pPr>
      <w:r w:rsidRPr="00D63471">
        <w:rPr>
          <w:rStyle w:val="FootnoteReference"/>
        </w:rPr>
        <w:footnoteRef/>
      </w:r>
      <w:r w:rsidRPr="00D63471">
        <w:t xml:space="preserve"> Трговина културним добрима регулисана је Конвенцијом о мерама за забрану и спречавање недозвољеног увоза, извоза и преноса својине културних добара (1970).</w:t>
      </w:r>
    </w:p>
  </w:footnote>
  <w:footnote w:id="20">
    <w:p w14:paraId="57EB0839" w14:textId="77777777" w:rsidR="00B34C6C" w:rsidRPr="00D63471" w:rsidRDefault="00B34C6C" w:rsidP="00B16F8D">
      <w:pPr>
        <w:pStyle w:val="FootnoteText"/>
      </w:pPr>
      <w:r w:rsidRPr="00D63471">
        <w:rPr>
          <w:rStyle w:val="FootnoteReference"/>
        </w:rPr>
        <w:footnoteRef/>
      </w:r>
      <w:r w:rsidRPr="00D63471">
        <w:t xml:space="preserve"> Ако ове активности представљају више од 10% </w:t>
      </w:r>
      <w:r>
        <w:t>промета који финансира друга уговорна страна</w:t>
      </w:r>
      <w:r w:rsidRPr="00D63471">
        <w:t xml:space="preserve"> или ако је клијент финансијски посредник, више од 10% </w:t>
      </w:r>
      <w:r>
        <w:t>преосталог портфолија</w:t>
      </w:r>
      <w:r w:rsidRPr="00D63471">
        <w:t>.</w:t>
      </w:r>
    </w:p>
  </w:footnote>
  <w:footnote w:id="21">
    <w:p w14:paraId="6EA7554F" w14:textId="77777777" w:rsidR="00B34C6C" w:rsidRPr="00D63471" w:rsidRDefault="00B34C6C" w:rsidP="00B16F8D">
      <w:pPr>
        <w:pStyle w:val="FootnoteText"/>
      </w:pPr>
      <w:r w:rsidRPr="00D63471">
        <w:rPr>
          <w:rStyle w:val="FootnoteReference"/>
        </w:rPr>
        <w:footnoteRef/>
      </w:r>
      <w:r w:rsidRPr="00D63471">
        <w:t xml:space="preserve"> Свако директно финансирање ових пројеката или активности (на пример, хотел који укључује казино). То се не тиче урбанистичких планова развоја који би накнадно могли интегрисати такве пројекте.</w:t>
      </w:r>
    </w:p>
  </w:footnote>
  <w:footnote w:id="22">
    <w:p w14:paraId="2480B967" w14:textId="77777777" w:rsidR="00B34C6C" w:rsidRPr="00D63471" w:rsidRDefault="00B34C6C" w:rsidP="00B16F8D">
      <w:pPr>
        <w:pStyle w:val="FootnoteText"/>
      </w:pPr>
      <w:r w:rsidRPr="00D63471">
        <w:rPr>
          <w:rStyle w:val="FootnoteReference"/>
        </w:rPr>
        <w:footnoteRef/>
      </w:r>
      <w:r w:rsidRPr="00D63471">
        <w:t xml:space="preserve"> </w:t>
      </w:r>
      <w:r>
        <w:t>„Кључно културно наслеђе</w:t>
      </w:r>
      <w:r w:rsidRPr="00D63471">
        <w:t>” сматра се сваким делом наслеђа који је међународно или национално признат као од историјског, друштвеног и/или културног интереса.</w:t>
      </w:r>
    </w:p>
  </w:footnote>
  <w:footnote w:id="23">
    <w:p w14:paraId="79556813" w14:textId="77777777" w:rsidR="00B34C6C" w:rsidRPr="00D63471" w:rsidRDefault="00B34C6C" w:rsidP="00B16F8D">
      <w:pPr>
        <w:pStyle w:val="FootnoteText"/>
      </w:pPr>
      <w:r w:rsidRPr="00D63471">
        <w:rPr>
          <w:rStyle w:val="FootnoteReference"/>
        </w:rPr>
        <w:footnoteRef/>
      </w:r>
      <w:r w:rsidRPr="00D63471">
        <w:t xml:space="preserve"> Осим пројеката који укључују мини-мреже које опслужују хибридне електране (комбиновање обновљивих извора енергије и фосилних горива).</w:t>
      </w:r>
    </w:p>
  </w:footnote>
  <w:footnote w:id="24">
    <w:p w14:paraId="5C86A1ED" w14:textId="6B670399" w:rsidR="00B34C6C" w:rsidRPr="00EC3440" w:rsidRDefault="00B34C6C" w:rsidP="00B16F8D">
      <w:pPr>
        <w:pStyle w:val="FootnoteText"/>
        <w:rPr>
          <w:lang w:val="sr-Latn-RS"/>
        </w:rPr>
      </w:pPr>
      <w:r w:rsidRPr="00D63471">
        <w:rPr>
          <w:rStyle w:val="FootnoteReference"/>
        </w:rPr>
        <w:footnoteRef/>
      </w:r>
      <w:r w:rsidRPr="00D63471">
        <w:t xml:space="preserve"> Термин „придружена инфраструктура</w:t>
      </w:r>
      <w:r w:rsidRPr="004628E6">
        <w:t>”</w:t>
      </w:r>
      <w:r w:rsidRPr="00D63471">
        <w:t xml:space="preserve"> се користи када је инфраструктура повезана са производним објектом који користи фосилна горива ако су испуњена следећа </w:t>
      </w:r>
      <w:r>
        <w:t xml:space="preserve">два </w:t>
      </w:r>
      <w:r w:rsidRPr="00D63471">
        <w:t>услова: i) инфраструктура не би била изграђена да није било овог објекта за фосилна горива; и ii) постројење за фосилна горива не би било економски исплативо без инфраструктуре.</w:t>
      </w:r>
    </w:p>
  </w:footnote>
  <w:footnote w:id="25">
    <w:p w14:paraId="33FEF935" w14:textId="77777777" w:rsidR="00B34C6C" w:rsidRPr="005F5B90" w:rsidRDefault="00B34C6C" w:rsidP="00B16F8D">
      <w:pPr>
        <w:pStyle w:val="FootnoteText"/>
      </w:pPr>
      <w:r w:rsidRPr="005F5B90">
        <w:rPr>
          <w:rStyle w:val="FootnoteReference"/>
        </w:rPr>
        <w:footnoteRef/>
      </w:r>
      <w:r w:rsidRPr="005F5B90">
        <w:t xml:space="preserve"> Осим ако подручје утицаја финансираних активности и њихових повезаних објеката не задире у зоне које ефективно испуњавају критеријуме за означавање као АЗЕ локација – https://zeroextinction.org/site-identification/aze-site-criteria/</w:t>
      </w:r>
    </w:p>
  </w:footnote>
  <w:footnote w:id="26">
    <w:p w14:paraId="57AB469C" w14:textId="77777777" w:rsidR="00B34C6C" w:rsidRPr="005F5B90" w:rsidRDefault="00B34C6C" w:rsidP="00B16F8D">
      <w:pPr>
        <w:pStyle w:val="FootnoteText"/>
      </w:pPr>
      <w:r w:rsidRPr="005F5B90">
        <w:rPr>
          <w:rStyle w:val="FootnoteReference"/>
        </w:rPr>
        <w:footnoteRef/>
      </w:r>
      <w:r w:rsidRPr="005F5B90">
        <w:t xml:space="preserve"> Осим ако финансирање има за циљ очување или рестаурацију ових подручја.</w:t>
      </w:r>
    </w:p>
  </w:footnote>
  <w:footnote w:id="27">
    <w:p w14:paraId="60C0BF23" w14:textId="77777777" w:rsidR="00B34C6C" w:rsidRPr="005F5B90" w:rsidRDefault="00B34C6C" w:rsidP="00B16F8D">
      <w:pPr>
        <w:pStyle w:val="FootnoteText"/>
      </w:pPr>
      <w:r w:rsidRPr="005F5B90">
        <w:rPr>
          <w:rStyle w:val="FootnoteReference"/>
        </w:rPr>
        <w:footnoteRef/>
      </w:r>
      <w:r w:rsidRPr="005F5B90">
        <w:t xml:space="preserve"> Осим ако финансирање има за циљ очување или рестаурацију ових подручја или је у складу са плановима управљања и просторног планирања</w:t>
      </w:r>
      <w:r>
        <w:t xml:space="preserve"> и </w:t>
      </w:r>
      <w:r w:rsidRPr="005F5B90">
        <w:t xml:space="preserve">формализовани </w:t>
      </w:r>
      <w:r>
        <w:t xml:space="preserve">су </w:t>
      </w:r>
      <w:r w:rsidRPr="005F5B90">
        <w:t>у плановима са међународним стандардима који се односе на активности које се финансирају – категорије I-VI у Светској бази података о заштићеним подручјима| ИУЦН.</w:t>
      </w:r>
    </w:p>
  </w:footnote>
  <w:footnote w:id="28">
    <w:p w14:paraId="5D719434" w14:textId="77777777" w:rsidR="00B34C6C" w:rsidRPr="005F5B90" w:rsidRDefault="00B34C6C" w:rsidP="00B16F8D">
      <w:pPr>
        <w:pStyle w:val="FootnoteText"/>
      </w:pPr>
      <w:r w:rsidRPr="005F5B90">
        <w:rPr>
          <w:rStyle w:val="FootnoteReference"/>
        </w:rPr>
        <w:footnoteRef/>
      </w:r>
      <w:r w:rsidRPr="005F5B90">
        <w:t xml:space="preserve"> Неповратни утицај: трајна конверзија или деградација биодиверзитета или еколошких функција или карактеристика које су гарантовале критично одређивање станишта.</w:t>
      </w:r>
    </w:p>
  </w:footnote>
  <w:footnote w:id="29">
    <w:p w14:paraId="694F7DB5" w14:textId="77777777" w:rsidR="00B34C6C" w:rsidRPr="005F5B90" w:rsidRDefault="00B34C6C" w:rsidP="00B16F8D">
      <w:pPr>
        <w:pStyle w:val="FootnoteText"/>
      </w:pPr>
      <w:r w:rsidRPr="005F5B90">
        <w:rPr>
          <w:rStyle w:val="FootnoteReference"/>
        </w:rPr>
        <w:footnoteRef/>
      </w:r>
      <w:r w:rsidRPr="005F5B90">
        <w:t xml:space="preserve"> Преостали утицај: мерљиви утицај пројекта на вредност биодиверзитета, након спровођења мера избегавања и ублажавања, али пре спровођења мера обнове и компензације.</w:t>
      </w:r>
    </w:p>
  </w:footnote>
  <w:footnote w:id="30">
    <w:p w14:paraId="29967B65" w14:textId="0D7916C4" w:rsidR="00B34C6C" w:rsidRPr="009D76D4" w:rsidRDefault="00B34C6C" w:rsidP="00B16F8D">
      <w:pPr>
        <w:pStyle w:val="FootnoteText"/>
      </w:pPr>
      <w:r w:rsidRPr="005F5B90">
        <w:rPr>
          <w:rStyle w:val="FootnoteReference"/>
        </w:rPr>
        <w:footnoteRef/>
      </w:r>
      <w:r w:rsidRPr="005F5B90">
        <w:t xml:space="preserve"> К</w:t>
      </w:r>
      <w:r>
        <w:t>ључно</w:t>
      </w:r>
      <w:r w:rsidRPr="005F5B90">
        <w:t xml:space="preserve"> станиште: у смислу еколошког и социјалног стандарда Светске банке – 2018</w:t>
      </w:r>
      <w:r w:rsidR="00A23467">
        <w:t xml:space="preserve"> или IFC-GN PS6 2019.</w:t>
      </w:r>
    </w:p>
  </w:footnote>
  <w:footnote w:id="31">
    <w:p w14:paraId="0D08A816" w14:textId="77777777" w:rsidR="00B34C6C" w:rsidRPr="009D76D4" w:rsidRDefault="00B34C6C" w:rsidP="00B16F8D">
      <w:pPr>
        <w:pStyle w:val="FootnoteText"/>
      </w:pPr>
      <w:r w:rsidRPr="009D76D4">
        <w:rPr>
          <w:rStyle w:val="FootnoteReference"/>
        </w:rPr>
        <w:footnoteRef/>
      </w:r>
      <w:r w:rsidRPr="009D76D4">
        <w:t xml:space="preserve"> Осим ако поменути пројекат није од преовлађујућег општег интереса за земљу одредишта, у ком случају се управи Групе може представити одступање ради доношења одлуке.</w:t>
      </w:r>
    </w:p>
  </w:footnote>
  <w:footnote w:id="32">
    <w:p w14:paraId="20251808" w14:textId="77777777" w:rsidR="00B34C6C" w:rsidRPr="009D76D4" w:rsidRDefault="00B34C6C" w:rsidP="00B16F8D">
      <w:pPr>
        <w:pStyle w:val="FootnoteText"/>
      </w:pPr>
      <w:r w:rsidRPr="009D76D4">
        <w:rPr>
          <w:rStyle w:val="FootnoteReference"/>
        </w:rPr>
        <w:footnoteRef/>
      </w:r>
      <w:r w:rsidRPr="009D76D4">
        <w:t xml:space="preserve"> Методологија која укључује (i) референтни алат еквивалентан ХЦС приступу, који омогућава класификацију шума; (ii) гаранцију да </w:t>
      </w:r>
      <w:r>
        <w:t xml:space="preserve">пројекат неће утицати на </w:t>
      </w:r>
      <w:r w:rsidRPr="009D76D4">
        <w:t>шум</w:t>
      </w:r>
      <w:r>
        <w:t>е</w:t>
      </w:r>
      <w:r w:rsidRPr="009D76D4">
        <w:t>; и (iii) праћење шумског покривача (надзор на терену или сателитско праћење).</w:t>
      </w:r>
    </w:p>
  </w:footnote>
  <w:footnote w:id="33">
    <w:p w14:paraId="4A179BAF" w14:textId="77777777" w:rsidR="00B34C6C" w:rsidRPr="009D76D4" w:rsidRDefault="00B34C6C" w:rsidP="00B16F8D">
      <w:pPr>
        <w:pStyle w:val="FootnoteText"/>
      </w:pPr>
      <w:r w:rsidRPr="009D76D4">
        <w:rPr>
          <w:rStyle w:val="FootnoteReference"/>
        </w:rPr>
        <w:footnoteRef/>
      </w:r>
      <w:r w:rsidRPr="009D76D4">
        <w:t xml:space="preserve"> https://www.ohchr.org/documents/publications/guidingprinciplesbusinesshr_en.pdf</w:t>
      </w:r>
    </w:p>
  </w:footnote>
  <w:footnote w:id="34">
    <w:p w14:paraId="06BC6BEF" w14:textId="3D8B20DD" w:rsidR="00B34C6C" w:rsidRPr="009D76D4" w:rsidRDefault="00B34C6C" w:rsidP="00B16F8D">
      <w:pPr>
        <w:pStyle w:val="FootnoteText"/>
      </w:pPr>
      <w:r w:rsidRPr="009D76D4">
        <w:rPr>
          <w:rStyle w:val="FootnoteReference"/>
        </w:rPr>
        <w:footnoteRef/>
      </w:r>
      <w:r w:rsidRPr="009D76D4">
        <w:t xml:space="preserve"> Подкомисија Уједињених нација за људска права Резолуција 1993/41: </w:t>
      </w:r>
      <w:r>
        <w:t>„</w:t>
      </w:r>
      <w:r w:rsidRPr="009D76D4">
        <w:t>При</w:t>
      </w:r>
      <w:r>
        <w:t>нудно</w:t>
      </w:r>
      <w:r w:rsidRPr="009D76D4">
        <w:t xml:space="preserve"> </w:t>
      </w:r>
      <w:r>
        <w:t xml:space="preserve">расељавање”. „Израз </w:t>
      </w:r>
      <w:r w:rsidRPr="009D76D4">
        <w:t>при</w:t>
      </w:r>
      <w:r>
        <w:t>нудно</w:t>
      </w:r>
      <w:r w:rsidRPr="009D76D4">
        <w:t xml:space="preserve"> </w:t>
      </w:r>
      <w:r>
        <w:t>расељавање</w:t>
      </w:r>
      <w:r w:rsidRPr="004628E6">
        <w:t>”</w:t>
      </w:r>
      <w:r w:rsidRPr="009D76D4">
        <w:t xml:space="preserve"> […] се дефинише као </w:t>
      </w:r>
      <w:r>
        <w:t xml:space="preserve">присилно </w:t>
      </w:r>
      <w:r w:rsidRPr="009D76D4">
        <w:t>трајно или привремено удаљење људи, породица и/или заједница из домова и/или земљишта које они заузимају, без обезбеђивања и приступа одговарајућим облици правне или друге заштите (Комитет за економска, социјална и културна права, Општи коментар бр. 7).</w:t>
      </w:r>
    </w:p>
  </w:footnote>
  <w:footnote w:id="35">
    <w:p w14:paraId="05855DC2" w14:textId="77777777" w:rsidR="00B34C6C" w:rsidRPr="006C6502" w:rsidRDefault="00B34C6C" w:rsidP="00B16F8D">
      <w:pPr>
        <w:pStyle w:val="FootnoteText"/>
      </w:pPr>
      <w:r w:rsidRPr="009D76D4">
        <w:rPr>
          <w:rStyle w:val="FootnoteReference"/>
        </w:rPr>
        <w:footnoteRef/>
      </w:r>
      <w:r w:rsidRPr="009D76D4">
        <w:t xml:space="preserve"> Због одбијања спонзора пројекта или његове немогућности да идентификује</w:t>
      </w:r>
      <w:r>
        <w:t xml:space="preserve"> лица</w:t>
      </w:r>
      <w:r w:rsidRPr="009D76D4">
        <w:t xml:space="preserve"> које су жртве </w:t>
      </w:r>
      <w:r>
        <w:t>принудног расељавања</w:t>
      </w:r>
      <w:r w:rsidRPr="009D76D4">
        <w:t>. Неће бити искључени пројекти за које се може обезбедити ефикасан правни лек за повређена права.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E12C8" w14:textId="77777777" w:rsidR="00B34C6C" w:rsidRDefault="00B34C6C">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A74C7" w14:textId="77777777" w:rsidR="00B34C6C" w:rsidRDefault="00B34C6C">
    <w:pPr>
      <w:pStyle w:val="Header"/>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0C5A9" w14:textId="77777777" w:rsidR="00B34C6C" w:rsidRDefault="00B34C6C">
    <w:pPr>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E4291" w14:textId="77777777" w:rsidR="00B34C6C" w:rsidRDefault="00B34C6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F97FE" w14:textId="77777777" w:rsidR="00B34C6C" w:rsidRDefault="00B34C6C">
    <w:pPr>
      <w:pStyle w:val="Header"/>
      <w:rPr>
        <w:color w:val="00000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68136" w14:textId="77777777" w:rsidR="00B34C6C" w:rsidRDefault="00B34C6C">
    <w:pPr>
      <w:rPr>
        <w:color w:val="00000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38671" w14:textId="77777777" w:rsidR="00B34C6C" w:rsidRDefault="00B34C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BEF2CC08"/>
    <w:lvl w:ilvl="0">
      <w:start w:val="1"/>
      <w:numFmt w:val="decimal"/>
      <w:lvlText w:val="%1."/>
      <w:lvlJc w:val="left"/>
      <w:pPr>
        <w:tabs>
          <w:tab w:val="num" w:pos="720"/>
        </w:tabs>
        <w:ind w:left="720" w:hanging="720"/>
      </w:pPr>
      <w:rPr>
        <w:rFonts w:ascii="Century Gothic" w:hAnsi="Lucida Console" w:hint="default"/>
        <w:b/>
        <w:i w:val="0"/>
        <w:caps w:val="0"/>
        <w:strike w:val="0"/>
        <w:dstrike w:val="0"/>
        <w:vanish w:val="0"/>
        <w:color w:val="000000"/>
        <w:w w:val="100"/>
        <w:kern w:val="0"/>
        <w:sz w:val="23"/>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Century Gothic" w:hAnsi="Marlett" w:hint="default"/>
        <w:b/>
        <w:i w:val="0"/>
        <w:caps w:val="0"/>
        <w:strike w:val="0"/>
        <w:dstrike w:val="0"/>
        <w:vanish w:val="0"/>
        <w:color w:val="000000"/>
        <w:w w:val="100"/>
        <w:ker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701"/>
        </w:tabs>
        <w:ind w:left="1701" w:hanging="981"/>
      </w:pPr>
      <w:rPr>
        <w:rFonts w:ascii="Century Gothic" w:hAnsi="Marlett" w:hint="default"/>
        <w:b/>
        <w:i w:val="0"/>
        <w:caps w:val="0"/>
        <w:strike w:val="0"/>
        <w:dstrike w:val="0"/>
        <w:vanish w:val="0"/>
        <w:color w:val="000000"/>
        <w:w w:val="100"/>
        <w:ker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tabs>
          <w:tab w:val="num" w:pos="2552"/>
        </w:tabs>
        <w:ind w:left="2552" w:hanging="851"/>
      </w:pPr>
      <w:rPr>
        <w:rFonts w:ascii="Century Gothic" w:hAnsi="MS Outlook" w:hint="default"/>
        <w:b w:val="0"/>
        <w:i w:val="0"/>
        <w:caps w:val="0"/>
        <w:strike w:val="0"/>
        <w:dstrike w:val="0"/>
        <w:vanish w:val="0"/>
        <w:color w:val="000000"/>
        <w:w w:val="100"/>
        <w:ker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lvlText w:val="(%5)"/>
      <w:lvlJc w:val="left"/>
      <w:pPr>
        <w:tabs>
          <w:tab w:val="num" w:pos="2880"/>
        </w:tabs>
        <w:ind w:left="288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3600"/>
        </w:tabs>
        <w:ind w:left="360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lvlText w:val="(%7)"/>
      <w:lvlJc w:val="left"/>
      <w:pPr>
        <w:tabs>
          <w:tab w:val="num" w:pos="4320"/>
        </w:tabs>
        <w:ind w:left="432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5040"/>
        </w:tabs>
        <w:ind w:left="504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5760"/>
        </w:tabs>
        <w:ind w:left="576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3E16BD3"/>
    <w:multiLevelType w:val="multilevel"/>
    <w:tmpl w:val="99444CA6"/>
    <w:lvl w:ilvl="0">
      <w:start w:val="1"/>
      <w:numFmt w:val="lowerLetter"/>
      <w:pStyle w:val="ListAlpha1"/>
      <w:lvlText w:val="(%1)"/>
      <w:lvlJc w:val="left"/>
      <w:pPr>
        <w:tabs>
          <w:tab w:val="num" w:pos="720"/>
        </w:tabs>
        <w:ind w:left="720" w:hanging="720"/>
      </w:pPr>
      <w:rPr>
        <w:rFonts w:hint="default"/>
      </w:rPr>
    </w:lvl>
    <w:lvl w:ilvl="1">
      <w:start w:val="1"/>
      <w:numFmt w:val="lowerRoman"/>
      <w:pStyle w:val="ListAlpha2"/>
      <w:lvlText w:val="(%2)"/>
      <w:lvlJc w:val="left"/>
      <w:pPr>
        <w:tabs>
          <w:tab w:val="num" w:pos="1440"/>
        </w:tabs>
        <w:ind w:left="1440" w:hanging="720"/>
      </w:pPr>
      <w:rPr>
        <w:rFonts w:hint="default"/>
        <w:lang w:val="fr-FR"/>
      </w:rPr>
    </w:lvl>
    <w:lvl w:ilvl="2">
      <w:start w:val="1"/>
      <w:numFmt w:val="bullet"/>
      <w:pStyle w:val="ListAlpha3"/>
      <w:lvlText w:val=""/>
      <w:lvlJc w:val="left"/>
      <w:pPr>
        <w:tabs>
          <w:tab w:val="num" w:pos="2160"/>
        </w:tabs>
        <w:ind w:left="2160" w:hanging="720"/>
      </w:pPr>
      <w:rPr>
        <w:rFonts w:ascii="Wingdings 3" w:hAnsi="Wingdings 3" w:hint="default"/>
        <w:color w:val="auto"/>
      </w:rPr>
    </w:lvl>
    <w:lvl w:ilvl="3">
      <w:numFmt w:val="none"/>
      <w:suff w:val="nothing"/>
      <w:lvlText w:val=""/>
      <w:lvlJc w:val="left"/>
      <w:pPr>
        <w:ind w:left="0" w:firstLine="0"/>
      </w:pPr>
      <w:rPr>
        <w:rFonts w:hint="default"/>
      </w:rPr>
    </w:lvl>
    <w:lvl w:ilvl="4">
      <w:numFmt w:val="none"/>
      <w:suff w:val="nothing"/>
      <w:lvlText w:val=""/>
      <w:lvlJc w:val="left"/>
      <w:pPr>
        <w:ind w:left="0" w:firstLine="0"/>
      </w:pPr>
      <w:rPr>
        <w:rFonts w:hint="default"/>
      </w:rPr>
    </w:lvl>
    <w:lvl w:ilvl="5">
      <w:numFmt w:val="none"/>
      <w:suff w:val="nothing"/>
      <w:lvlText w:val=""/>
      <w:lvlJc w:val="left"/>
      <w:pPr>
        <w:ind w:left="0" w:firstLine="0"/>
      </w:pPr>
      <w:rPr>
        <w:rFonts w:hint="default"/>
      </w:rPr>
    </w:lvl>
    <w:lvl w:ilvl="6">
      <w:numFmt w:val="none"/>
      <w:suff w:val="nothing"/>
      <w:lvlText w:val=""/>
      <w:lvlJc w:val="left"/>
      <w:pPr>
        <w:ind w:left="0" w:firstLine="0"/>
      </w:pPr>
      <w:rPr>
        <w:rFonts w:hint="default"/>
      </w:rPr>
    </w:lvl>
    <w:lvl w:ilvl="7">
      <w:numFmt w:val="none"/>
      <w:suff w:val="nothing"/>
      <w:lvlText w:val=""/>
      <w:lvlJc w:val="left"/>
      <w:pPr>
        <w:ind w:left="0" w:firstLine="0"/>
      </w:pPr>
      <w:rPr>
        <w:rFonts w:hint="default"/>
      </w:rPr>
    </w:lvl>
    <w:lvl w:ilvl="8">
      <w:numFmt w:val="none"/>
      <w:suff w:val="nothing"/>
      <w:lvlText w:val=""/>
      <w:lvlJc w:val="left"/>
      <w:pPr>
        <w:ind w:left="0" w:firstLine="0"/>
      </w:pPr>
      <w:rPr>
        <w:rFonts w:hint="default"/>
      </w:rPr>
    </w:lvl>
  </w:abstractNum>
  <w:abstractNum w:abstractNumId="2" w15:restartNumberingAfterBreak="0">
    <w:nsid w:val="07061197"/>
    <w:multiLevelType w:val="hybridMultilevel"/>
    <w:tmpl w:val="F73C78A2"/>
    <w:lvl w:ilvl="0" w:tplc="7818B7CC">
      <w:start w:val="1"/>
      <w:numFmt w:val="decimal"/>
      <w:pStyle w:val="comtexte"/>
      <w:lvlText w:val="%1."/>
      <w:lvlJc w:val="left"/>
      <w:pPr>
        <w:ind w:left="644" w:hanging="360"/>
      </w:pPr>
      <w:rPr>
        <w:b w:val="0"/>
        <w:color w:val="auto"/>
      </w:rPr>
    </w:lvl>
    <w:lvl w:ilvl="1" w:tplc="040C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A5B16"/>
    <w:multiLevelType w:val="multilevel"/>
    <w:tmpl w:val="56EAADE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Roman"/>
      <w:lvlText w:val="%3."/>
      <w:lvlJc w:val="left"/>
      <w:pPr>
        <w:ind w:left="0" w:firstLine="0"/>
      </w:pPr>
      <w:rPr>
        <w:rFonts w:hint="default"/>
      </w:rPr>
    </w:lvl>
    <w:lvl w:ilvl="3">
      <w:start w:val="1"/>
      <w:numFmt w:val="lowerLetter"/>
      <w:lvlText w:val="(%4)"/>
      <w:lvlJc w:val="left"/>
      <w:pPr>
        <w:tabs>
          <w:tab w:val="num" w:pos="720"/>
        </w:tabs>
        <w:ind w:left="720" w:hanging="720"/>
      </w:pPr>
      <w:rPr>
        <w:rFonts w:hint="default"/>
      </w:rPr>
    </w:lvl>
    <w:lvl w:ilvl="4">
      <w:start w:val="10"/>
      <w:numFmt w:val="lowerRoman"/>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 w15:restartNumberingAfterBreak="0">
    <w:nsid w:val="09663637"/>
    <w:multiLevelType w:val="hybridMultilevel"/>
    <w:tmpl w:val="B8205D44"/>
    <w:lvl w:ilvl="0" w:tplc="2C28551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BA9114F"/>
    <w:multiLevelType w:val="multilevel"/>
    <w:tmpl w:val="868AFA5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Roman"/>
      <w:lvlText w:val="%3."/>
      <w:lvlJc w:val="left"/>
      <w:pPr>
        <w:ind w:left="0" w:firstLine="0"/>
      </w:pPr>
      <w:rPr>
        <w:rFonts w:hint="default"/>
      </w:rPr>
    </w:lvl>
    <w:lvl w:ilvl="3">
      <w:start w:val="1"/>
      <w:numFmt w:val="lowerLetter"/>
      <w:lvlText w:val="(%4)"/>
      <w:lvlJc w:val="left"/>
      <w:pPr>
        <w:tabs>
          <w:tab w:val="num" w:pos="720"/>
        </w:tabs>
        <w:ind w:left="720" w:hanging="720"/>
      </w:pPr>
      <w:rPr>
        <w:rFonts w:hint="default"/>
      </w:rPr>
    </w:lvl>
    <w:lvl w:ilvl="4">
      <w:start w:val="10"/>
      <w:numFmt w:val="lowerRoman"/>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 w15:restartNumberingAfterBreak="0">
    <w:nsid w:val="0C216E31"/>
    <w:multiLevelType w:val="multilevel"/>
    <w:tmpl w:val="2564D4B4"/>
    <w:lvl w:ilvl="0">
      <w:start w:val="1"/>
      <w:numFmt w:val="decimal"/>
      <w:lvlText w:val="%1."/>
      <w:lvlJc w:val="left"/>
      <w:pPr>
        <w:ind w:left="720" w:hanging="720"/>
      </w:pPr>
      <w:rPr>
        <w:rFonts w:hint="default"/>
        <w:b/>
        <w:i w:val="0"/>
        <w:sz w:val="22"/>
        <w:u w:val="none"/>
      </w:rPr>
    </w:lvl>
    <w:lvl w:ilvl="1">
      <w:start w:val="1"/>
      <w:numFmt w:val="decimal"/>
      <w:lvlText w:val="%1.%2"/>
      <w:lvlJc w:val="left"/>
      <w:pPr>
        <w:ind w:left="720" w:hanging="720"/>
      </w:pPr>
      <w:rPr>
        <w:rFonts w:hint="default"/>
        <w:b w:val="0"/>
        <w:i w:val="0"/>
        <w:sz w:val="22"/>
        <w:u w:val="none"/>
      </w:rPr>
    </w:lvl>
    <w:lvl w:ilvl="2">
      <w:start w:val="1"/>
      <w:numFmt w:val="lowerLetter"/>
      <w:lvlText w:val="%3)"/>
      <w:lvlJc w:val="left"/>
      <w:pPr>
        <w:ind w:left="1440" w:hanging="720"/>
      </w:pPr>
      <w:rPr>
        <w:rFonts w:hint="default"/>
        <w:b w:val="0"/>
        <w:i w:val="0"/>
        <w:sz w:val="22"/>
        <w:u w:val="none"/>
      </w:rPr>
    </w:lvl>
    <w:lvl w:ilvl="3">
      <w:start w:val="1"/>
      <w:numFmt w:val="lowerLetter"/>
      <w:lvlText w:val="(%4)"/>
      <w:lvlJc w:val="left"/>
      <w:pPr>
        <w:ind w:left="1440" w:hanging="720"/>
      </w:pPr>
      <w:rPr>
        <w:rFonts w:hint="default"/>
        <w:b w:val="0"/>
        <w:i w:val="0"/>
        <w:sz w:val="22"/>
        <w:u w:val="none"/>
      </w:rPr>
    </w:lvl>
    <w:lvl w:ilvl="4">
      <w:start w:val="1"/>
      <w:numFmt w:val="decimal"/>
      <w:lvlText w:val="%5)"/>
      <w:lvlJc w:val="left"/>
      <w:pPr>
        <w:ind w:left="1440" w:hanging="720"/>
      </w:pPr>
      <w:rPr>
        <w:rFonts w:hint="default"/>
        <w:sz w:val="22"/>
      </w:rPr>
    </w:lvl>
    <w:lvl w:ilvl="5">
      <w:start w:val="1"/>
      <w:numFmt w:val="lowerRoman"/>
      <w:lvlText w:val="(%6)"/>
      <w:lvlJc w:val="left"/>
      <w:pPr>
        <w:ind w:left="720" w:hanging="720"/>
      </w:pPr>
      <w:rPr>
        <w:rFonts w:hint="default"/>
        <w:b w:val="0"/>
        <w:i w:val="0"/>
      </w:rPr>
    </w:lvl>
    <w:lvl w:ilvl="6">
      <w:start w:val="1"/>
      <w:numFmt w:val="lowerLetter"/>
      <w:lvlText w:val="(%7)"/>
      <w:lvlJc w:val="left"/>
      <w:pPr>
        <w:ind w:left="2160" w:hanging="720"/>
      </w:pPr>
      <w:rPr>
        <w:rFonts w:hint="default"/>
      </w:rPr>
    </w:lvl>
    <w:lvl w:ilvl="7">
      <w:start w:val="1"/>
      <w:numFmt w:val="decimal"/>
      <w:lvlText w:val="(%8)"/>
      <w:lvlJc w:val="left"/>
      <w:pPr>
        <w:ind w:left="2880" w:hanging="720"/>
      </w:pPr>
      <w:rPr>
        <w:rFonts w:hint="default"/>
      </w:rPr>
    </w:lvl>
    <w:lvl w:ilvl="8">
      <w:start w:val="1"/>
      <w:numFmt w:val="lowerLetter"/>
      <w:lvlText w:val="(%9)"/>
      <w:lvlJc w:val="left"/>
      <w:pPr>
        <w:ind w:left="720" w:hanging="720"/>
      </w:pPr>
      <w:rPr>
        <w:rFonts w:hint="default"/>
      </w:rPr>
    </w:lvl>
  </w:abstractNum>
  <w:abstractNum w:abstractNumId="7" w15:restartNumberingAfterBreak="0">
    <w:nsid w:val="1423391B"/>
    <w:multiLevelType w:val="multilevel"/>
    <w:tmpl w:val="A1B6361C"/>
    <w:lvl w:ilvl="0">
      <w:start w:val="1"/>
      <w:numFmt w:val="decimal"/>
      <w:lvlText w:val="%1."/>
      <w:lvlJc w:val="left"/>
      <w:pPr>
        <w:tabs>
          <w:tab w:val="num" w:pos="624"/>
        </w:tabs>
        <w:ind w:left="624" w:hanging="624"/>
      </w:pPr>
      <w:rPr>
        <w:rFonts w:ascii="CG Times" w:hAnsi="CG Times" w:hint="default"/>
        <w:b w:val="0"/>
        <w:i w:val="0"/>
        <w:color w:val="000000"/>
        <w:sz w:val="20"/>
        <w:u w:val="none"/>
      </w:rPr>
    </w:lvl>
    <w:lvl w:ilvl="1">
      <w:start w:val="1"/>
      <w:numFmt w:val="decimal"/>
      <w:pStyle w:val="Heading2"/>
      <w:lvlText w:val="%1.%2"/>
      <w:lvlJc w:val="left"/>
      <w:pPr>
        <w:tabs>
          <w:tab w:val="num" w:pos="624"/>
        </w:tabs>
        <w:ind w:left="624" w:hanging="624"/>
      </w:pPr>
      <w:rPr>
        <w:rFonts w:ascii="Times New Roman" w:hAnsi="Times New Roman" w:cs="Times New Roman" w:hint="default"/>
        <w:b/>
        <w:i w:val="0"/>
        <w:color w:val="000000"/>
        <w:sz w:val="24"/>
        <w:u w:val="none"/>
      </w:rPr>
    </w:lvl>
    <w:lvl w:ilvl="2">
      <w:start w:val="1"/>
      <w:numFmt w:val="lowerLetter"/>
      <w:lvlText w:val="(%3)"/>
      <w:lvlJc w:val="left"/>
      <w:pPr>
        <w:tabs>
          <w:tab w:val="num" w:pos="1417"/>
        </w:tabs>
        <w:ind w:left="1417" w:hanging="793"/>
      </w:pPr>
      <w:rPr>
        <w:rFonts w:ascii="CG Times" w:eastAsia="Times New Roman" w:hAnsi="CG Times" w:cs="Times New Roman"/>
        <w:b w:val="0"/>
        <w:i w:val="0"/>
        <w:color w:val="000000"/>
        <w:sz w:val="20"/>
        <w:u w:val="none"/>
      </w:rPr>
    </w:lvl>
    <w:lvl w:ilvl="3">
      <w:start w:val="1"/>
      <w:numFmt w:val="lowerLetter"/>
      <w:lvlText w:val="(%4)"/>
      <w:lvlJc w:val="left"/>
      <w:pPr>
        <w:tabs>
          <w:tab w:val="num" w:pos="1928"/>
        </w:tabs>
        <w:ind w:left="1928" w:hanging="511"/>
      </w:pPr>
      <w:rPr>
        <w:rFonts w:ascii="CG Times" w:hAnsi="CG Times" w:hint="default"/>
        <w:b w:val="0"/>
        <w:i w:val="0"/>
        <w:color w:val="000000"/>
        <w:sz w:val="20"/>
        <w:u w:val="none"/>
      </w:rPr>
    </w:lvl>
    <w:lvl w:ilvl="4">
      <w:start w:val="1"/>
      <w:numFmt w:val="lowerRoman"/>
      <w:lvlText w:val="(%5)"/>
      <w:lvlJc w:val="left"/>
      <w:pPr>
        <w:tabs>
          <w:tab w:val="num" w:pos="2648"/>
        </w:tabs>
        <w:ind w:left="2438" w:hanging="510"/>
      </w:pPr>
      <w:rPr>
        <w:rFonts w:ascii="CG Times" w:hAnsi="CG Times" w:hint="default"/>
        <w:b w:val="0"/>
        <w:i w:val="0"/>
        <w:color w:val="000000"/>
        <w:sz w:val="20"/>
        <w:u w:val="none"/>
      </w:rPr>
    </w:lvl>
    <w:lvl w:ilvl="5">
      <w:start w:val="1"/>
      <w:numFmt w:val="decimal"/>
      <w:lvlText w:val="(%6)"/>
      <w:lvlJc w:val="left"/>
      <w:pPr>
        <w:tabs>
          <w:tab w:val="num" w:pos="2948"/>
        </w:tabs>
        <w:ind w:left="2948" w:hanging="510"/>
      </w:pPr>
      <w:rPr>
        <w:rFonts w:ascii="CG Times" w:hAnsi="CG Times" w:hint="default"/>
        <w:b w:val="0"/>
        <w:i w:val="0"/>
        <w:color w:val="000000"/>
        <w:sz w:val="20"/>
        <w:u w:val="none"/>
      </w:rPr>
    </w:lvl>
    <w:lvl w:ilvl="6">
      <w:start w:val="1"/>
      <w:numFmt w:val="none"/>
      <w:suff w:val="nothing"/>
      <w:lvlText w:val=""/>
      <w:lvlJc w:val="left"/>
      <w:pPr>
        <w:ind w:left="0" w:firstLine="0"/>
      </w:pPr>
      <w:rPr>
        <w:rFonts w:ascii="CG Times" w:hAnsi="CG Times" w:hint="default"/>
        <w:b w:val="0"/>
        <w:i w:val="0"/>
        <w:color w:val="000080"/>
        <w:sz w:val="20"/>
        <w:u w:val="none"/>
      </w:rPr>
    </w:lvl>
    <w:lvl w:ilvl="7">
      <w:start w:val="1"/>
      <w:numFmt w:val="upperLetter"/>
      <w:suff w:val="space"/>
      <w:lvlText w:val="Part %8"/>
      <w:lvlJc w:val="left"/>
      <w:pPr>
        <w:ind w:left="0" w:firstLine="0"/>
      </w:pPr>
      <w:rPr>
        <w:rFonts w:ascii="CG Times" w:hAnsi="CG Times" w:hint="default"/>
        <w:b/>
        <w:i w:val="0"/>
        <w:color w:val="000080"/>
        <w:sz w:val="22"/>
        <w:u w:val="none"/>
      </w:rPr>
    </w:lvl>
    <w:lvl w:ilvl="8">
      <w:start w:val="1"/>
      <w:numFmt w:val="decimal"/>
      <w:lvlRestart w:val="0"/>
      <w:suff w:val="space"/>
      <w:lvlText w:val="ANNEXE %9"/>
      <w:lvlJc w:val="left"/>
      <w:pPr>
        <w:ind w:left="0" w:firstLine="0"/>
      </w:pPr>
      <w:rPr>
        <w:rFonts w:ascii="CG Times" w:hAnsi="CG Times" w:hint="default"/>
        <w:b/>
        <w:i w:val="0"/>
        <w:caps/>
        <w:color w:val="000000"/>
        <w:sz w:val="22"/>
        <w:u w:val="none"/>
      </w:rPr>
    </w:lvl>
  </w:abstractNum>
  <w:abstractNum w:abstractNumId="8" w15:restartNumberingAfterBreak="0">
    <w:nsid w:val="15F62D98"/>
    <w:multiLevelType w:val="multilevel"/>
    <w:tmpl w:val="E8EA12D4"/>
    <w:name w:val="Recitals"/>
    <w:lvl w:ilvl="0">
      <w:start w:val="1"/>
      <w:numFmt w:val="decimal"/>
      <w:pStyle w:val="Recitals"/>
      <w:lvlText w:val="(%1)"/>
      <w:lvlJc w:val="left"/>
      <w:pPr>
        <w:ind w:left="720" w:hanging="72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15:restartNumberingAfterBreak="0">
    <w:nsid w:val="162C3A77"/>
    <w:multiLevelType w:val="hybridMultilevel"/>
    <w:tmpl w:val="ADE6EC2C"/>
    <w:lvl w:ilvl="0" w:tplc="3C7E217C">
      <w:start w:val="1"/>
      <w:numFmt w:val="lowerRoman"/>
      <w:lvlText w:val="(%1)"/>
      <w:lvlJc w:val="left"/>
      <w:pPr>
        <w:ind w:left="1425" w:hanging="360"/>
      </w:pPr>
      <w:rPr>
        <w:rFonts w:hint="default"/>
      </w:rPr>
    </w:lvl>
    <w:lvl w:ilvl="1" w:tplc="040C0019" w:tentative="1">
      <w:start w:val="1"/>
      <w:numFmt w:val="lowerLetter"/>
      <w:lvlText w:val="%2."/>
      <w:lvlJc w:val="left"/>
      <w:pPr>
        <w:ind w:left="2145" w:hanging="360"/>
      </w:pPr>
    </w:lvl>
    <w:lvl w:ilvl="2" w:tplc="040C001B" w:tentative="1">
      <w:start w:val="1"/>
      <w:numFmt w:val="lowerRoman"/>
      <w:lvlText w:val="%3."/>
      <w:lvlJc w:val="right"/>
      <w:pPr>
        <w:ind w:left="2865" w:hanging="180"/>
      </w:pPr>
    </w:lvl>
    <w:lvl w:ilvl="3" w:tplc="040C000F" w:tentative="1">
      <w:start w:val="1"/>
      <w:numFmt w:val="decimal"/>
      <w:lvlText w:val="%4."/>
      <w:lvlJc w:val="left"/>
      <w:pPr>
        <w:ind w:left="3585" w:hanging="360"/>
      </w:pPr>
    </w:lvl>
    <w:lvl w:ilvl="4" w:tplc="040C0019" w:tentative="1">
      <w:start w:val="1"/>
      <w:numFmt w:val="lowerLetter"/>
      <w:lvlText w:val="%5."/>
      <w:lvlJc w:val="left"/>
      <w:pPr>
        <w:ind w:left="4305" w:hanging="360"/>
      </w:pPr>
    </w:lvl>
    <w:lvl w:ilvl="5" w:tplc="040C001B" w:tentative="1">
      <w:start w:val="1"/>
      <w:numFmt w:val="lowerRoman"/>
      <w:lvlText w:val="%6."/>
      <w:lvlJc w:val="right"/>
      <w:pPr>
        <w:ind w:left="5025" w:hanging="180"/>
      </w:pPr>
    </w:lvl>
    <w:lvl w:ilvl="6" w:tplc="040C000F" w:tentative="1">
      <w:start w:val="1"/>
      <w:numFmt w:val="decimal"/>
      <w:lvlText w:val="%7."/>
      <w:lvlJc w:val="left"/>
      <w:pPr>
        <w:ind w:left="5745" w:hanging="360"/>
      </w:pPr>
    </w:lvl>
    <w:lvl w:ilvl="7" w:tplc="040C0019" w:tentative="1">
      <w:start w:val="1"/>
      <w:numFmt w:val="lowerLetter"/>
      <w:lvlText w:val="%8."/>
      <w:lvlJc w:val="left"/>
      <w:pPr>
        <w:ind w:left="6465" w:hanging="360"/>
      </w:pPr>
    </w:lvl>
    <w:lvl w:ilvl="8" w:tplc="040C001B" w:tentative="1">
      <w:start w:val="1"/>
      <w:numFmt w:val="lowerRoman"/>
      <w:lvlText w:val="%9."/>
      <w:lvlJc w:val="right"/>
      <w:pPr>
        <w:ind w:left="7185" w:hanging="180"/>
      </w:pPr>
    </w:lvl>
  </w:abstractNum>
  <w:abstractNum w:abstractNumId="10" w15:restartNumberingAfterBreak="0">
    <w:nsid w:val="197A0057"/>
    <w:multiLevelType w:val="hybridMultilevel"/>
    <w:tmpl w:val="4D02B176"/>
    <w:lvl w:ilvl="0" w:tplc="61F2F0A6">
      <w:start w:val="1"/>
      <w:numFmt w:val="lowerRoman"/>
      <w:lvlText w:val="(%1)"/>
      <w:lvlJc w:val="right"/>
      <w:pPr>
        <w:ind w:left="720" w:hanging="360"/>
      </w:pPr>
      <w:rPr>
        <w:rFonts w:hint="default"/>
      </w:rPr>
    </w:lvl>
    <w:lvl w:ilvl="1" w:tplc="CC766EA6" w:tentative="1">
      <w:start w:val="1"/>
      <w:numFmt w:val="lowerLetter"/>
      <w:lvlText w:val="%2."/>
      <w:lvlJc w:val="left"/>
      <w:pPr>
        <w:ind w:left="1440" w:hanging="360"/>
      </w:pPr>
    </w:lvl>
    <w:lvl w:ilvl="2" w:tplc="52CA816A" w:tentative="1">
      <w:start w:val="1"/>
      <w:numFmt w:val="lowerRoman"/>
      <w:lvlText w:val="%3."/>
      <w:lvlJc w:val="right"/>
      <w:pPr>
        <w:ind w:left="2160" w:hanging="180"/>
      </w:pPr>
    </w:lvl>
    <w:lvl w:ilvl="3" w:tplc="60D8B50A" w:tentative="1">
      <w:start w:val="1"/>
      <w:numFmt w:val="decimal"/>
      <w:lvlText w:val="%4."/>
      <w:lvlJc w:val="left"/>
      <w:pPr>
        <w:ind w:left="2880" w:hanging="360"/>
      </w:pPr>
    </w:lvl>
    <w:lvl w:ilvl="4" w:tplc="EBC805EE" w:tentative="1">
      <w:start w:val="1"/>
      <w:numFmt w:val="lowerLetter"/>
      <w:lvlText w:val="%5."/>
      <w:lvlJc w:val="left"/>
      <w:pPr>
        <w:ind w:left="3600" w:hanging="360"/>
      </w:pPr>
    </w:lvl>
    <w:lvl w:ilvl="5" w:tplc="BECE7F12" w:tentative="1">
      <w:start w:val="1"/>
      <w:numFmt w:val="lowerRoman"/>
      <w:lvlText w:val="%6."/>
      <w:lvlJc w:val="right"/>
      <w:pPr>
        <w:ind w:left="4320" w:hanging="180"/>
      </w:pPr>
    </w:lvl>
    <w:lvl w:ilvl="6" w:tplc="35B2744A" w:tentative="1">
      <w:start w:val="1"/>
      <w:numFmt w:val="decimal"/>
      <w:lvlText w:val="%7."/>
      <w:lvlJc w:val="left"/>
      <w:pPr>
        <w:ind w:left="5040" w:hanging="360"/>
      </w:pPr>
    </w:lvl>
    <w:lvl w:ilvl="7" w:tplc="B588CA96" w:tentative="1">
      <w:start w:val="1"/>
      <w:numFmt w:val="lowerLetter"/>
      <w:lvlText w:val="%8."/>
      <w:lvlJc w:val="left"/>
      <w:pPr>
        <w:ind w:left="5760" w:hanging="360"/>
      </w:pPr>
    </w:lvl>
    <w:lvl w:ilvl="8" w:tplc="62468DB8" w:tentative="1">
      <w:start w:val="1"/>
      <w:numFmt w:val="lowerRoman"/>
      <w:lvlText w:val="%9."/>
      <w:lvlJc w:val="right"/>
      <w:pPr>
        <w:ind w:left="6480" w:hanging="180"/>
      </w:pPr>
    </w:lvl>
  </w:abstractNum>
  <w:abstractNum w:abstractNumId="11" w15:restartNumberingAfterBreak="0">
    <w:nsid w:val="1ABF3CDB"/>
    <w:multiLevelType w:val="hybridMultilevel"/>
    <w:tmpl w:val="AEE2C634"/>
    <w:lvl w:ilvl="0" w:tplc="0F0EFE06">
      <w:start w:val="1"/>
      <w:numFmt w:val="lowerRoman"/>
      <w:lvlText w:val="(%1)"/>
      <w:lvlJc w:val="left"/>
      <w:pPr>
        <w:ind w:left="1996" w:hanging="720"/>
      </w:pPr>
    </w:lvl>
    <w:lvl w:ilvl="1" w:tplc="04090019">
      <w:start w:val="1"/>
      <w:numFmt w:val="lowerLetter"/>
      <w:lvlText w:val="%2."/>
      <w:lvlJc w:val="left"/>
      <w:pPr>
        <w:ind w:left="2356" w:hanging="360"/>
      </w:pPr>
    </w:lvl>
    <w:lvl w:ilvl="2" w:tplc="0409001B">
      <w:start w:val="1"/>
      <w:numFmt w:val="lowerRoman"/>
      <w:lvlText w:val="%3."/>
      <w:lvlJc w:val="right"/>
      <w:pPr>
        <w:ind w:left="3076" w:hanging="180"/>
      </w:pPr>
    </w:lvl>
    <w:lvl w:ilvl="3" w:tplc="0409000F">
      <w:start w:val="1"/>
      <w:numFmt w:val="decimal"/>
      <w:lvlText w:val="%4."/>
      <w:lvlJc w:val="left"/>
      <w:pPr>
        <w:ind w:left="3796" w:hanging="360"/>
      </w:pPr>
    </w:lvl>
    <w:lvl w:ilvl="4" w:tplc="04090019">
      <w:start w:val="1"/>
      <w:numFmt w:val="lowerLetter"/>
      <w:lvlText w:val="%5."/>
      <w:lvlJc w:val="left"/>
      <w:pPr>
        <w:ind w:left="4516" w:hanging="360"/>
      </w:pPr>
    </w:lvl>
    <w:lvl w:ilvl="5" w:tplc="0409001B">
      <w:start w:val="1"/>
      <w:numFmt w:val="lowerRoman"/>
      <w:lvlText w:val="%6."/>
      <w:lvlJc w:val="right"/>
      <w:pPr>
        <w:ind w:left="5236" w:hanging="180"/>
      </w:pPr>
    </w:lvl>
    <w:lvl w:ilvl="6" w:tplc="0409000F">
      <w:start w:val="1"/>
      <w:numFmt w:val="decimal"/>
      <w:lvlText w:val="%7."/>
      <w:lvlJc w:val="left"/>
      <w:pPr>
        <w:ind w:left="5956" w:hanging="360"/>
      </w:pPr>
    </w:lvl>
    <w:lvl w:ilvl="7" w:tplc="04090019">
      <w:start w:val="1"/>
      <w:numFmt w:val="lowerLetter"/>
      <w:lvlText w:val="%8."/>
      <w:lvlJc w:val="left"/>
      <w:pPr>
        <w:ind w:left="6676" w:hanging="360"/>
      </w:pPr>
    </w:lvl>
    <w:lvl w:ilvl="8" w:tplc="0409001B">
      <w:start w:val="1"/>
      <w:numFmt w:val="lowerRoman"/>
      <w:lvlText w:val="%9."/>
      <w:lvlJc w:val="right"/>
      <w:pPr>
        <w:ind w:left="7396" w:hanging="180"/>
      </w:pPr>
    </w:lvl>
  </w:abstractNum>
  <w:abstractNum w:abstractNumId="12" w15:restartNumberingAfterBreak="0">
    <w:nsid w:val="219D367C"/>
    <w:multiLevelType w:val="hybridMultilevel"/>
    <w:tmpl w:val="F60011A2"/>
    <w:lvl w:ilvl="0" w:tplc="EB2A4830">
      <w:start w:val="1"/>
      <w:numFmt w:val="lowerLetter"/>
      <w:lvlText w:val="(%1)"/>
      <w:lvlJc w:val="left"/>
      <w:pPr>
        <w:ind w:left="1080" w:hanging="72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786D4E"/>
    <w:multiLevelType w:val="hybridMultilevel"/>
    <w:tmpl w:val="7A7A15D8"/>
    <w:lvl w:ilvl="0" w:tplc="1FB6E024">
      <w:start w:val="1"/>
      <w:numFmt w:val="lowerRoman"/>
      <w:lvlText w:val="(%1)"/>
      <w:lvlJc w:val="left"/>
      <w:pPr>
        <w:ind w:left="2160" w:hanging="72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4" w15:restartNumberingAfterBreak="0">
    <w:nsid w:val="24005116"/>
    <w:multiLevelType w:val="multilevel"/>
    <w:tmpl w:val="67466BF0"/>
    <w:lvl w:ilvl="0">
      <w:start w:val="1"/>
      <w:numFmt w:val="decimal"/>
      <w:pStyle w:val="Parties1"/>
      <w:lvlText w:val="%1."/>
      <w:lvlJc w:val="left"/>
      <w:pPr>
        <w:tabs>
          <w:tab w:val="num" w:pos="720"/>
        </w:tabs>
        <w:ind w:left="720" w:hanging="720"/>
      </w:pPr>
      <w:rPr>
        <w:rFonts w:hint="default"/>
      </w:rPr>
    </w:lvl>
    <w:lvl w:ilvl="1">
      <w:start w:val="1"/>
      <w:numFmt w:val="upperLetter"/>
      <w:pStyle w:val="PartiesA"/>
      <w:lvlText w:val="(%2)"/>
      <w:lvlJc w:val="left"/>
      <w:pPr>
        <w:tabs>
          <w:tab w:val="num" w:pos="720"/>
        </w:tabs>
        <w:ind w:left="720" w:hanging="72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 w15:restartNumberingAfterBreak="0">
    <w:nsid w:val="25026C2C"/>
    <w:multiLevelType w:val="hybridMultilevel"/>
    <w:tmpl w:val="54989E74"/>
    <w:lvl w:ilvl="0" w:tplc="16B2F8FC">
      <w:start w:val="4"/>
      <w:numFmt w:val="bullet"/>
      <w:lvlText w:val="-"/>
      <w:lvlJc w:val="left"/>
      <w:pPr>
        <w:ind w:left="720" w:hanging="360"/>
      </w:pPr>
      <w:rPr>
        <w:rFonts w:ascii="Times New Roman" w:eastAsia="Calibri" w:hAnsi="Times New Roman" w:cs="Times New Roman" w:hint="default"/>
      </w:rPr>
    </w:lvl>
    <w:lvl w:ilvl="1" w:tplc="A4247A82" w:tentative="1">
      <w:start w:val="1"/>
      <w:numFmt w:val="bullet"/>
      <w:lvlText w:val="o"/>
      <w:lvlJc w:val="left"/>
      <w:pPr>
        <w:ind w:left="1440" w:hanging="360"/>
      </w:pPr>
      <w:rPr>
        <w:rFonts w:ascii="Courier New" w:hAnsi="Courier New" w:cs="Courier New" w:hint="default"/>
      </w:rPr>
    </w:lvl>
    <w:lvl w:ilvl="2" w:tplc="35961300" w:tentative="1">
      <w:start w:val="1"/>
      <w:numFmt w:val="bullet"/>
      <w:lvlText w:val=""/>
      <w:lvlJc w:val="left"/>
      <w:pPr>
        <w:ind w:left="2160" w:hanging="360"/>
      </w:pPr>
      <w:rPr>
        <w:rFonts w:ascii="Wingdings" w:hAnsi="Wingdings" w:hint="default"/>
      </w:rPr>
    </w:lvl>
    <w:lvl w:ilvl="3" w:tplc="29423756" w:tentative="1">
      <w:start w:val="1"/>
      <w:numFmt w:val="bullet"/>
      <w:lvlText w:val=""/>
      <w:lvlJc w:val="left"/>
      <w:pPr>
        <w:ind w:left="2880" w:hanging="360"/>
      </w:pPr>
      <w:rPr>
        <w:rFonts w:ascii="Symbol" w:hAnsi="Symbol" w:hint="default"/>
      </w:rPr>
    </w:lvl>
    <w:lvl w:ilvl="4" w:tplc="66B259B6" w:tentative="1">
      <w:start w:val="1"/>
      <w:numFmt w:val="bullet"/>
      <w:lvlText w:val="o"/>
      <w:lvlJc w:val="left"/>
      <w:pPr>
        <w:ind w:left="3600" w:hanging="360"/>
      </w:pPr>
      <w:rPr>
        <w:rFonts w:ascii="Courier New" w:hAnsi="Courier New" w:cs="Courier New" w:hint="default"/>
      </w:rPr>
    </w:lvl>
    <w:lvl w:ilvl="5" w:tplc="03E24C0A" w:tentative="1">
      <w:start w:val="1"/>
      <w:numFmt w:val="bullet"/>
      <w:lvlText w:val=""/>
      <w:lvlJc w:val="left"/>
      <w:pPr>
        <w:ind w:left="4320" w:hanging="360"/>
      </w:pPr>
      <w:rPr>
        <w:rFonts w:ascii="Wingdings" w:hAnsi="Wingdings" w:hint="default"/>
      </w:rPr>
    </w:lvl>
    <w:lvl w:ilvl="6" w:tplc="85187424" w:tentative="1">
      <w:start w:val="1"/>
      <w:numFmt w:val="bullet"/>
      <w:lvlText w:val=""/>
      <w:lvlJc w:val="left"/>
      <w:pPr>
        <w:ind w:left="5040" w:hanging="360"/>
      </w:pPr>
      <w:rPr>
        <w:rFonts w:ascii="Symbol" w:hAnsi="Symbol" w:hint="default"/>
      </w:rPr>
    </w:lvl>
    <w:lvl w:ilvl="7" w:tplc="F7C4A0A8" w:tentative="1">
      <w:start w:val="1"/>
      <w:numFmt w:val="bullet"/>
      <w:lvlText w:val="o"/>
      <w:lvlJc w:val="left"/>
      <w:pPr>
        <w:ind w:left="5760" w:hanging="360"/>
      </w:pPr>
      <w:rPr>
        <w:rFonts w:ascii="Courier New" w:hAnsi="Courier New" w:cs="Courier New" w:hint="default"/>
      </w:rPr>
    </w:lvl>
    <w:lvl w:ilvl="8" w:tplc="C9CC2FF0" w:tentative="1">
      <w:start w:val="1"/>
      <w:numFmt w:val="bullet"/>
      <w:lvlText w:val=""/>
      <w:lvlJc w:val="left"/>
      <w:pPr>
        <w:ind w:left="6480" w:hanging="360"/>
      </w:pPr>
      <w:rPr>
        <w:rFonts w:ascii="Wingdings" w:hAnsi="Wingdings" w:hint="default"/>
      </w:rPr>
    </w:lvl>
  </w:abstractNum>
  <w:abstractNum w:abstractNumId="16" w15:restartNumberingAfterBreak="0">
    <w:nsid w:val="26FA7B08"/>
    <w:multiLevelType w:val="hybridMultilevel"/>
    <w:tmpl w:val="4FA869A4"/>
    <w:lvl w:ilvl="0" w:tplc="61A69504">
      <w:start w:val="1"/>
      <w:numFmt w:val="decimal"/>
      <w:lvlText w:val="%1."/>
      <w:lvlJc w:val="left"/>
      <w:pPr>
        <w:ind w:left="1080" w:hanging="720"/>
      </w:pPr>
      <w:rPr>
        <w:rFonts w:ascii="Times New Roman Gras" w:hAnsi="Times New Roman Gras" w:hint="default"/>
        <w:b/>
        <w:i w:val="0"/>
        <w:sz w:val="24"/>
      </w:rPr>
    </w:lvl>
    <w:lvl w:ilvl="1" w:tplc="60A65AB6" w:tentative="1">
      <w:start w:val="1"/>
      <w:numFmt w:val="lowerLetter"/>
      <w:lvlText w:val="%2."/>
      <w:lvlJc w:val="left"/>
      <w:pPr>
        <w:ind w:left="1440" w:hanging="360"/>
      </w:pPr>
    </w:lvl>
    <w:lvl w:ilvl="2" w:tplc="7CE6EC98" w:tentative="1">
      <w:start w:val="1"/>
      <w:numFmt w:val="lowerRoman"/>
      <w:lvlText w:val="%3."/>
      <w:lvlJc w:val="right"/>
      <w:pPr>
        <w:ind w:left="2160" w:hanging="180"/>
      </w:pPr>
    </w:lvl>
    <w:lvl w:ilvl="3" w:tplc="03981A46" w:tentative="1">
      <w:start w:val="1"/>
      <w:numFmt w:val="decimal"/>
      <w:lvlText w:val="%4."/>
      <w:lvlJc w:val="left"/>
      <w:pPr>
        <w:ind w:left="2880" w:hanging="360"/>
      </w:pPr>
    </w:lvl>
    <w:lvl w:ilvl="4" w:tplc="343E7D70" w:tentative="1">
      <w:start w:val="1"/>
      <w:numFmt w:val="lowerLetter"/>
      <w:lvlText w:val="%5."/>
      <w:lvlJc w:val="left"/>
      <w:pPr>
        <w:ind w:left="3600" w:hanging="360"/>
      </w:pPr>
    </w:lvl>
    <w:lvl w:ilvl="5" w:tplc="B238B324" w:tentative="1">
      <w:start w:val="1"/>
      <w:numFmt w:val="lowerRoman"/>
      <w:lvlText w:val="%6."/>
      <w:lvlJc w:val="right"/>
      <w:pPr>
        <w:ind w:left="4320" w:hanging="180"/>
      </w:pPr>
    </w:lvl>
    <w:lvl w:ilvl="6" w:tplc="0246B64A" w:tentative="1">
      <w:start w:val="1"/>
      <w:numFmt w:val="decimal"/>
      <w:lvlText w:val="%7."/>
      <w:lvlJc w:val="left"/>
      <w:pPr>
        <w:ind w:left="5040" w:hanging="360"/>
      </w:pPr>
    </w:lvl>
    <w:lvl w:ilvl="7" w:tplc="DCCC392C" w:tentative="1">
      <w:start w:val="1"/>
      <w:numFmt w:val="lowerLetter"/>
      <w:lvlText w:val="%8."/>
      <w:lvlJc w:val="left"/>
      <w:pPr>
        <w:ind w:left="5760" w:hanging="360"/>
      </w:pPr>
    </w:lvl>
    <w:lvl w:ilvl="8" w:tplc="9F3AE4EA" w:tentative="1">
      <w:start w:val="1"/>
      <w:numFmt w:val="lowerRoman"/>
      <w:lvlText w:val="%9."/>
      <w:lvlJc w:val="right"/>
      <w:pPr>
        <w:ind w:left="6480" w:hanging="180"/>
      </w:pPr>
    </w:lvl>
  </w:abstractNum>
  <w:abstractNum w:abstractNumId="17" w15:restartNumberingAfterBreak="0">
    <w:nsid w:val="2ED6778A"/>
    <w:multiLevelType w:val="multilevel"/>
    <w:tmpl w:val="F30C9DFE"/>
    <w:lvl w:ilvl="0">
      <w:start w:val="1"/>
      <w:numFmt w:val="decimal"/>
      <w:pStyle w:val="ListArabic1"/>
      <w:lvlText w:val="%1."/>
      <w:lvlJc w:val="left"/>
      <w:pPr>
        <w:tabs>
          <w:tab w:val="num" w:pos="720"/>
        </w:tabs>
        <w:ind w:left="720" w:hanging="720"/>
      </w:pPr>
      <w:rPr>
        <w:rFonts w:hint="default"/>
      </w:rPr>
    </w:lvl>
    <w:lvl w:ilvl="1">
      <w:start w:val="1"/>
      <w:numFmt w:val="lowerLetter"/>
      <w:pStyle w:val="ListArabic2"/>
      <w:lvlText w:val="(%2)"/>
      <w:lvlJc w:val="left"/>
      <w:pPr>
        <w:tabs>
          <w:tab w:val="num" w:pos="1440"/>
        </w:tabs>
        <w:ind w:left="1440" w:hanging="720"/>
      </w:pPr>
      <w:rPr>
        <w:rFonts w:hint="default"/>
      </w:rPr>
    </w:lvl>
    <w:lvl w:ilvl="2">
      <w:start w:val="1"/>
      <w:numFmt w:val="bullet"/>
      <w:pStyle w:val="ListArabic3"/>
      <w:lvlText w:val=""/>
      <w:lvlJc w:val="left"/>
      <w:pPr>
        <w:tabs>
          <w:tab w:val="num" w:pos="1440"/>
        </w:tabs>
        <w:ind w:left="1440" w:hanging="720"/>
      </w:pPr>
      <w:rPr>
        <w:rFonts w:ascii="Symbol" w:hAnsi="Symbol" w:hint="default"/>
      </w:rPr>
    </w:lvl>
    <w:lvl w:ilvl="3">
      <w:start w:val="1"/>
      <w:numFmt w:val="bullet"/>
      <w:pStyle w:val="ListArabic4"/>
      <w:lvlText w:val=""/>
      <w:lvlJc w:val="left"/>
      <w:pPr>
        <w:tabs>
          <w:tab w:val="num" w:pos="360"/>
        </w:tabs>
        <w:ind w:left="360" w:hanging="360"/>
      </w:pPr>
      <w:rPr>
        <w:rFonts w:ascii="Wingdings" w:hAnsi="Wingding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8" w15:restartNumberingAfterBreak="0">
    <w:nsid w:val="31AC5BA4"/>
    <w:multiLevelType w:val="hybridMultilevel"/>
    <w:tmpl w:val="B9660290"/>
    <w:lvl w:ilvl="0" w:tplc="6F381750">
      <w:start w:val="1"/>
      <w:numFmt w:val="lowerRoman"/>
      <w:lvlText w:val="(%1)"/>
      <w:lvlJc w:val="left"/>
      <w:pPr>
        <w:ind w:left="720" w:hanging="360"/>
      </w:pPr>
      <w:rPr>
        <w:rFonts w:hint="default"/>
      </w:rPr>
    </w:lvl>
    <w:lvl w:ilvl="1" w:tplc="CD3896A8" w:tentative="1">
      <w:start w:val="1"/>
      <w:numFmt w:val="lowerLetter"/>
      <w:lvlText w:val="%2."/>
      <w:lvlJc w:val="left"/>
      <w:pPr>
        <w:ind w:left="1440" w:hanging="360"/>
      </w:pPr>
    </w:lvl>
    <w:lvl w:ilvl="2" w:tplc="4CC22F68" w:tentative="1">
      <w:start w:val="1"/>
      <w:numFmt w:val="lowerRoman"/>
      <w:lvlText w:val="%3."/>
      <w:lvlJc w:val="right"/>
      <w:pPr>
        <w:ind w:left="2160" w:hanging="180"/>
      </w:pPr>
    </w:lvl>
    <w:lvl w:ilvl="3" w:tplc="0E4CDCD2" w:tentative="1">
      <w:start w:val="1"/>
      <w:numFmt w:val="decimal"/>
      <w:lvlText w:val="%4."/>
      <w:lvlJc w:val="left"/>
      <w:pPr>
        <w:ind w:left="2880" w:hanging="360"/>
      </w:pPr>
    </w:lvl>
    <w:lvl w:ilvl="4" w:tplc="FCC4B15C" w:tentative="1">
      <w:start w:val="1"/>
      <w:numFmt w:val="lowerLetter"/>
      <w:lvlText w:val="%5."/>
      <w:lvlJc w:val="left"/>
      <w:pPr>
        <w:ind w:left="3600" w:hanging="360"/>
      </w:pPr>
    </w:lvl>
    <w:lvl w:ilvl="5" w:tplc="A3F0B276" w:tentative="1">
      <w:start w:val="1"/>
      <w:numFmt w:val="lowerRoman"/>
      <w:lvlText w:val="%6."/>
      <w:lvlJc w:val="right"/>
      <w:pPr>
        <w:ind w:left="4320" w:hanging="180"/>
      </w:pPr>
    </w:lvl>
    <w:lvl w:ilvl="6" w:tplc="EA76501C" w:tentative="1">
      <w:start w:val="1"/>
      <w:numFmt w:val="decimal"/>
      <w:lvlText w:val="%7."/>
      <w:lvlJc w:val="left"/>
      <w:pPr>
        <w:ind w:left="5040" w:hanging="360"/>
      </w:pPr>
    </w:lvl>
    <w:lvl w:ilvl="7" w:tplc="946215E8" w:tentative="1">
      <w:start w:val="1"/>
      <w:numFmt w:val="lowerLetter"/>
      <w:lvlText w:val="%8."/>
      <w:lvlJc w:val="left"/>
      <w:pPr>
        <w:ind w:left="5760" w:hanging="360"/>
      </w:pPr>
    </w:lvl>
    <w:lvl w:ilvl="8" w:tplc="EBBE7922" w:tentative="1">
      <w:start w:val="1"/>
      <w:numFmt w:val="lowerRoman"/>
      <w:lvlText w:val="%9."/>
      <w:lvlJc w:val="right"/>
      <w:pPr>
        <w:ind w:left="6480" w:hanging="180"/>
      </w:pPr>
    </w:lvl>
  </w:abstractNum>
  <w:abstractNum w:abstractNumId="19" w15:restartNumberingAfterBreak="0">
    <w:nsid w:val="33B150D7"/>
    <w:multiLevelType w:val="hybridMultilevel"/>
    <w:tmpl w:val="F60011A2"/>
    <w:lvl w:ilvl="0" w:tplc="EB2A4830">
      <w:start w:val="1"/>
      <w:numFmt w:val="lowerLetter"/>
      <w:lvlText w:val="(%1)"/>
      <w:lvlJc w:val="left"/>
      <w:pPr>
        <w:ind w:left="1080" w:hanging="72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FD3D15"/>
    <w:multiLevelType w:val="hybridMultilevel"/>
    <w:tmpl w:val="F60011A2"/>
    <w:lvl w:ilvl="0" w:tplc="EB2A4830">
      <w:start w:val="1"/>
      <w:numFmt w:val="lowerLetter"/>
      <w:lvlText w:val="(%1)"/>
      <w:lvlJc w:val="left"/>
      <w:pPr>
        <w:ind w:left="1080" w:hanging="72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B76564"/>
    <w:multiLevelType w:val="hybridMultilevel"/>
    <w:tmpl w:val="B1D4C840"/>
    <w:lvl w:ilvl="0" w:tplc="12685F32">
      <w:start w:val="1"/>
      <w:numFmt w:val="lowerRoman"/>
      <w:lvlText w:val="(%1)"/>
      <w:lvlJc w:val="left"/>
      <w:pPr>
        <w:ind w:left="1080" w:hanging="720"/>
      </w:pPr>
      <w:rPr>
        <w:rFonts w:hint="default"/>
      </w:rPr>
    </w:lvl>
    <w:lvl w:ilvl="1" w:tplc="8A9E6394" w:tentative="1">
      <w:start w:val="1"/>
      <w:numFmt w:val="lowerLetter"/>
      <w:lvlText w:val="%2."/>
      <w:lvlJc w:val="left"/>
      <w:pPr>
        <w:ind w:left="1440" w:hanging="360"/>
      </w:pPr>
    </w:lvl>
    <w:lvl w:ilvl="2" w:tplc="9C422C34" w:tentative="1">
      <w:start w:val="1"/>
      <w:numFmt w:val="lowerRoman"/>
      <w:lvlText w:val="%3."/>
      <w:lvlJc w:val="right"/>
      <w:pPr>
        <w:ind w:left="2160" w:hanging="180"/>
      </w:pPr>
    </w:lvl>
    <w:lvl w:ilvl="3" w:tplc="222C7040" w:tentative="1">
      <w:start w:val="1"/>
      <w:numFmt w:val="decimal"/>
      <w:lvlText w:val="%4."/>
      <w:lvlJc w:val="left"/>
      <w:pPr>
        <w:ind w:left="2880" w:hanging="360"/>
      </w:pPr>
    </w:lvl>
    <w:lvl w:ilvl="4" w:tplc="A20054BC" w:tentative="1">
      <w:start w:val="1"/>
      <w:numFmt w:val="lowerLetter"/>
      <w:lvlText w:val="%5."/>
      <w:lvlJc w:val="left"/>
      <w:pPr>
        <w:ind w:left="3600" w:hanging="360"/>
      </w:pPr>
    </w:lvl>
    <w:lvl w:ilvl="5" w:tplc="1A2C62F0" w:tentative="1">
      <w:start w:val="1"/>
      <w:numFmt w:val="lowerRoman"/>
      <w:lvlText w:val="%6."/>
      <w:lvlJc w:val="right"/>
      <w:pPr>
        <w:ind w:left="4320" w:hanging="180"/>
      </w:pPr>
    </w:lvl>
    <w:lvl w:ilvl="6" w:tplc="F9C0DF20" w:tentative="1">
      <w:start w:val="1"/>
      <w:numFmt w:val="decimal"/>
      <w:lvlText w:val="%7."/>
      <w:lvlJc w:val="left"/>
      <w:pPr>
        <w:ind w:left="5040" w:hanging="360"/>
      </w:pPr>
    </w:lvl>
    <w:lvl w:ilvl="7" w:tplc="857C4F5A" w:tentative="1">
      <w:start w:val="1"/>
      <w:numFmt w:val="lowerLetter"/>
      <w:lvlText w:val="%8."/>
      <w:lvlJc w:val="left"/>
      <w:pPr>
        <w:ind w:left="5760" w:hanging="360"/>
      </w:pPr>
    </w:lvl>
    <w:lvl w:ilvl="8" w:tplc="A5A8A112" w:tentative="1">
      <w:start w:val="1"/>
      <w:numFmt w:val="lowerRoman"/>
      <w:lvlText w:val="%9."/>
      <w:lvlJc w:val="right"/>
      <w:pPr>
        <w:ind w:left="6480" w:hanging="180"/>
      </w:pPr>
    </w:lvl>
  </w:abstractNum>
  <w:abstractNum w:abstractNumId="22" w15:restartNumberingAfterBreak="0">
    <w:nsid w:val="3A6F6827"/>
    <w:multiLevelType w:val="multilevel"/>
    <w:tmpl w:val="8E6EB3D2"/>
    <w:name w:val="Bullet"/>
    <w:lvl w:ilvl="0">
      <w:start w:val="1"/>
      <w:numFmt w:val="bullet"/>
      <w:pStyle w:val="Bullet1"/>
      <w:lvlText w:val="-"/>
      <w:lvlJc w:val="left"/>
      <w:pPr>
        <w:ind w:left="720" w:hanging="720"/>
      </w:pPr>
      <w:rPr>
        <w:rFonts w:ascii="CG Times" w:hAnsi="CG Times" w:hint="default"/>
      </w:rPr>
    </w:lvl>
    <w:lvl w:ilvl="1">
      <w:start w:val="1"/>
      <w:numFmt w:val="bullet"/>
      <w:pStyle w:val="Bullet2"/>
      <w:lvlText w:val=""/>
      <w:lvlJc w:val="left"/>
      <w:pPr>
        <w:tabs>
          <w:tab w:val="num" w:pos="0"/>
        </w:tabs>
        <w:ind w:left="720" w:hanging="720"/>
      </w:pPr>
      <w:rPr>
        <w:rFonts w:ascii="Symbol" w:hAnsi="Symbol" w:hint="default"/>
        <w:color w:val="auto"/>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3" w15:restartNumberingAfterBreak="0">
    <w:nsid w:val="3ABC72DB"/>
    <w:multiLevelType w:val="hybridMultilevel"/>
    <w:tmpl w:val="46B6115C"/>
    <w:lvl w:ilvl="0" w:tplc="722C705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D675A42"/>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FD03FBF"/>
    <w:multiLevelType w:val="hybridMultilevel"/>
    <w:tmpl w:val="840EA152"/>
    <w:lvl w:ilvl="0" w:tplc="C7EAED98">
      <w:start w:val="1"/>
      <w:numFmt w:val="lowerRoman"/>
      <w:lvlText w:val="(%1)"/>
      <w:lvlJc w:val="left"/>
      <w:pPr>
        <w:ind w:left="720" w:hanging="360"/>
      </w:pPr>
      <w:rPr>
        <w:rFonts w:hint="default"/>
      </w:rPr>
    </w:lvl>
    <w:lvl w:ilvl="1" w:tplc="7A64F428" w:tentative="1">
      <w:start w:val="1"/>
      <w:numFmt w:val="lowerLetter"/>
      <w:lvlText w:val="%2."/>
      <w:lvlJc w:val="left"/>
      <w:pPr>
        <w:ind w:left="1440" w:hanging="360"/>
      </w:pPr>
    </w:lvl>
    <w:lvl w:ilvl="2" w:tplc="6E4E18CE" w:tentative="1">
      <w:start w:val="1"/>
      <w:numFmt w:val="lowerRoman"/>
      <w:lvlText w:val="%3."/>
      <w:lvlJc w:val="right"/>
      <w:pPr>
        <w:ind w:left="2160" w:hanging="180"/>
      </w:pPr>
    </w:lvl>
    <w:lvl w:ilvl="3" w:tplc="E10C0418" w:tentative="1">
      <w:start w:val="1"/>
      <w:numFmt w:val="decimal"/>
      <w:lvlText w:val="%4."/>
      <w:lvlJc w:val="left"/>
      <w:pPr>
        <w:ind w:left="2880" w:hanging="360"/>
      </w:pPr>
    </w:lvl>
    <w:lvl w:ilvl="4" w:tplc="67CA3FAC" w:tentative="1">
      <w:start w:val="1"/>
      <w:numFmt w:val="lowerLetter"/>
      <w:lvlText w:val="%5."/>
      <w:lvlJc w:val="left"/>
      <w:pPr>
        <w:ind w:left="3600" w:hanging="360"/>
      </w:pPr>
    </w:lvl>
    <w:lvl w:ilvl="5" w:tplc="2836FAA6" w:tentative="1">
      <w:start w:val="1"/>
      <w:numFmt w:val="lowerRoman"/>
      <w:lvlText w:val="%6."/>
      <w:lvlJc w:val="right"/>
      <w:pPr>
        <w:ind w:left="4320" w:hanging="180"/>
      </w:pPr>
    </w:lvl>
    <w:lvl w:ilvl="6" w:tplc="3950FC54" w:tentative="1">
      <w:start w:val="1"/>
      <w:numFmt w:val="decimal"/>
      <w:lvlText w:val="%7."/>
      <w:lvlJc w:val="left"/>
      <w:pPr>
        <w:ind w:left="5040" w:hanging="360"/>
      </w:pPr>
    </w:lvl>
    <w:lvl w:ilvl="7" w:tplc="D5687A7E" w:tentative="1">
      <w:start w:val="1"/>
      <w:numFmt w:val="lowerLetter"/>
      <w:lvlText w:val="%8."/>
      <w:lvlJc w:val="left"/>
      <w:pPr>
        <w:ind w:left="5760" w:hanging="360"/>
      </w:pPr>
    </w:lvl>
    <w:lvl w:ilvl="8" w:tplc="C3948BFC" w:tentative="1">
      <w:start w:val="1"/>
      <w:numFmt w:val="lowerRoman"/>
      <w:lvlText w:val="%9."/>
      <w:lvlJc w:val="right"/>
      <w:pPr>
        <w:ind w:left="6480" w:hanging="180"/>
      </w:pPr>
    </w:lvl>
  </w:abstractNum>
  <w:abstractNum w:abstractNumId="26" w15:restartNumberingAfterBreak="0">
    <w:nsid w:val="44AF2945"/>
    <w:multiLevelType w:val="hybridMultilevel"/>
    <w:tmpl w:val="F5DA4A8A"/>
    <w:lvl w:ilvl="0" w:tplc="7DB869D8">
      <w:start w:val="1"/>
      <w:numFmt w:val="bullet"/>
      <w:lvlText w:val="-"/>
      <w:lvlJc w:val="left"/>
      <w:pPr>
        <w:ind w:left="2146" w:hanging="360"/>
      </w:pPr>
      <w:rPr>
        <w:rFonts w:ascii="Symbol" w:hAnsi="Symbol" w:hint="default"/>
      </w:rPr>
    </w:lvl>
    <w:lvl w:ilvl="1" w:tplc="040C0003" w:tentative="1">
      <w:start w:val="1"/>
      <w:numFmt w:val="bullet"/>
      <w:lvlText w:val="o"/>
      <w:lvlJc w:val="left"/>
      <w:pPr>
        <w:ind w:left="2866" w:hanging="360"/>
      </w:pPr>
      <w:rPr>
        <w:rFonts w:ascii="Courier New" w:hAnsi="Courier New" w:cs="Courier New" w:hint="default"/>
      </w:rPr>
    </w:lvl>
    <w:lvl w:ilvl="2" w:tplc="040C0005" w:tentative="1">
      <w:start w:val="1"/>
      <w:numFmt w:val="bullet"/>
      <w:lvlText w:val=""/>
      <w:lvlJc w:val="left"/>
      <w:pPr>
        <w:ind w:left="3586" w:hanging="360"/>
      </w:pPr>
      <w:rPr>
        <w:rFonts w:ascii="Wingdings" w:hAnsi="Wingdings" w:hint="default"/>
      </w:rPr>
    </w:lvl>
    <w:lvl w:ilvl="3" w:tplc="040C0001" w:tentative="1">
      <w:start w:val="1"/>
      <w:numFmt w:val="bullet"/>
      <w:lvlText w:val=""/>
      <w:lvlJc w:val="left"/>
      <w:pPr>
        <w:ind w:left="4306" w:hanging="360"/>
      </w:pPr>
      <w:rPr>
        <w:rFonts w:ascii="Symbol" w:hAnsi="Symbol" w:hint="default"/>
      </w:rPr>
    </w:lvl>
    <w:lvl w:ilvl="4" w:tplc="040C0003" w:tentative="1">
      <w:start w:val="1"/>
      <w:numFmt w:val="bullet"/>
      <w:lvlText w:val="o"/>
      <w:lvlJc w:val="left"/>
      <w:pPr>
        <w:ind w:left="5026" w:hanging="360"/>
      </w:pPr>
      <w:rPr>
        <w:rFonts w:ascii="Courier New" w:hAnsi="Courier New" w:cs="Courier New" w:hint="default"/>
      </w:rPr>
    </w:lvl>
    <w:lvl w:ilvl="5" w:tplc="040C0005" w:tentative="1">
      <w:start w:val="1"/>
      <w:numFmt w:val="bullet"/>
      <w:lvlText w:val=""/>
      <w:lvlJc w:val="left"/>
      <w:pPr>
        <w:ind w:left="5746" w:hanging="360"/>
      </w:pPr>
      <w:rPr>
        <w:rFonts w:ascii="Wingdings" w:hAnsi="Wingdings" w:hint="default"/>
      </w:rPr>
    </w:lvl>
    <w:lvl w:ilvl="6" w:tplc="040C0001" w:tentative="1">
      <w:start w:val="1"/>
      <w:numFmt w:val="bullet"/>
      <w:lvlText w:val=""/>
      <w:lvlJc w:val="left"/>
      <w:pPr>
        <w:ind w:left="6466" w:hanging="360"/>
      </w:pPr>
      <w:rPr>
        <w:rFonts w:ascii="Symbol" w:hAnsi="Symbol" w:hint="default"/>
      </w:rPr>
    </w:lvl>
    <w:lvl w:ilvl="7" w:tplc="040C0003" w:tentative="1">
      <w:start w:val="1"/>
      <w:numFmt w:val="bullet"/>
      <w:lvlText w:val="o"/>
      <w:lvlJc w:val="left"/>
      <w:pPr>
        <w:ind w:left="7186" w:hanging="360"/>
      </w:pPr>
      <w:rPr>
        <w:rFonts w:ascii="Courier New" w:hAnsi="Courier New" w:cs="Courier New" w:hint="default"/>
      </w:rPr>
    </w:lvl>
    <w:lvl w:ilvl="8" w:tplc="040C0005" w:tentative="1">
      <w:start w:val="1"/>
      <w:numFmt w:val="bullet"/>
      <w:lvlText w:val=""/>
      <w:lvlJc w:val="left"/>
      <w:pPr>
        <w:ind w:left="7906" w:hanging="360"/>
      </w:pPr>
      <w:rPr>
        <w:rFonts w:ascii="Wingdings" w:hAnsi="Wingdings" w:hint="default"/>
      </w:rPr>
    </w:lvl>
  </w:abstractNum>
  <w:abstractNum w:abstractNumId="27" w15:restartNumberingAfterBreak="0">
    <w:nsid w:val="47FA108B"/>
    <w:multiLevelType w:val="hybridMultilevel"/>
    <w:tmpl w:val="6ED67D8A"/>
    <w:lvl w:ilvl="0" w:tplc="9578A270">
      <w:start w:val="1"/>
      <w:numFmt w:val="decimal"/>
      <w:lvlText w:val="%1."/>
      <w:lvlJc w:val="left"/>
      <w:pPr>
        <w:ind w:left="720" w:hanging="360"/>
      </w:pPr>
      <w:rPr>
        <w:rFonts w:ascii="Times New Roman" w:hAnsi="Times New Roman" w:cs="Times New Roman" w:hint="default"/>
        <w:color w:val="auto"/>
      </w:rPr>
    </w:lvl>
    <w:lvl w:ilvl="1" w:tplc="5126B80C">
      <w:start w:val="1"/>
      <w:numFmt w:val="lowerRoman"/>
      <w:lvlText w:val="(%2)"/>
      <w:lvlJc w:val="left"/>
      <w:pPr>
        <w:ind w:left="1440" w:hanging="360"/>
      </w:pPr>
      <w:rPr>
        <w:rFonts w:ascii="Roboto Lt" w:eastAsia="Roboto Lt" w:hAnsi="Roboto Lt" w:cs="Roboto Lt" w:hint="default"/>
        <w:spacing w:val="0"/>
        <w:w w:val="101"/>
        <w:sz w:val="19"/>
        <w:szCs w:val="19"/>
        <w:lang w:val="en-US" w:eastAsia="en-US" w:bidi="ar-SA"/>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0A4E82"/>
    <w:multiLevelType w:val="multilevel"/>
    <w:tmpl w:val="267CB902"/>
    <w:name w:val="AnxHeads"/>
    <w:lvl w:ilvl="0">
      <w:start w:val="1"/>
      <w:numFmt w:val="decimal"/>
      <w:pStyle w:val="AnxHead"/>
      <w:suff w:val="space"/>
      <w:lvlText w:val="Annexe %1"/>
      <w:lvlJc w:val="left"/>
      <w:pPr>
        <w:ind w:left="0" w:firstLine="0"/>
      </w:pPr>
      <w:rPr>
        <w:rFonts w:hint="default"/>
      </w:rPr>
    </w:lvl>
    <w:lvl w:ilvl="1">
      <w:start w:val="1"/>
      <w:numFmt w:val="upperLetter"/>
      <w:pStyle w:val="AnxHead1"/>
      <w:suff w:val="space"/>
      <w:lvlText w:val="Annexe %1%2"/>
      <w:lvlJc w:val="left"/>
      <w:pPr>
        <w:ind w:left="0" w:firstLine="0"/>
      </w:pPr>
      <w:rPr>
        <w:rFonts w:hint="default"/>
      </w:rPr>
    </w:lvl>
    <w:lvl w:ilvl="2">
      <w:start w:val="1"/>
      <w:numFmt w:val="upperRoman"/>
      <w:pStyle w:val="AnxPart"/>
      <w:suff w:val="space"/>
      <w:lvlText w:val="PARTIE %3 –"/>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9" w15:restartNumberingAfterBreak="0">
    <w:nsid w:val="4A3050EA"/>
    <w:multiLevelType w:val="multilevel"/>
    <w:tmpl w:val="AD5AE65A"/>
    <w:lvl w:ilvl="0">
      <w:start w:val="1"/>
      <w:numFmt w:val="decimal"/>
      <w:pStyle w:val="ANNEXE1"/>
      <w:suff w:val="nothing"/>
      <w:lvlText w:val="Annexe %1"/>
      <w:lvlJc w:val="left"/>
      <w:pPr>
        <w:ind w:left="0" w:firstLine="0"/>
      </w:pPr>
      <w:rPr>
        <w:rFonts w:hint="default"/>
      </w:rPr>
    </w:lvl>
    <w:lvl w:ilvl="1">
      <w:start w:val="1"/>
      <w:numFmt w:val="upperLetter"/>
      <w:pStyle w:val="ANNEXE1A"/>
      <w:suff w:val="nothing"/>
      <w:lvlText w:val="Annexe %1%2"/>
      <w:lvlJc w:val="left"/>
      <w:pPr>
        <w:ind w:left="0" w:firstLine="0"/>
      </w:pPr>
      <w:rPr>
        <w:rFonts w:hint="default"/>
      </w:rPr>
    </w:lvl>
    <w:lvl w:ilvl="2">
      <w:start w:val="1"/>
      <w:numFmt w:val="upperRoman"/>
      <w:suff w:val="nothing"/>
      <w:lvlText w:val="Partie %3 – "/>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32767" w:firstLine="0"/>
      </w:pPr>
      <w:rPr>
        <w:rFonts w:hint="default"/>
      </w:rPr>
    </w:lvl>
    <w:lvl w:ilvl="5">
      <w:start w:val="1"/>
      <w:numFmt w:val="none"/>
      <w:suff w:val="nothing"/>
      <w:lvlText w:val=""/>
      <w:lvlJc w:val="left"/>
      <w:pPr>
        <w:ind w:left="-32767" w:firstLine="0"/>
      </w:pPr>
      <w:rPr>
        <w:rFonts w:hint="default"/>
      </w:rPr>
    </w:lvl>
    <w:lvl w:ilvl="6">
      <w:start w:val="1"/>
      <w:numFmt w:val="none"/>
      <w:suff w:val="nothing"/>
      <w:lvlText w:val=""/>
      <w:lvlJc w:val="left"/>
      <w:pPr>
        <w:ind w:left="-32767" w:firstLine="32767"/>
      </w:pPr>
      <w:rPr>
        <w:rFonts w:hint="default"/>
      </w:rPr>
    </w:lvl>
    <w:lvl w:ilvl="7">
      <w:start w:val="1"/>
      <w:numFmt w:val="none"/>
      <w:suff w:val="nothing"/>
      <w:lvlText w:val=""/>
      <w:lvlJc w:val="left"/>
      <w:pPr>
        <w:ind w:left="-32767" w:firstLine="0"/>
      </w:pPr>
      <w:rPr>
        <w:rFonts w:hint="default"/>
      </w:rPr>
    </w:lvl>
    <w:lvl w:ilvl="8">
      <w:start w:val="1"/>
      <w:numFmt w:val="none"/>
      <w:suff w:val="nothing"/>
      <w:lvlText w:val=""/>
      <w:lvlJc w:val="left"/>
      <w:pPr>
        <w:ind w:left="-32767" w:firstLine="0"/>
      </w:pPr>
      <w:rPr>
        <w:rFonts w:hint="default"/>
      </w:rPr>
    </w:lvl>
  </w:abstractNum>
  <w:abstractNum w:abstractNumId="30" w15:restartNumberingAfterBreak="0">
    <w:nsid w:val="4B763453"/>
    <w:multiLevelType w:val="hybridMultilevel"/>
    <w:tmpl w:val="7A7A15D8"/>
    <w:lvl w:ilvl="0" w:tplc="1FB6E024">
      <w:start w:val="1"/>
      <w:numFmt w:val="lowerRoman"/>
      <w:lvlText w:val="(%1)"/>
      <w:lvlJc w:val="left"/>
      <w:pPr>
        <w:ind w:left="2160" w:hanging="72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31" w15:restartNumberingAfterBreak="0">
    <w:nsid w:val="4E4B4E3E"/>
    <w:multiLevelType w:val="multilevel"/>
    <w:tmpl w:val="5526F7E4"/>
    <w:name w:val="AOHeadX"/>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2" w15:restartNumberingAfterBreak="0">
    <w:nsid w:val="565D6BF4"/>
    <w:multiLevelType w:val="multilevel"/>
    <w:tmpl w:val="CE181A06"/>
    <w:lvl w:ilvl="0">
      <w:start w:val="1"/>
      <w:numFmt w:val="decimal"/>
      <w:pStyle w:val="ListLegal3"/>
      <w:lvlText w:val="%1."/>
      <w:lvlJc w:val="left"/>
      <w:pPr>
        <w:tabs>
          <w:tab w:val="num" w:pos="624"/>
        </w:tabs>
        <w:ind w:left="624" w:hanging="624"/>
      </w:pPr>
      <w:rPr>
        <w:rFonts w:ascii="CG Times" w:hAnsi="Century Gothic"/>
        <w:b w:val="0"/>
        <w:i w:val="0"/>
        <w:sz w:val="20"/>
      </w:rPr>
    </w:lvl>
    <w:lvl w:ilvl="1">
      <w:start w:val="1"/>
      <w:numFmt w:val="decimal"/>
      <w:lvlText w:val="%1.%2"/>
      <w:lvlJc w:val="left"/>
      <w:pPr>
        <w:tabs>
          <w:tab w:val="num" w:pos="1134"/>
        </w:tabs>
        <w:ind w:left="1134" w:hanging="1134"/>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17"/>
        </w:tabs>
        <w:ind w:left="1417" w:hanging="793"/>
      </w:pPr>
      <w:rPr>
        <w:b w:val="0"/>
        <w:i w:val="0"/>
        <w:sz w:val="18"/>
      </w:rPr>
    </w:lvl>
    <w:lvl w:ilvl="3">
      <w:start w:val="1"/>
      <w:numFmt w:val="decimal"/>
      <w:lvlText w:val="(%4)"/>
      <w:lvlJc w:val="left"/>
      <w:pPr>
        <w:tabs>
          <w:tab w:val="num" w:pos="2438"/>
        </w:tabs>
        <w:ind w:left="2438" w:hanging="510"/>
      </w:pPr>
      <w:rPr>
        <w:b w:val="0"/>
        <w:i w:val="0"/>
        <w:sz w:val="20"/>
      </w:rPr>
    </w:lvl>
    <w:lvl w:ilvl="4">
      <w:start w:val="1"/>
      <w:numFmt w:val="lowerRoman"/>
      <w:lvlText w:val="(%5)"/>
      <w:lvlJc w:val="left"/>
      <w:pPr>
        <w:tabs>
          <w:tab w:val="num" w:pos="2438"/>
        </w:tabs>
        <w:ind w:left="2438" w:hanging="510"/>
      </w:pPr>
      <w:rPr>
        <w:b w:val="0"/>
        <w:i w:val="0"/>
        <w:sz w:val="18"/>
      </w:rPr>
    </w:lvl>
    <w:lvl w:ilvl="5">
      <w:start w:val="1"/>
      <w:numFmt w:val="decimal"/>
      <w:lvlText w:val="(%6)"/>
      <w:lvlJc w:val="left"/>
      <w:pPr>
        <w:tabs>
          <w:tab w:val="num" w:pos="2948"/>
        </w:tabs>
        <w:ind w:left="2948" w:hanging="510"/>
      </w:pPr>
      <w:rPr>
        <w:b w:val="0"/>
        <w:i w:val="0"/>
        <w:sz w:val="20"/>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Restart w:val="0"/>
      <w:lvlText w:val="SCHEDULE %9"/>
      <w:lvlJc w:val="left"/>
      <w:pPr>
        <w:tabs>
          <w:tab w:val="num" w:pos="0"/>
        </w:tabs>
        <w:ind w:left="0" w:firstLine="0"/>
      </w:pPr>
      <w:rPr>
        <w:b/>
        <w:i w:val="0"/>
        <w:caps/>
        <w:smallCaps w:val="0"/>
        <w:sz w:val="22"/>
      </w:rPr>
    </w:lvl>
  </w:abstractNum>
  <w:abstractNum w:abstractNumId="33" w15:restartNumberingAfterBreak="0">
    <w:nsid w:val="5ADD08B0"/>
    <w:multiLevelType w:val="hybridMultilevel"/>
    <w:tmpl w:val="D5222AA8"/>
    <w:lvl w:ilvl="0" w:tplc="FBFEC77E">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F230F34"/>
    <w:multiLevelType w:val="hybridMultilevel"/>
    <w:tmpl w:val="CA7CA62E"/>
    <w:lvl w:ilvl="0" w:tplc="BF00F36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F812B80"/>
    <w:multiLevelType w:val="multilevel"/>
    <w:tmpl w:val="0938069E"/>
    <w:lvl w:ilvl="0">
      <w:start w:val="1"/>
      <w:numFmt w:val="decimal"/>
      <w:lvlText w:val="%1."/>
      <w:lvlJc w:val="left"/>
      <w:pPr>
        <w:tabs>
          <w:tab w:val="num" w:pos="720"/>
        </w:tabs>
        <w:ind w:left="720" w:hanging="720"/>
      </w:pPr>
      <w:rPr>
        <w:rFonts w:hint="default"/>
      </w:rPr>
    </w:lvl>
    <w:lvl w:ilvl="1">
      <w:start w:val="1"/>
      <w:numFmt w:val="lowerRoman"/>
      <w:lvlText w:val="(%2)"/>
      <w:lvlJc w:val="left"/>
      <w:pPr>
        <w:tabs>
          <w:tab w:val="num" w:pos="1440"/>
        </w:tabs>
        <w:ind w:left="1440" w:hanging="720"/>
      </w:pPr>
      <w:rPr>
        <w:rFonts w:hint="default"/>
        <w:lang w:val="fr-FR"/>
      </w:rPr>
    </w:lvl>
    <w:lvl w:ilvl="2">
      <w:start w:val="1"/>
      <w:numFmt w:val="bullet"/>
      <w:lvlText w:val=""/>
      <w:lvlJc w:val="left"/>
      <w:pPr>
        <w:tabs>
          <w:tab w:val="num" w:pos="2160"/>
        </w:tabs>
        <w:ind w:left="2160" w:hanging="720"/>
      </w:pPr>
      <w:rPr>
        <w:rFonts w:ascii="Wingdings 3" w:hAnsi="Wingdings 3" w:hint="default"/>
        <w:color w:val="auto"/>
      </w:rPr>
    </w:lvl>
    <w:lvl w:ilvl="3">
      <w:numFmt w:val="none"/>
      <w:suff w:val="nothing"/>
      <w:lvlText w:val=""/>
      <w:lvlJc w:val="left"/>
      <w:pPr>
        <w:ind w:left="0" w:firstLine="0"/>
      </w:pPr>
      <w:rPr>
        <w:rFonts w:hint="default"/>
      </w:rPr>
    </w:lvl>
    <w:lvl w:ilvl="4">
      <w:numFmt w:val="none"/>
      <w:suff w:val="nothing"/>
      <w:lvlText w:val=""/>
      <w:lvlJc w:val="left"/>
      <w:pPr>
        <w:ind w:left="0" w:firstLine="0"/>
      </w:pPr>
      <w:rPr>
        <w:rFonts w:hint="default"/>
      </w:rPr>
    </w:lvl>
    <w:lvl w:ilvl="5">
      <w:numFmt w:val="none"/>
      <w:suff w:val="nothing"/>
      <w:lvlText w:val=""/>
      <w:lvlJc w:val="left"/>
      <w:pPr>
        <w:ind w:left="0" w:firstLine="0"/>
      </w:pPr>
      <w:rPr>
        <w:rFonts w:hint="default"/>
      </w:rPr>
    </w:lvl>
    <w:lvl w:ilvl="6">
      <w:numFmt w:val="none"/>
      <w:suff w:val="nothing"/>
      <w:lvlText w:val=""/>
      <w:lvlJc w:val="left"/>
      <w:pPr>
        <w:ind w:left="0" w:firstLine="0"/>
      </w:pPr>
      <w:rPr>
        <w:rFonts w:hint="default"/>
      </w:rPr>
    </w:lvl>
    <w:lvl w:ilvl="7">
      <w:numFmt w:val="none"/>
      <w:suff w:val="nothing"/>
      <w:lvlText w:val=""/>
      <w:lvlJc w:val="left"/>
      <w:pPr>
        <w:ind w:left="0" w:firstLine="0"/>
      </w:pPr>
      <w:rPr>
        <w:rFonts w:hint="default"/>
      </w:rPr>
    </w:lvl>
    <w:lvl w:ilvl="8">
      <w:numFmt w:val="none"/>
      <w:suff w:val="nothing"/>
      <w:lvlText w:val=""/>
      <w:lvlJc w:val="left"/>
      <w:pPr>
        <w:ind w:left="0" w:firstLine="0"/>
      </w:pPr>
      <w:rPr>
        <w:rFonts w:hint="default"/>
      </w:rPr>
    </w:lvl>
  </w:abstractNum>
  <w:abstractNum w:abstractNumId="36" w15:restartNumberingAfterBreak="0">
    <w:nsid w:val="63810800"/>
    <w:multiLevelType w:val="multilevel"/>
    <w:tmpl w:val="B1FA3064"/>
    <w:lvl w:ilvl="0">
      <w:start w:val="1"/>
      <w:numFmt w:val="decimal"/>
      <w:pStyle w:val="PARTHEADING"/>
      <w:suff w:val="nothing"/>
      <w:lvlText w:val="Part %1"/>
      <w:lvlJc w:val="left"/>
      <w:pPr>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7" w15:restartNumberingAfterBreak="0">
    <w:nsid w:val="652051D6"/>
    <w:multiLevelType w:val="multilevel"/>
    <w:tmpl w:val="0B6817F4"/>
    <w:name w:val="num"/>
    <w:lvl w:ilvl="0">
      <w:start w:val="1"/>
      <w:numFmt w:val="decimal"/>
      <w:pStyle w:val="Num1"/>
      <w:lvlText w:val="%1."/>
      <w:lvlJc w:val="left"/>
      <w:pPr>
        <w:tabs>
          <w:tab w:val="num" w:pos="720"/>
        </w:tabs>
        <w:ind w:left="720" w:hanging="720"/>
      </w:pPr>
      <w:rPr>
        <w:rFonts w:hint="default"/>
      </w:rPr>
    </w:lvl>
    <w:lvl w:ilvl="1">
      <w:start w:val="1"/>
      <w:numFmt w:val="decimal"/>
      <w:pStyle w:val="Num2"/>
      <w:lvlText w:val="%1.%2-"/>
      <w:lvlJc w:val="left"/>
      <w:pPr>
        <w:tabs>
          <w:tab w:val="num" w:pos="720"/>
        </w:tabs>
        <w:ind w:left="720" w:hanging="720"/>
      </w:pPr>
      <w:rPr>
        <w:rFonts w:hint="default"/>
      </w:rPr>
    </w:lvl>
    <w:lvl w:ilvl="2">
      <w:start w:val="1"/>
      <w:numFmt w:val="upperRoman"/>
      <w:pStyle w:val="Num3"/>
      <w:lvlText w:val="%3."/>
      <w:lvlJc w:val="left"/>
      <w:pPr>
        <w:ind w:left="0" w:firstLine="0"/>
      </w:pPr>
      <w:rPr>
        <w:rFonts w:hint="default"/>
      </w:rPr>
    </w:lvl>
    <w:lvl w:ilvl="3">
      <w:start w:val="1"/>
      <w:numFmt w:val="lowerLetter"/>
      <w:pStyle w:val="Num4"/>
      <w:lvlText w:val="(%4)"/>
      <w:lvlJc w:val="left"/>
      <w:pPr>
        <w:tabs>
          <w:tab w:val="num" w:pos="720"/>
        </w:tabs>
        <w:ind w:left="720" w:hanging="720"/>
      </w:pPr>
      <w:rPr>
        <w:rFonts w:hint="default"/>
      </w:rPr>
    </w:lvl>
    <w:lvl w:ilvl="4">
      <w:start w:val="10"/>
      <w:numFmt w:val="lowerRoman"/>
      <w:pStyle w:val="Num5"/>
      <w:lvlText w:val="(%5)"/>
      <w:lvlJc w:val="left"/>
      <w:pPr>
        <w:tabs>
          <w:tab w:val="num" w:pos="1003"/>
        </w:tabs>
        <w:ind w:left="1003"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8" w15:restartNumberingAfterBreak="0">
    <w:nsid w:val="65BA5ABD"/>
    <w:multiLevelType w:val="multilevel"/>
    <w:tmpl w:val="F23EE388"/>
    <w:lvl w:ilvl="0">
      <w:start w:val="1"/>
      <w:numFmt w:val="decimal"/>
      <w:pStyle w:val="AATitre1"/>
      <w:lvlText w:val="%1."/>
      <w:lvlJc w:val="left"/>
      <w:pPr>
        <w:ind w:left="720" w:hanging="720"/>
      </w:pPr>
      <w:rPr>
        <w:rFonts w:hint="default"/>
        <w:b/>
        <w:i w:val="0"/>
        <w:sz w:val="22"/>
        <w:u w:val="none"/>
      </w:rPr>
    </w:lvl>
    <w:lvl w:ilvl="1">
      <w:start w:val="1"/>
      <w:numFmt w:val="decimal"/>
      <w:pStyle w:val="AATitre2"/>
      <w:lvlText w:val="%1.%2"/>
      <w:lvlJc w:val="left"/>
      <w:pPr>
        <w:ind w:left="1429" w:hanging="720"/>
      </w:pPr>
      <w:rPr>
        <w:rFonts w:hint="default"/>
        <w:b w:val="0"/>
        <w:i w:val="0"/>
        <w:sz w:val="22"/>
        <w:u w:val="none"/>
      </w:rPr>
    </w:lvl>
    <w:lvl w:ilvl="2">
      <w:start w:val="1"/>
      <w:numFmt w:val="decimal"/>
      <w:pStyle w:val="AATitre3"/>
      <w:lvlText w:val="%1.%2.%3"/>
      <w:lvlJc w:val="left"/>
      <w:pPr>
        <w:ind w:left="1440" w:hanging="720"/>
      </w:pPr>
      <w:rPr>
        <w:rFonts w:hint="default"/>
        <w:b w:val="0"/>
        <w:i w:val="0"/>
        <w:sz w:val="22"/>
        <w:u w:val="none"/>
      </w:rPr>
    </w:lvl>
    <w:lvl w:ilvl="3">
      <w:start w:val="1"/>
      <w:numFmt w:val="lowerLetter"/>
      <w:pStyle w:val="AATitre4"/>
      <w:lvlText w:val="(%4)"/>
      <w:lvlJc w:val="left"/>
      <w:pPr>
        <w:ind w:left="1440" w:hanging="720"/>
      </w:pPr>
      <w:rPr>
        <w:rFonts w:hint="default"/>
        <w:b w:val="0"/>
        <w:i w:val="0"/>
        <w:sz w:val="22"/>
        <w:u w:val="none"/>
      </w:rPr>
    </w:lvl>
    <w:lvl w:ilvl="4">
      <w:start w:val="1"/>
      <w:numFmt w:val="decimal"/>
      <w:pStyle w:val="AATitre5"/>
      <w:lvlText w:val="%5)"/>
      <w:lvlJc w:val="left"/>
      <w:pPr>
        <w:ind w:left="1440" w:hanging="720"/>
      </w:pPr>
      <w:rPr>
        <w:rFonts w:hint="default"/>
        <w:sz w:val="22"/>
      </w:rPr>
    </w:lvl>
    <w:lvl w:ilvl="5">
      <w:start w:val="1"/>
      <w:numFmt w:val="lowerLetter"/>
      <w:pStyle w:val="AATitre6"/>
      <w:lvlText w:val="(%6)"/>
      <w:lvlJc w:val="left"/>
      <w:pPr>
        <w:ind w:left="720" w:hanging="720"/>
      </w:pPr>
      <w:rPr>
        <w:rFonts w:ascii="Times New Roman" w:eastAsia="Times New Roman" w:hAnsi="Times New Roman" w:cs="Times New Roman" w:hint="default"/>
        <w:b w:val="0"/>
        <w:i w:val="0"/>
      </w:rPr>
    </w:lvl>
    <w:lvl w:ilvl="6">
      <w:start w:val="1"/>
      <w:numFmt w:val="lowerRoman"/>
      <w:pStyle w:val="AATitre7"/>
      <w:lvlText w:val="(%7)"/>
      <w:lvlJc w:val="left"/>
      <w:pPr>
        <w:ind w:left="2160" w:hanging="720"/>
      </w:pPr>
      <w:rPr>
        <w:rFonts w:hint="default"/>
      </w:rPr>
    </w:lvl>
    <w:lvl w:ilvl="7">
      <w:start w:val="1"/>
      <w:numFmt w:val="decimal"/>
      <w:pStyle w:val="AATitre8"/>
      <w:lvlText w:val="(%8)"/>
      <w:lvlJc w:val="left"/>
      <w:pPr>
        <w:ind w:left="2880" w:hanging="720"/>
      </w:pPr>
      <w:rPr>
        <w:rFonts w:hint="default"/>
      </w:rPr>
    </w:lvl>
    <w:lvl w:ilvl="8">
      <w:start w:val="1"/>
      <w:numFmt w:val="lowerLetter"/>
      <w:pStyle w:val="AATitre9"/>
      <w:lvlText w:val="(%9)"/>
      <w:lvlJc w:val="left"/>
      <w:pPr>
        <w:ind w:left="720" w:hanging="720"/>
      </w:pPr>
      <w:rPr>
        <w:rFonts w:hint="default"/>
      </w:rPr>
    </w:lvl>
  </w:abstractNum>
  <w:abstractNum w:abstractNumId="39" w15:restartNumberingAfterBreak="0">
    <w:nsid w:val="670E53E9"/>
    <w:multiLevelType w:val="multilevel"/>
    <w:tmpl w:val="D3760EC2"/>
    <w:lvl w:ilvl="0">
      <w:start w:val="3"/>
      <w:numFmt w:val="decimal"/>
      <w:pStyle w:val="Level1"/>
      <w:lvlText w:val="%1."/>
      <w:lvlJc w:val="left"/>
      <w:pPr>
        <w:ind w:left="720" w:hanging="720"/>
      </w:pPr>
      <w:rPr>
        <w:rFonts w:hint="default"/>
        <w:caps/>
      </w:rPr>
    </w:lvl>
    <w:lvl w:ilvl="1">
      <w:start w:val="1"/>
      <w:numFmt w:val="decimal"/>
      <w:pStyle w:val="Level2"/>
      <w:lvlText w:val="%1.%2"/>
      <w:lvlJc w:val="left"/>
      <w:pPr>
        <w:tabs>
          <w:tab w:val="num" w:pos="720"/>
        </w:tabs>
        <w:ind w:left="720" w:hanging="720"/>
      </w:pPr>
      <w:rPr>
        <w:rFonts w:hint="default"/>
      </w:rPr>
    </w:lvl>
    <w:lvl w:ilvl="2">
      <w:start w:val="1"/>
      <w:numFmt w:val="decimal"/>
      <w:pStyle w:val="Level3"/>
      <w:lvlText w:val="%1.%2.%3"/>
      <w:lvlJc w:val="left"/>
      <w:pPr>
        <w:tabs>
          <w:tab w:val="num" w:pos="1440"/>
        </w:tabs>
        <w:ind w:left="1440" w:hanging="720"/>
      </w:pPr>
      <w:rPr>
        <w:rFonts w:hint="default"/>
        <w:lang w:val="en-GB"/>
      </w:rPr>
    </w:lvl>
    <w:lvl w:ilvl="3">
      <w:start w:val="1"/>
      <w:numFmt w:val="lowerLetter"/>
      <w:pStyle w:val="Level4"/>
      <w:lvlText w:val="(%4)"/>
      <w:lvlJc w:val="left"/>
      <w:pPr>
        <w:tabs>
          <w:tab w:val="num" w:pos="1440"/>
        </w:tabs>
        <w:ind w:left="1440" w:hanging="720"/>
      </w:pPr>
      <w:rPr>
        <w:rFonts w:hint="default"/>
        <w:b w:val="0"/>
      </w:rPr>
    </w:lvl>
    <w:lvl w:ilvl="4">
      <w:start w:val="1"/>
      <w:numFmt w:val="lowerRoman"/>
      <w:pStyle w:val="Level5"/>
      <w:lvlText w:val="(%5)"/>
      <w:lvlJc w:val="left"/>
      <w:pPr>
        <w:tabs>
          <w:tab w:val="num" w:pos="1440"/>
        </w:tabs>
        <w:ind w:left="1440" w:hanging="720"/>
      </w:pPr>
      <w:rPr>
        <w:rFonts w:hint="default"/>
      </w:rPr>
    </w:lvl>
    <w:lvl w:ilvl="5">
      <w:start w:val="1"/>
      <w:numFmt w:val="lowerLetter"/>
      <w:pStyle w:val="Level6"/>
      <w:lvlText w:val="(%6)"/>
      <w:lvlJc w:val="left"/>
      <w:pPr>
        <w:tabs>
          <w:tab w:val="num" w:pos="720"/>
        </w:tabs>
        <w:ind w:left="720" w:hanging="720"/>
      </w:pPr>
      <w:rPr>
        <w:rFonts w:hint="default"/>
      </w:rPr>
    </w:lvl>
    <w:lvl w:ilvl="6">
      <w:start w:val="1"/>
      <w:numFmt w:val="lowerRoman"/>
      <w:pStyle w:val="Level7"/>
      <w:lvlText w:val="(%7)"/>
      <w:lvlJc w:val="left"/>
      <w:pPr>
        <w:tabs>
          <w:tab w:val="num" w:pos="2160"/>
        </w:tabs>
        <w:ind w:left="2160" w:hanging="720"/>
      </w:pPr>
      <w:rPr>
        <w:rFonts w:hint="default"/>
      </w:rPr>
    </w:lvl>
    <w:lvl w:ilvl="7">
      <w:start w:val="1"/>
      <w:numFmt w:val="decimal"/>
      <w:pStyle w:val="Level8"/>
      <w:lvlText w:val="%8)"/>
      <w:lvlJc w:val="left"/>
      <w:pPr>
        <w:tabs>
          <w:tab w:val="num" w:pos="2138"/>
        </w:tabs>
        <w:ind w:left="2138" w:hanging="720"/>
      </w:pPr>
      <w:rPr>
        <w:rFonts w:hint="default"/>
      </w:rPr>
    </w:lvl>
    <w:lvl w:ilvl="8">
      <w:start w:val="1"/>
      <w:numFmt w:val="lowerRoman"/>
      <w:pStyle w:val="Level9"/>
      <w:lvlText w:val="(%9)"/>
      <w:lvlJc w:val="left"/>
      <w:pPr>
        <w:tabs>
          <w:tab w:val="num" w:pos="1440"/>
        </w:tabs>
        <w:ind w:left="1440" w:hanging="720"/>
      </w:pPr>
      <w:rPr>
        <w:rFonts w:hint="default"/>
      </w:rPr>
    </w:lvl>
  </w:abstractNum>
  <w:abstractNum w:abstractNumId="40" w15:restartNumberingAfterBreak="0">
    <w:nsid w:val="67C247C5"/>
    <w:multiLevelType w:val="multilevel"/>
    <w:tmpl w:val="3838484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Roman"/>
      <w:lvlText w:val="%3."/>
      <w:lvlJc w:val="left"/>
      <w:pPr>
        <w:ind w:left="0" w:firstLine="0"/>
      </w:pPr>
      <w:rPr>
        <w:rFonts w:hint="default"/>
      </w:rPr>
    </w:lvl>
    <w:lvl w:ilvl="3">
      <w:start w:val="1"/>
      <w:numFmt w:val="lowerLetter"/>
      <w:lvlText w:val="(%4)"/>
      <w:lvlJc w:val="left"/>
      <w:pPr>
        <w:tabs>
          <w:tab w:val="num" w:pos="720"/>
        </w:tabs>
        <w:ind w:left="720" w:hanging="720"/>
      </w:pPr>
      <w:rPr>
        <w:rFonts w:hint="default"/>
      </w:rPr>
    </w:lvl>
    <w:lvl w:ilvl="4">
      <w:start w:val="10"/>
      <w:numFmt w:val="lowerRoman"/>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1" w15:restartNumberingAfterBreak="0">
    <w:nsid w:val="6CE25A4B"/>
    <w:multiLevelType w:val="multilevel"/>
    <w:tmpl w:val="98E61BD0"/>
    <w:lvl w:ilvl="0">
      <w:start w:val="1"/>
      <w:numFmt w:val="none"/>
      <w:pStyle w:val="Defhead"/>
      <w:suff w:val="nothing"/>
      <w:lvlText w:val=""/>
      <w:lvlJc w:val="left"/>
      <w:pPr>
        <w:ind w:left="0" w:firstLine="0"/>
      </w:pPr>
    </w:lvl>
    <w:lvl w:ilvl="1">
      <w:start w:val="1"/>
      <w:numFmt w:val="lowerLetter"/>
      <w:pStyle w:val="Defpara1"/>
      <w:lvlText w:val="%2)"/>
      <w:lvlJc w:val="left"/>
      <w:pPr>
        <w:tabs>
          <w:tab w:val="num" w:pos="720"/>
        </w:tabs>
        <w:ind w:left="720" w:hanging="720"/>
      </w:pPr>
    </w:lvl>
    <w:lvl w:ilvl="2">
      <w:start w:val="1"/>
      <w:numFmt w:val="lowerRoman"/>
      <w:pStyle w:val="Defpara2"/>
      <w:lvlText w:val="(%3)"/>
      <w:lvlJc w:val="left"/>
      <w:pPr>
        <w:tabs>
          <w:tab w:val="num" w:pos="720"/>
        </w:tabs>
        <w:ind w:left="720" w:hanging="720"/>
      </w:pPr>
    </w:lvl>
    <w:lvl w:ilvl="3">
      <w:start w:val="1"/>
      <w:numFmt w:val="lowerLetter"/>
      <w:pStyle w:val="Defpara3"/>
      <w:lvlText w:val="(%4)"/>
      <w:lvlJc w:val="left"/>
      <w:pPr>
        <w:tabs>
          <w:tab w:val="num" w:pos="720"/>
        </w:tabs>
        <w:ind w:left="720" w:hanging="72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right"/>
      <w:pPr>
        <w:ind w:left="0" w:firstLine="0"/>
      </w:pPr>
    </w:lvl>
    <w:lvl w:ilvl="7">
      <w:start w:val="1"/>
      <w:numFmt w:val="none"/>
      <w:suff w:val="nothing"/>
      <w:lvlText w:val=""/>
      <w:lvlJc w:val="left"/>
      <w:pPr>
        <w:ind w:left="0" w:firstLine="0"/>
      </w:pPr>
    </w:lvl>
    <w:lvl w:ilvl="8">
      <w:start w:val="1"/>
      <w:numFmt w:val="none"/>
      <w:suff w:val="nothing"/>
      <w:lvlText w:val=""/>
      <w:lvlJc w:val="right"/>
      <w:pPr>
        <w:ind w:left="0" w:firstLine="0"/>
      </w:pPr>
    </w:lvl>
  </w:abstractNum>
  <w:abstractNum w:abstractNumId="42"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3" w15:restartNumberingAfterBreak="0">
    <w:nsid w:val="744C65EF"/>
    <w:multiLevelType w:val="multilevel"/>
    <w:tmpl w:val="51B04B38"/>
    <w:name w:val="parties"/>
    <w:lvl w:ilvl="0">
      <w:start w:val="1"/>
      <w:numFmt w:val="upperLetter"/>
      <w:pStyle w:val="Parties"/>
      <w:lvlText w:val="(%1)"/>
      <w:lvlJc w:val="left"/>
      <w:pPr>
        <w:ind w:left="720" w:hanging="72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4" w15:restartNumberingAfterBreak="0">
    <w:nsid w:val="79CA7E59"/>
    <w:multiLevelType w:val="hybridMultilevel"/>
    <w:tmpl w:val="34448E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B0B373B"/>
    <w:multiLevelType w:val="multilevel"/>
    <w:tmpl w:val="6E007C8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Roman"/>
      <w:lvlText w:val="%3."/>
      <w:lvlJc w:val="left"/>
      <w:pPr>
        <w:ind w:left="0" w:firstLine="0"/>
      </w:pPr>
      <w:rPr>
        <w:rFonts w:hint="default"/>
      </w:rPr>
    </w:lvl>
    <w:lvl w:ilvl="3">
      <w:start w:val="1"/>
      <w:numFmt w:val="lowerLetter"/>
      <w:lvlText w:val="(%4)"/>
      <w:lvlJc w:val="left"/>
      <w:pPr>
        <w:tabs>
          <w:tab w:val="num" w:pos="720"/>
        </w:tabs>
        <w:ind w:left="720" w:hanging="720"/>
      </w:pPr>
      <w:rPr>
        <w:rFonts w:hint="default"/>
      </w:rPr>
    </w:lvl>
    <w:lvl w:ilvl="4">
      <w:start w:val="10"/>
      <w:numFmt w:val="lowerRoman"/>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6" w15:restartNumberingAfterBreak="0">
    <w:nsid w:val="7F745CF2"/>
    <w:multiLevelType w:val="hybridMultilevel"/>
    <w:tmpl w:val="F9DC2F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46864730">
    <w:abstractNumId w:val="36"/>
  </w:num>
  <w:num w:numId="2" w16cid:durableId="1265914757">
    <w:abstractNumId w:val="32"/>
  </w:num>
  <w:num w:numId="3" w16cid:durableId="1190147379">
    <w:abstractNumId w:val="7"/>
  </w:num>
  <w:num w:numId="4" w16cid:durableId="2076273353">
    <w:abstractNumId w:val="0"/>
  </w:num>
  <w:num w:numId="5" w16cid:durableId="1221674697">
    <w:abstractNumId w:val="1"/>
  </w:num>
  <w:num w:numId="6" w16cid:durableId="852112331">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 w16cid:durableId="175852310">
    <w:abstractNumId w:val="17"/>
  </w:num>
  <w:num w:numId="8" w16cid:durableId="130570169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23450847">
    <w:abstractNumId w:val="22"/>
  </w:num>
  <w:num w:numId="10" w16cid:durableId="602684112">
    <w:abstractNumId w:val="38"/>
  </w:num>
  <w:num w:numId="11" w16cid:durableId="354038968">
    <w:abstractNumId w:val="24"/>
  </w:num>
  <w:num w:numId="12" w16cid:durableId="892036192">
    <w:abstractNumId w:val="39"/>
  </w:num>
  <w:num w:numId="13" w16cid:durableId="1647204457">
    <w:abstractNumId w:val="31"/>
  </w:num>
  <w:num w:numId="14" w16cid:durableId="535970904">
    <w:abstractNumId w:val="43"/>
  </w:num>
  <w:num w:numId="15" w16cid:durableId="453905715">
    <w:abstractNumId w:val="8"/>
  </w:num>
  <w:num w:numId="16" w16cid:durableId="1481772704">
    <w:abstractNumId w:val="42"/>
  </w:num>
  <w:num w:numId="17" w16cid:durableId="1338189244">
    <w:abstractNumId w:val="38"/>
  </w:num>
  <w:num w:numId="18" w16cid:durableId="40594401">
    <w:abstractNumId w:val="37"/>
    <w:lvlOverride w:ilvl="0">
      <w:startOverride w:val="50"/>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92684613">
    <w:abstractNumId w:val="37"/>
  </w:num>
  <w:num w:numId="20" w16cid:durableId="1348798728">
    <w:abstractNumId w:val="25"/>
  </w:num>
  <w:num w:numId="21" w16cid:durableId="902257057">
    <w:abstractNumId w:val="40"/>
  </w:num>
  <w:num w:numId="22" w16cid:durableId="921840442">
    <w:abstractNumId w:val="45"/>
  </w:num>
  <w:num w:numId="23" w16cid:durableId="1435855575">
    <w:abstractNumId w:val="3"/>
  </w:num>
  <w:num w:numId="24" w16cid:durableId="1230926432">
    <w:abstractNumId w:val="28"/>
  </w:num>
  <w:num w:numId="25" w16cid:durableId="524755023">
    <w:abstractNumId w:val="16"/>
  </w:num>
  <w:num w:numId="26" w16cid:durableId="1090395153">
    <w:abstractNumId w:val="15"/>
  </w:num>
  <w:num w:numId="27" w16cid:durableId="1556428318">
    <w:abstractNumId w:val="5"/>
  </w:num>
  <w:num w:numId="28" w16cid:durableId="146037098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9835146">
    <w:abstractNumId w:val="29"/>
  </w:num>
  <w:num w:numId="30" w16cid:durableId="1222983248">
    <w:abstractNumId w:val="6"/>
  </w:num>
  <w:num w:numId="31" w16cid:durableId="1200122879">
    <w:abstractNumId w:val="18"/>
  </w:num>
  <w:num w:numId="32" w16cid:durableId="164636751">
    <w:abstractNumId w:val="21"/>
  </w:num>
  <w:num w:numId="33" w16cid:durableId="269437954">
    <w:abstractNumId w:val="10"/>
  </w:num>
  <w:num w:numId="34" w16cid:durableId="1253053155">
    <w:abstractNumId w:val="14"/>
  </w:num>
  <w:num w:numId="35" w16cid:durableId="1127160887">
    <w:abstractNumId w:val="38"/>
    <w:lvlOverride w:ilvl="0">
      <w:startOverride w:val="1"/>
    </w:lvlOverride>
    <w:lvlOverride w:ilvl="1">
      <w:startOverride w:val="1"/>
    </w:lvlOverride>
    <w:lvlOverride w:ilvl="2">
      <w:startOverride w:val="1"/>
    </w:lvlOverride>
    <w:lvlOverride w:ilvl="3">
      <w:startOverride w:val="2"/>
    </w:lvlOverride>
  </w:num>
  <w:num w:numId="36" w16cid:durableId="1257788323">
    <w:abstractNumId w:val="30"/>
  </w:num>
  <w:num w:numId="37" w16cid:durableId="1269436131">
    <w:abstractNumId w:val="13"/>
  </w:num>
  <w:num w:numId="38" w16cid:durableId="740441696">
    <w:abstractNumId w:val="26"/>
  </w:num>
  <w:num w:numId="39" w16cid:durableId="1508906088">
    <w:abstractNumId w:val="38"/>
    <w:lvlOverride w:ilvl="0">
      <w:startOverride w:val="1"/>
    </w:lvlOverride>
    <w:lvlOverride w:ilvl="1">
      <w:startOverride w:val="1"/>
    </w:lvlOverride>
    <w:lvlOverride w:ilvl="2">
      <w:startOverride w:val="1"/>
    </w:lvlOverride>
    <w:lvlOverride w:ilvl="3">
      <w:startOverride w:val="9"/>
    </w:lvlOverride>
  </w:num>
  <w:num w:numId="40" w16cid:durableId="1992978356">
    <w:abstractNumId w:val="23"/>
  </w:num>
  <w:num w:numId="41" w16cid:durableId="47201770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59085394">
    <w:abstractNumId w:val="2"/>
  </w:num>
  <w:num w:numId="43" w16cid:durableId="1218588178">
    <w:abstractNumId w:val="9"/>
  </w:num>
  <w:num w:numId="44" w16cid:durableId="659965316">
    <w:abstractNumId w:val="35"/>
  </w:num>
  <w:num w:numId="45" w16cid:durableId="2027901408">
    <w:abstractNumId w:val="38"/>
    <w:lvlOverride w:ilvl="0">
      <w:startOverride w:val="16"/>
    </w:lvlOverride>
    <w:lvlOverride w:ilvl="1">
      <w:startOverride w:val="3"/>
    </w:lvlOverride>
    <w:lvlOverride w:ilvl="2">
      <w:startOverride w:val="1"/>
    </w:lvlOverride>
    <w:lvlOverride w:ilvl="3">
      <w:startOverride w:val="1"/>
    </w:lvlOverride>
    <w:lvlOverride w:ilvl="4">
      <w:startOverride w:val="1"/>
    </w:lvlOverride>
    <w:lvlOverride w:ilvl="5">
      <w:startOverride w:val="4"/>
    </w:lvlOverride>
    <w:lvlOverride w:ilvl="6">
      <w:startOverride w:val="1"/>
    </w:lvlOverride>
    <w:lvlOverride w:ilvl="7">
      <w:startOverride w:val="1"/>
    </w:lvlOverride>
    <w:lvlOverride w:ilvl="8">
      <w:startOverride w:val="2"/>
    </w:lvlOverride>
  </w:num>
  <w:num w:numId="46" w16cid:durableId="1055931107">
    <w:abstractNumId w:val="44"/>
  </w:num>
  <w:num w:numId="47" w16cid:durableId="1903324274">
    <w:abstractNumId w:val="27"/>
  </w:num>
  <w:num w:numId="48" w16cid:durableId="4228919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11886507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4047239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613906472">
    <w:abstractNumId w:val="33"/>
  </w:num>
  <w:num w:numId="52" w16cid:durableId="961303569">
    <w:abstractNumId w:val="38"/>
  </w:num>
  <w:num w:numId="53" w16cid:durableId="1798447044">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4" w16cid:durableId="52024239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5" w16cid:durableId="548079263">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6" w16cid:durableId="1130612">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7" w16cid:durableId="394554179">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8" w16cid:durableId="318508607">
    <w:abstractNumId w:val="4"/>
  </w:num>
  <w:num w:numId="59" w16cid:durableId="662971966">
    <w:abstractNumId w:val="34"/>
  </w:num>
  <w:num w:numId="60" w16cid:durableId="719284769">
    <w:abstractNumId w:val="12"/>
  </w:num>
  <w:num w:numId="61" w16cid:durableId="1357198370">
    <w:abstractNumId w:val="46"/>
  </w:num>
  <w:num w:numId="62" w16cid:durableId="2109692496">
    <w:abstractNumId w:val="19"/>
  </w:num>
  <w:num w:numId="63" w16cid:durableId="1898586535">
    <w:abstractNumId w:val="20"/>
  </w:num>
  <w:num w:numId="64" w16cid:durableId="1980844797">
    <w:abstractNumId w:val="1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689142276">
    <w:abstractNumId w:val="38"/>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6F8D"/>
    <w:rsid w:val="000023BA"/>
    <w:rsid w:val="00003D38"/>
    <w:rsid w:val="000060C0"/>
    <w:rsid w:val="000062DC"/>
    <w:rsid w:val="000063D7"/>
    <w:rsid w:val="00007AEF"/>
    <w:rsid w:val="0001027E"/>
    <w:rsid w:val="000104CF"/>
    <w:rsid w:val="00010AC3"/>
    <w:rsid w:val="00013495"/>
    <w:rsid w:val="00013CF5"/>
    <w:rsid w:val="00013E8C"/>
    <w:rsid w:val="00016477"/>
    <w:rsid w:val="000172B0"/>
    <w:rsid w:val="00020AAC"/>
    <w:rsid w:val="00022265"/>
    <w:rsid w:val="00022979"/>
    <w:rsid w:val="00022989"/>
    <w:rsid w:val="00023E93"/>
    <w:rsid w:val="00026354"/>
    <w:rsid w:val="00026C90"/>
    <w:rsid w:val="00030585"/>
    <w:rsid w:val="000377F0"/>
    <w:rsid w:val="000406E1"/>
    <w:rsid w:val="00040AE0"/>
    <w:rsid w:val="00040C9D"/>
    <w:rsid w:val="00044A2D"/>
    <w:rsid w:val="00050BEF"/>
    <w:rsid w:val="00050E3E"/>
    <w:rsid w:val="00052E0C"/>
    <w:rsid w:val="00053365"/>
    <w:rsid w:val="00053915"/>
    <w:rsid w:val="0005494A"/>
    <w:rsid w:val="00054999"/>
    <w:rsid w:val="00054F57"/>
    <w:rsid w:val="00056805"/>
    <w:rsid w:val="0005735F"/>
    <w:rsid w:val="00057BE4"/>
    <w:rsid w:val="00060BFB"/>
    <w:rsid w:val="00060DB9"/>
    <w:rsid w:val="0006669F"/>
    <w:rsid w:val="00066CD5"/>
    <w:rsid w:val="00073190"/>
    <w:rsid w:val="0007349E"/>
    <w:rsid w:val="0007643E"/>
    <w:rsid w:val="00077166"/>
    <w:rsid w:val="0008067E"/>
    <w:rsid w:val="00080DDE"/>
    <w:rsid w:val="00082333"/>
    <w:rsid w:val="00082508"/>
    <w:rsid w:val="000836A6"/>
    <w:rsid w:val="000905C7"/>
    <w:rsid w:val="00090696"/>
    <w:rsid w:val="00095E6A"/>
    <w:rsid w:val="000972C6"/>
    <w:rsid w:val="000A1273"/>
    <w:rsid w:val="000A1D4E"/>
    <w:rsid w:val="000B1061"/>
    <w:rsid w:val="000B3A57"/>
    <w:rsid w:val="000B3E5F"/>
    <w:rsid w:val="000B7062"/>
    <w:rsid w:val="000C17AA"/>
    <w:rsid w:val="000C2FCD"/>
    <w:rsid w:val="000C3CBF"/>
    <w:rsid w:val="000C40A2"/>
    <w:rsid w:val="000D0ACD"/>
    <w:rsid w:val="000D1EE8"/>
    <w:rsid w:val="000D485C"/>
    <w:rsid w:val="000D48F1"/>
    <w:rsid w:val="000D4D9B"/>
    <w:rsid w:val="000D66C7"/>
    <w:rsid w:val="000D7E23"/>
    <w:rsid w:val="000E07E7"/>
    <w:rsid w:val="000E3C78"/>
    <w:rsid w:val="000E6BBD"/>
    <w:rsid w:val="000F181A"/>
    <w:rsid w:val="000F32EE"/>
    <w:rsid w:val="000F376A"/>
    <w:rsid w:val="000F3A4D"/>
    <w:rsid w:val="000F58FC"/>
    <w:rsid w:val="000F7EA9"/>
    <w:rsid w:val="00100F69"/>
    <w:rsid w:val="0010172E"/>
    <w:rsid w:val="001018E9"/>
    <w:rsid w:val="00103F84"/>
    <w:rsid w:val="00104D55"/>
    <w:rsid w:val="00105171"/>
    <w:rsid w:val="001054D5"/>
    <w:rsid w:val="00105CC8"/>
    <w:rsid w:val="00115AB5"/>
    <w:rsid w:val="00117FE9"/>
    <w:rsid w:val="001207D9"/>
    <w:rsid w:val="00127A1A"/>
    <w:rsid w:val="00131601"/>
    <w:rsid w:val="00133822"/>
    <w:rsid w:val="0013523C"/>
    <w:rsid w:val="001357FA"/>
    <w:rsid w:val="001362D3"/>
    <w:rsid w:val="00137601"/>
    <w:rsid w:val="00141C48"/>
    <w:rsid w:val="00143615"/>
    <w:rsid w:val="0014395A"/>
    <w:rsid w:val="001472F1"/>
    <w:rsid w:val="001477F2"/>
    <w:rsid w:val="00152BC3"/>
    <w:rsid w:val="00154632"/>
    <w:rsid w:val="00155BE5"/>
    <w:rsid w:val="001633B6"/>
    <w:rsid w:val="00167633"/>
    <w:rsid w:val="00171D4F"/>
    <w:rsid w:val="001740C1"/>
    <w:rsid w:val="001759F0"/>
    <w:rsid w:val="00175A9E"/>
    <w:rsid w:val="0018509D"/>
    <w:rsid w:val="00186EE8"/>
    <w:rsid w:val="00190D8C"/>
    <w:rsid w:val="00193345"/>
    <w:rsid w:val="00196F18"/>
    <w:rsid w:val="001A0259"/>
    <w:rsid w:val="001A048F"/>
    <w:rsid w:val="001A1E2F"/>
    <w:rsid w:val="001A3675"/>
    <w:rsid w:val="001A63C4"/>
    <w:rsid w:val="001B118D"/>
    <w:rsid w:val="001B4C93"/>
    <w:rsid w:val="001B50DE"/>
    <w:rsid w:val="001B6EE8"/>
    <w:rsid w:val="001B71F4"/>
    <w:rsid w:val="001C0106"/>
    <w:rsid w:val="001C0C03"/>
    <w:rsid w:val="001C6048"/>
    <w:rsid w:val="001D173F"/>
    <w:rsid w:val="001D28BC"/>
    <w:rsid w:val="001D3A0A"/>
    <w:rsid w:val="001D3CB9"/>
    <w:rsid w:val="001D4065"/>
    <w:rsid w:val="001D508F"/>
    <w:rsid w:val="001E258A"/>
    <w:rsid w:val="001E3BF1"/>
    <w:rsid w:val="001E3D71"/>
    <w:rsid w:val="001F00A4"/>
    <w:rsid w:val="001F0255"/>
    <w:rsid w:val="001F0F01"/>
    <w:rsid w:val="001F3879"/>
    <w:rsid w:val="001F5579"/>
    <w:rsid w:val="001F6796"/>
    <w:rsid w:val="00201107"/>
    <w:rsid w:val="00203026"/>
    <w:rsid w:val="00203979"/>
    <w:rsid w:val="00204E08"/>
    <w:rsid w:val="00205134"/>
    <w:rsid w:val="00210798"/>
    <w:rsid w:val="00210FE0"/>
    <w:rsid w:val="002121D3"/>
    <w:rsid w:val="00213318"/>
    <w:rsid w:val="00215479"/>
    <w:rsid w:val="00220124"/>
    <w:rsid w:val="00222EAE"/>
    <w:rsid w:val="00223065"/>
    <w:rsid w:val="002238B7"/>
    <w:rsid w:val="002256E3"/>
    <w:rsid w:val="00225DCB"/>
    <w:rsid w:val="00231C7D"/>
    <w:rsid w:val="00231EB6"/>
    <w:rsid w:val="0023311F"/>
    <w:rsid w:val="00236E7F"/>
    <w:rsid w:val="002406F5"/>
    <w:rsid w:val="00240823"/>
    <w:rsid w:val="00240FBA"/>
    <w:rsid w:val="00241156"/>
    <w:rsid w:val="00244CA3"/>
    <w:rsid w:val="0025007F"/>
    <w:rsid w:val="00250287"/>
    <w:rsid w:val="002517E1"/>
    <w:rsid w:val="002536DF"/>
    <w:rsid w:val="00254FDC"/>
    <w:rsid w:val="002562F4"/>
    <w:rsid w:val="00260EBE"/>
    <w:rsid w:val="00260F6A"/>
    <w:rsid w:val="00264A4D"/>
    <w:rsid w:val="00270CF9"/>
    <w:rsid w:val="002722D1"/>
    <w:rsid w:val="002731FD"/>
    <w:rsid w:val="00274CEC"/>
    <w:rsid w:val="00275354"/>
    <w:rsid w:val="002774A1"/>
    <w:rsid w:val="00281115"/>
    <w:rsid w:val="00281212"/>
    <w:rsid w:val="00282BF3"/>
    <w:rsid w:val="00283F52"/>
    <w:rsid w:val="00284DB4"/>
    <w:rsid w:val="002854F6"/>
    <w:rsid w:val="0028602F"/>
    <w:rsid w:val="00286FF6"/>
    <w:rsid w:val="00290017"/>
    <w:rsid w:val="00291414"/>
    <w:rsid w:val="00292A03"/>
    <w:rsid w:val="00292D6F"/>
    <w:rsid w:val="002943A5"/>
    <w:rsid w:val="00296105"/>
    <w:rsid w:val="0029675F"/>
    <w:rsid w:val="00297781"/>
    <w:rsid w:val="00297B60"/>
    <w:rsid w:val="002A1999"/>
    <w:rsid w:val="002A2AB7"/>
    <w:rsid w:val="002A431B"/>
    <w:rsid w:val="002A7B7B"/>
    <w:rsid w:val="002B2C31"/>
    <w:rsid w:val="002B2E21"/>
    <w:rsid w:val="002B462A"/>
    <w:rsid w:val="002C08BF"/>
    <w:rsid w:val="002C2526"/>
    <w:rsid w:val="002C3EC3"/>
    <w:rsid w:val="002C4AE2"/>
    <w:rsid w:val="002C64BA"/>
    <w:rsid w:val="002C781C"/>
    <w:rsid w:val="002C7FCD"/>
    <w:rsid w:val="002D07D8"/>
    <w:rsid w:val="002D425F"/>
    <w:rsid w:val="002D4749"/>
    <w:rsid w:val="002D55B2"/>
    <w:rsid w:val="002E18BE"/>
    <w:rsid w:val="002E3CC8"/>
    <w:rsid w:val="002E74A4"/>
    <w:rsid w:val="002F473C"/>
    <w:rsid w:val="002F5A26"/>
    <w:rsid w:val="00300334"/>
    <w:rsid w:val="00300CCA"/>
    <w:rsid w:val="0030492E"/>
    <w:rsid w:val="00307D20"/>
    <w:rsid w:val="0031072E"/>
    <w:rsid w:val="003109E1"/>
    <w:rsid w:val="00312DC9"/>
    <w:rsid w:val="003215F5"/>
    <w:rsid w:val="003217D4"/>
    <w:rsid w:val="003227F0"/>
    <w:rsid w:val="00322FEE"/>
    <w:rsid w:val="003233A3"/>
    <w:rsid w:val="00325555"/>
    <w:rsid w:val="003269CB"/>
    <w:rsid w:val="00327BEE"/>
    <w:rsid w:val="00330435"/>
    <w:rsid w:val="00331309"/>
    <w:rsid w:val="00332143"/>
    <w:rsid w:val="00332E31"/>
    <w:rsid w:val="00333730"/>
    <w:rsid w:val="00333FC1"/>
    <w:rsid w:val="00334EFD"/>
    <w:rsid w:val="00337CD1"/>
    <w:rsid w:val="00337E7D"/>
    <w:rsid w:val="00342764"/>
    <w:rsid w:val="00343561"/>
    <w:rsid w:val="00352487"/>
    <w:rsid w:val="00352983"/>
    <w:rsid w:val="00353C35"/>
    <w:rsid w:val="00354476"/>
    <w:rsid w:val="00355131"/>
    <w:rsid w:val="00357875"/>
    <w:rsid w:val="00363677"/>
    <w:rsid w:val="00367B72"/>
    <w:rsid w:val="00373FC5"/>
    <w:rsid w:val="0037713F"/>
    <w:rsid w:val="003801ED"/>
    <w:rsid w:val="00381987"/>
    <w:rsid w:val="00381AD4"/>
    <w:rsid w:val="00381D23"/>
    <w:rsid w:val="0038238D"/>
    <w:rsid w:val="00387F2F"/>
    <w:rsid w:val="0039269A"/>
    <w:rsid w:val="00393F8A"/>
    <w:rsid w:val="00395087"/>
    <w:rsid w:val="003963A8"/>
    <w:rsid w:val="003975B5"/>
    <w:rsid w:val="003A0DBC"/>
    <w:rsid w:val="003A1F15"/>
    <w:rsid w:val="003A2DCD"/>
    <w:rsid w:val="003A6C64"/>
    <w:rsid w:val="003A6CBA"/>
    <w:rsid w:val="003B11EB"/>
    <w:rsid w:val="003B3240"/>
    <w:rsid w:val="003B3891"/>
    <w:rsid w:val="003B5990"/>
    <w:rsid w:val="003B5A9E"/>
    <w:rsid w:val="003B5AEC"/>
    <w:rsid w:val="003B771F"/>
    <w:rsid w:val="003B7776"/>
    <w:rsid w:val="003C0565"/>
    <w:rsid w:val="003C276B"/>
    <w:rsid w:val="003C2ADE"/>
    <w:rsid w:val="003C5C14"/>
    <w:rsid w:val="003D2DE4"/>
    <w:rsid w:val="003D3392"/>
    <w:rsid w:val="003D4CE2"/>
    <w:rsid w:val="003D6707"/>
    <w:rsid w:val="003E0AB8"/>
    <w:rsid w:val="003E3792"/>
    <w:rsid w:val="003E5C92"/>
    <w:rsid w:val="003E5C9C"/>
    <w:rsid w:val="003E619A"/>
    <w:rsid w:val="003F1C71"/>
    <w:rsid w:val="003F253E"/>
    <w:rsid w:val="003F346C"/>
    <w:rsid w:val="003F4FA5"/>
    <w:rsid w:val="003F64AA"/>
    <w:rsid w:val="003F6A55"/>
    <w:rsid w:val="004007B9"/>
    <w:rsid w:val="00403FBF"/>
    <w:rsid w:val="00404A60"/>
    <w:rsid w:val="00407840"/>
    <w:rsid w:val="00412AC2"/>
    <w:rsid w:val="00413880"/>
    <w:rsid w:val="00414586"/>
    <w:rsid w:val="00414663"/>
    <w:rsid w:val="00417D2D"/>
    <w:rsid w:val="004204F2"/>
    <w:rsid w:val="004213E2"/>
    <w:rsid w:val="0042547A"/>
    <w:rsid w:val="0042574C"/>
    <w:rsid w:val="00425943"/>
    <w:rsid w:val="004268F4"/>
    <w:rsid w:val="00430AEF"/>
    <w:rsid w:val="00431702"/>
    <w:rsid w:val="00434E5A"/>
    <w:rsid w:val="004355AF"/>
    <w:rsid w:val="00435603"/>
    <w:rsid w:val="00436EC8"/>
    <w:rsid w:val="00437766"/>
    <w:rsid w:val="0044037F"/>
    <w:rsid w:val="0044049D"/>
    <w:rsid w:val="004445C0"/>
    <w:rsid w:val="00444D01"/>
    <w:rsid w:val="00445116"/>
    <w:rsid w:val="00445C8C"/>
    <w:rsid w:val="004460D9"/>
    <w:rsid w:val="00446868"/>
    <w:rsid w:val="0044722B"/>
    <w:rsid w:val="00447DFA"/>
    <w:rsid w:val="004500EA"/>
    <w:rsid w:val="00450F18"/>
    <w:rsid w:val="004526EF"/>
    <w:rsid w:val="004528D1"/>
    <w:rsid w:val="00452E68"/>
    <w:rsid w:val="00452F8F"/>
    <w:rsid w:val="00453143"/>
    <w:rsid w:val="0046121A"/>
    <w:rsid w:val="004628E6"/>
    <w:rsid w:val="00463ADB"/>
    <w:rsid w:val="00467981"/>
    <w:rsid w:val="00470D96"/>
    <w:rsid w:val="00471196"/>
    <w:rsid w:val="0047186D"/>
    <w:rsid w:val="00473A82"/>
    <w:rsid w:val="004758A9"/>
    <w:rsid w:val="00476F2B"/>
    <w:rsid w:val="004804CF"/>
    <w:rsid w:val="00482CB2"/>
    <w:rsid w:val="00485361"/>
    <w:rsid w:val="00486F93"/>
    <w:rsid w:val="00487220"/>
    <w:rsid w:val="004906FE"/>
    <w:rsid w:val="0049072D"/>
    <w:rsid w:val="004923A9"/>
    <w:rsid w:val="0049289C"/>
    <w:rsid w:val="00493CCE"/>
    <w:rsid w:val="004A53CB"/>
    <w:rsid w:val="004A62B5"/>
    <w:rsid w:val="004A683C"/>
    <w:rsid w:val="004B039F"/>
    <w:rsid w:val="004B1429"/>
    <w:rsid w:val="004B20AA"/>
    <w:rsid w:val="004B2182"/>
    <w:rsid w:val="004B3480"/>
    <w:rsid w:val="004B3FF4"/>
    <w:rsid w:val="004B6ECE"/>
    <w:rsid w:val="004C075B"/>
    <w:rsid w:val="004C08F6"/>
    <w:rsid w:val="004C1429"/>
    <w:rsid w:val="004C31D5"/>
    <w:rsid w:val="004C34CC"/>
    <w:rsid w:val="004D22A5"/>
    <w:rsid w:val="004D639C"/>
    <w:rsid w:val="004F02FE"/>
    <w:rsid w:val="004F0BE3"/>
    <w:rsid w:val="004F26BF"/>
    <w:rsid w:val="004F2BDA"/>
    <w:rsid w:val="004F3DA3"/>
    <w:rsid w:val="004F4DC1"/>
    <w:rsid w:val="004F513F"/>
    <w:rsid w:val="004F7041"/>
    <w:rsid w:val="004F7257"/>
    <w:rsid w:val="005009E0"/>
    <w:rsid w:val="00502E93"/>
    <w:rsid w:val="005043C9"/>
    <w:rsid w:val="00504620"/>
    <w:rsid w:val="00506E56"/>
    <w:rsid w:val="005075C9"/>
    <w:rsid w:val="0050780E"/>
    <w:rsid w:val="00510361"/>
    <w:rsid w:val="005148B5"/>
    <w:rsid w:val="005212B4"/>
    <w:rsid w:val="0052229E"/>
    <w:rsid w:val="00524E73"/>
    <w:rsid w:val="005255B2"/>
    <w:rsid w:val="00526808"/>
    <w:rsid w:val="00526F57"/>
    <w:rsid w:val="00530245"/>
    <w:rsid w:val="0053030E"/>
    <w:rsid w:val="00531A34"/>
    <w:rsid w:val="00533468"/>
    <w:rsid w:val="0053354F"/>
    <w:rsid w:val="0053628D"/>
    <w:rsid w:val="00541C1B"/>
    <w:rsid w:val="005440FC"/>
    <w:rsid w:val="0055075D"/>
    <w:rsid w:val="0055152D"/>
    <w:rsid w:val="00554110"/>
    <w:rsid w:val="00554A5E"/>
    <w:rsid w:val="00554A7D"/>
    <w:rsid w:val="00560C15"/>
    <w:rsid w:val="00562937"/>
    <w:rsid w:val="00565C4D"/>
    <w:rsid w:val="00570F94"/>
    <w:rsid w:val="005759DB"/>
    <w:rsid w:val="00583BCF"/>
    <w:rsid w:val="0058449C"/>
    <w:rsid w:val="005844C1"/>
    <w:rsid w:val="00584985"/>
    <w:rsid w:val="00585D37"/>
    <w:rsid w:val="00594ABC"/>
    <w:rsid w:val="0059556B"/>
    <w:rsid w:val="005961CF"/>
    <w:rsid w:val="005A6374"/>
    <w:rsid w:val="005A6CC1"/>
    <w:rsid w:val="005B1D45"/>
    <w:rsid w:val="005B2901"/>
    <w:rsid w:val="005B326E"/>
    <w:rsid w:val="005B4438"/>
    <w:rsid w:val="005B622E"/>
    <w:rsid w:val="005C493A"/>
    <w:rsid w:val="005C4C7F"/>
    <w:rsid w:val="005D3807"/>
    <w:rsid w:val="005D56F9"/>
    <w:rsid w:val="005D63B7"/>
    <w:rsid w:val="005E14ED"/>
    <w:rsid w:val="005E2314"/>
    <w:rsid w:val="005E2803"/>
    <w:rsid w:val="005E4BDA"/>
    <w:rsid w:val="005E4E4C"/>
    <w:rsid w:val="005E4FF8"/>
    <w:rsid w:val="005E707A"/>
    <w:rsid w:val="005F1CEE"/>
    <w:rsid w:val="005F2B8B"/>
    <w:rsid w:val="005F33FC"/>
    <w:rsid w:val="005F4C02"/>
    <w:rsid w:val="005F5B90"/>
    <w:rsid w:val="005F70FE"/>
    <w:rsid w:val="005F750A"/>
    <w:rsid w:val="00600216"/>
    <w:rsid w:val="00600D5A"/>
    <w:rsid w:val="00602F21"/>
    <w:rsid w:val="00602FE4"/>
    <w:rsid w:val="00606825"/>
    <w:rsid w:val="00607C96"/>
    <w:rsid w:val="00610417"/>
    <w:rsid w:val="0061135C"/>
    <w:rsid w:val="00611820"/>
    <w:rsid w:val="00612572"/>
    <w:rsid w:val="00614542"/>
    <w:rsid w:val="00615BC2"/>
    <w:rsid w:val="00616D51"/>
    <w:rsid w:val="00617F7D"/>
    <w:rsid w:val="00622959"/>
    <w:rsid w:val="00625CE8"/>
    <w:rsid w:val="00626DFC"/>
    <w:rsid w:val="006274F6"/>
    <w:rsid w:val="006321ED"/>
    <w:rsid w:val="00635E74"/>
    <w:rsid w:val="00640582"/>
    <w:rsid w:val="006412B3"/>
    <w:rsid w:val="006421E2"/>
    <w:rsid w:val="00642B0F"/>
    <w:rsid w:val="006434A1"/>
    <w:rsid w:val="006441D8"/>
    <w:rsid w:val="006443ED"/>
    <w:rsid w:val="006449C7"/>
    <w:rsid w:val="00647130"/>
    <w:rsid w:val="006512F7"/>
    <w:rsid w:val="00651601"/>
    <w:rsid w:val="006519C1"/>
    <w:rsid w:val="00653770"/>
    <w:rsid w:val="00655379"/>
    <w:rsid w:val="00655F34"/>
    <w:rsid w:val="006560F9"/>
    <w:rsid w:val="0065618D"/>
    <w:rsid w:val="00656FB9"/>
    <w:rsid w:val="00660490"/>
    <w:rsid w:val="006607C4"/>
    <w:rsid w:val="00666070"/>
    <w:rsid w:val="0066643F"/>
    <w:rsid w:val="00670022"/>
    <w:rsid w:val="006716A4"/>
    <w:rsid w:val="00672CC9"/>
    <w:rsid w:val="00672D40"/>
    <w:rsid w:val="0067456A"/>
    <w:rsid w:val="00674CFF"/>
    <w:rsid w:val="00674DB7"/>
    <w:rsid w:val="006750A2"/>
    <w:rsid w:val="0067563B"/>
    <w:rsid w:val="00677250"/>
    <w:rsid w:val="00677DFA"/>
    <w:rsid w:val="00680F84"/>
    <w:rsid w:val="00682843"/>
    <w:rsid w:val="00682992"/>
    <w:rsid w:val="006852E2"/>
    <w:rsid w:val="0069146B"/>
    <w:rsid w:val="006920C3"/>
    <w:rsid w:val="00696B6B"/>
    <w:rsid w:val="00697D4A"/>
    <w:rsid w:val="006A1E30"/>
    <w:rsid w:val="006A20DC"/>
    <w:rsid w:val="006A3EE8"/>
    <w:rsid w:val="006A78C7"/>
    <w:rsid w:val="006B01F6"/>
    <w:rsid w:val="006B16A8"/>
    <w:rsid w:val="006B2266"/>
    <w:rsid w:val="006B4689"/>
    <w:rsid w:val="006B4C00"/>
    <w:rsid w:val="006B70C3"/>
    <w:rsid w:val="006B76BC"/>
    <w:rsid w:val="006C586F"/>
    <w:rsid w:val="006C5F03"/>
    <w:rsid w:val="006C6502"/>
    <w:rsid w:val="006D074C"/>
    <w:rsid w:val="006D1577"/>
    <w:rsid w:val="006D4EE8"/>
    <w:rsid w:val="006D68DB"/>
    <w:rsid w:val="006E11CF"/>
    <w:rsid w:val="006E1F4A"/>
    <w:rsid w:val="006E764D"/>
    <w:rsid w:val="006F062C"/>
    <w:rsid w:val="006F3A71"/>
    <w:rsid w:val="006F71DF"/>
    <w:rsid w:val="00705905"/>
    <w:rsid w:val="00707636"/>
    <w:rsid w:val="0071001C"/>
    <w:rsid w:val="00716B86"/>
    <w:rsid w:val="00717716"/>
    <w:rsid w:val="0072032A"/>
    <w:rsid w:val="007223E5"/>
    <w:rsid w:val="0072384A"/>
    <w:rsid w:val="00727130"/>
    <w:rsid w:val="00727940"/>
    <w:rsid w:val="00727993"/>
    <w:rsid w:val="00730AB7"/>
    <w:rsid w:val="00732093"/>
    <w:rsid w:val="007321F0"/>
    <w:rsid w:val="007351A4"/>
    <w:rsid w:val="00735D38"/>
    <w:rsid w:val="00736496"/>
    <w:rsid w:val="00741DE3"/>
    <w:rsid w:val="007423D5"/>
    <w:rsid w:val="00745020"/>
    <w:rsid w:val="00745EB7"/>
    <w:rsid w:val="00747AAE"/>
    <w:rsid w:val="00751956"/>
    <w:rsid w:val="00752A19"/>
    <w:rsid w:val="007539A3"/>
    <w:rsid w:val="00754409"/>
    <w:rsid w:val="0076166C"/>
    <w:rsid w:val="00762622"/>
    <w:rsid w:val="007635FA"/>
    <w:rsid w:val="00763860"/>
    <w:rsid w:val="00766160"/>
    <w:rsid w:val="00770EE4"/>
    <w:rsid w:val="00773F14"/>
    <w:rsid w:val="00774ED3"/>
    <w:rsid w:val="00775997"/>
    <w:rsid w:val="00777E67"/>
    <w:rsid w:val="0078080A"/>
    <w:rsid w:val="00781796"/>
    <w:rsid w:val="00783AE1"/>
    <w:rsid w:val="00794269"/>
    <w:rsid w:val="00795931"/>
    <w:rsid w:val="007A5069"/>
    <w:rsid w:val="007A6BE0"/>
    <w:rsid w:val="007B749E"/>
    <w:rsid w:val="007C0D74"/>
    <w:rsid w:val="007C1DCF"/>
    <w:rsid w:val="007C25D7"/>
    <w:rsid w:val="007C2641"/>
    <w:rsid w:val="007C2CB2"/>
    <w:rsid w:val="007C2F2C"/>
    <w:rsid w:val="007C38B8"/>
    <w:rsid w:val="007C3DB0"/>
    <w:rsid w:val="007C5B85"/>
    <w:rsid w:val="007C5FF6"/>
    <w:rsid w:val="007C6A47"/>
    <w:rsid w:val="007D1846"/>
    <w:rsid w:val="007D48BB"/>
    <w:rsid w:val="007D5EE2"/>
    <w:rsid w:val="007D640F"/>
    <w:rsid w:val="007D6AA2"/>
    <w:rsid w:val="007D7EB2"/>
    <w:rsid w:val="007E135D"/>
    <w:rsid w:val="007E17A0"/>
    <w:rsid w:val="007E3934"/>
    <w:rsid w:val="007E40FF"/>
    <w:rsid w:val="007E6F17"/>
    <w:rsid w:val="007F2C49"/>
    <w:rsid w:val="007F3B33"/>
    <w:rsid w:val="00802790"/>
    <w:rsid w:val="00805920"/>
    <w:rsid w:val="008067FA"/>
    <w:rsid w:val="00806DFD"/>
    <w:rsid w:val="0080710A"/>
    <w:rsid w:val="00814966"/>
    <w:rsid w:val="00816EC4"/>
    <w:rsid w:val="00817159"/>
    <w:rsid w:val="008204CB"/>
    <w:rsid w:val="008228AC"/>
    <w:rsid w:val="00824AAC"/>
    <w:rsid w:val="00824BF5"/>
    <w:rsid w:val="00826566"/>
    <w:rsid w:val="00827667"/>
    <w:rsid w:val="00827BAF"/>
    <w:rsid w:val="00832047"/>
    <w:rsid w:val="00832984"/>
    <w:rsid w:val="00832C76"/>
    <w:rsid w:val="00833963"/>
    <w:rsid w:val="00834A29"/>
    <w:rsid w:val="0083502B"/>
    <w:rsid w:val="00840D00"/>
    <w:rsid w:val="008436B9"/>
    <w:rsid w:val="00843D06"/>
    <w:rsid w:val="00844134"/>
    <w:rsid w:val="00844A7F"/>
    <w:rsid w:val="00850B1E"/>
    <w:rsid w:val="008531BC"/>
    <w:rsid w:val="008532A8"/>
    <w:rsid w:val="008601A6"/>
    <w:rsid w:val="00860CB7"/>
    <w:rsid w:val="008613EC"/>
    <w:rsid w:val="008628F8"/>
    <w:rsid w:val="00863D68"/>
    <w:rsid w:val="00865E63"/>
    <w:rsid w:val="00867D56"/>
    <w:rsid w:val="00870834"/>
    <w:rsid w:val="008732DA"/>
    <w:rsid w:val="00874777"/>
    <w:rsid w:val="00874BE1"/>
    <w:rsid w:val="00874E04"/>
    <w:rsid w:val="00876450"/>
    <w:rsid w:val="0087654E"/>
    <w:rsid w:val="00877679"/>
    <w:rsid w:val="00880CC1"/>
    <w:rsid w:val="00883C3C"/>
    <w:rsid w:val="00892068"/>
    <w:rsid w:val="0089219A"/>
    <w:rsid w:val="008926A8"/>
    <w:rsid w:val="008938CF"/>
    <w:rsid w:val="008948B7"/>
    <w:rsid w:val="00895543"/>
    <w:rsid w:val="00895819"/>
    <w:rsid w:val="00895D5D"/>
    <w:rsid w:val="00896AFE"/>
    <w:rsid w:val="00897F40"/>
    <w:rsid w:val="008A20C1"/>
    <w:rsid w:val="008A28CF"/>
    <w:rsid w:val="008A39C5"/>
    <w:rsid w:val="008A584B"/>
    <w:rsid w:val="008A5887"/>
    <w:rsid w:val="008A5E87"/>
    <w:rsid w:val="008A619C"/>
    <w:rsid w:val="008B022F"/>
    <w:rsid w:val="008B1E20"/>
    <w:rsid w:val="008B343D"/>
    <w:rsid w:val="008B498A"/>
    <w:rsid w:val="008B7380"/>
    <w:rsid w:val="008C0037"/>
    <w:rsid w:val="008C1C45"/>
    <w:rsid w:val="008C2F50"/>
    <w:rsid w:val="008C4E92"/>
    <w:rsid w:val="008C730C"/>
    <w:rsid w:val="008C731D"/>
    <w:rsid w:val="008D1157"/>
    <w:rsid w:val="008D5300"/>
    <w:rsid w:val="008D6C29"/>
    <w:rsid w:val="008D6EC9"/>
    <w:rsid w:val="008E2382"/>
    <w:rsid w:val="008E4B95"/>
    <w:rsid w:val="008E59EB"/>
    <w:rsid w:val="008E5ADB"/>
    <w:rsid w:val="008E6C24"/>
    <w:rsid w:val="008E7ED0"/>
    <w:rsid w:val="008F0491"/>
    <w:rsid w:val="008F15EF"/>
    <w:rsid w:val="008F1624"/>
    <w:rsid w:val="008F1BC3"/>
    <w:rsid w:val="008F1DDD"/>
    <w:rsid w:val="008F2876"/>
    <w:rsid w:val="008F299F"/>
    <w:rsid w:val="008F29E8"/>
    <w:rsid w:val="008F3C0E"/>
    <w:rsid w:val="008F4DAE"/>
    <w:rsid w:val="008F566F"/>
    <w:rsid w:val="008F7725"/>
    <w:rsid w:val="009005C1"/>
    <w:rsid w:val="00901C97"/>
    <w:rsid w:val="009103BF"/>
    <w:rsid w:val="00910A97"/>
    <w:rsid w:val="009128BB"/>
    <w:rsid w:val="009178C6"/>
    <w:rsid w:val="00921FC4"/>
    <w:rsid w:val="00922177"/>
    <w:rsid w:val="00922D71"/>
    <w:rsid w:val="00923983"/>
    <w:rsid w:val="00924CFD"/>
    <w:rsid w:val="00924FCA"/>
    <w:rsid w:val="0092627C"/>
    <w:rsid w:val="0092720F"/>
    <w:rsid w:val="009301C5"/>
    <w:rsid w:val="0093088D"/>
    <w:rsid w:val="00931D7E"/>
    <w:rsid w:val="00935F52"/>
    <w:rsid w:val="009361D8"/>
    <w:rsid w:val="00936E51"/>
    <w:rsid w:val="00937BB3"/>
    <w:rsid w:val="00941AA3"/>
    <w:rsid w:val="00941B7C"/>
    <w:rsid w:val="009456E4"/>
    <w:rsid w:val="00950648"/>
    <w:rsid w:val="009525F0"/>
    <w:rsid w:val="0095321E"/>
    <w:rsid w:val="009535DD"/>
    <w:rsid w:val="0095397D"/>
    <w:rsid w:val="00955C83"/>
    <w:rsid w:val="00956919"/>
    <w:rsid w:val="0095695C"/>
    <w:rsid w:val="009609FE"/>
    <w:rsid w:val="00962583"/>
    <w:rsid w:val="00962B6B"/>
    <w:rsid w:val="00963BF3"/>
    <w:rsid w:val="009657CC"/>
    <w:rsid w:val="00966830"/>
    <w:rsid w:val="00966C7B"/>
    <w:rsid w:val="0096755C"/>
    <w:rsid w:val="0097246A"/>
    <w:rsid w:val="00972B8F"/>
    <w:rsid w:val="00972E59"/>
    <w:rsid w:val="0097308A"/>
    <w:rsid w:val="009750DD"/>
    <w:rsid w:val="009772C6"/>
    <w:rsid w:val="009869C1"/>
    <w:rsid w:val="009A01FF"/>
    <w:rsid w:val="009A06DA"/>
    <w:rsid w:val="009A07DE"/>
    <w:rsid w:val="009A1B4E"/>
    <w:rsid w:val="009A394A"/>
    <w:rsid w:val="009A3A14"/>
    <w:rsid w:val="009A57B1"/>
    <w:rsid w:val="009A63B4"/>
    <w:rsid w:val="009A6DFA"/>
    <w:rsid w:val="009B06F6"/>
    <w:rsid w:val="009B1CBC"/>
    <w:rsid w:val="009B2C80"/>
    <w:rsid w:val="009B3327"/>
    <w:rsid w:val="009B3A8D"/>
    <w:rsid w:val="009B4EF7"/>
    <w:rsid w:val="009B771A"/>
    <w:rsid w:val="009B791B"/>
    <w:rsid w:val="009C13C4"/>
    <w:rsid w:val="009C21AD"/>
    <w:rsid w:val="009C428C"/>
    <w:rsid w:val="009C7382"/>
    <w:rsid w:val="009C7CE6"/>
    <w:rsid w:val="009D2673"/>
    <w:rsid w:val="009D4BD0"/>
    <w:rsid w:val="009D52C8"/>
    <w:rsid w:val="009D655D"/>
    <w:rsid w:val="009D76D4"/>
    <w:rsid w:val="009E034F"/>
    <w:rsid w:val="009E3125"/>
    <w:rsid w:val="009E395F"/>
    <w:rsid w:val="009E3C5E"/>
    <w:rsid w:val="009E4C43"/>
    <w:rsid w:val="009E5C1A"/>
    <w:rsid w:val="009E6F05"/>
    <w:rsid w:val="009F0BB7"/>
    <w:rsid w:val="009F481B"/>
    <w:rsid w:val="009F6413"/>
    <w:rsid w:val="00A00CB3"/>
    <w:rsid w:val="00A03769"/>
    <w:rsid w:val="00A05630"/>
    <w:rsid w:val="00A072EF"/>
    <w:rsid w:val="00A12BD2"/>
    <w:rsid w:val="00A1643C"/>
    <w:rsid w:val="00A177A7"/>
    <w:rsid w:val="00A21231"/>
    <w:rsid w:val="00A23467"/>
    <w:rsid w:val="00A2554A"/>
    <w:rsid w:val="00A32298"/>
    <w:rsid w:val="00A35B51"/>
    <w:rsid w:val="00A36ED4"/>
    <w:rsid w:val="00A41C7D"/>
    <w:rsid w:val="00A44A04"/>
    <w:rsid w:val="00A5049F"/>
    <w:rsid w:val="00A5330C"/>
    <w:rsid w:val="00A549F6"/>
    <w:rsid w:val="00A54D14"/>
    <w:rsid w:val="00A55789"/>
    <w:rsid w:val="00A576E6"/>
    <w:rsid w:val="00A6063A"/>
    <w:rsid w:val="00A621BA"/>
    <w:rsid w:val="00A6784E"/>
    <w:rsid w:val="00A71DB1"/>
    <w:rsid w:val="00A72D4C"/>
    <w:rsid w:val="00A73944"/>
    <w:rsid w:val="00A746B0"/>
    <w:rsid w:val="00A75B29"/>
    <w:rsid w:val="00A81020"/>
    <w:rsid w:val="00A83007"/>
    <w:rsid w:val="00A90E45"/>
    <w:rsid w:val="00A93868"/>
    <w:rsid w:val="00A93C43"/>
    <w:rsid w:val="00A93F04"/>
    <w:rsid w:val="00A94D0F"/>
    <w:rsid w:val="00A950B0"/>
    <w:rsid w:val="00A9514E"/>
    <w:rsid w:val="00AA1224"/>
    <w:rsid w:val="00AA5558"/>
    <w:rsid w:val="00AA7644"/>
    <w:rsid w:val="00AA7E9B"/>
    <w:rsid w:val="00AA7FAA"/>
    <w:rsid w:val="00AB001F"/>
    <w:rsid w:val="00AB0AD4"/>
    <w:rsid w:val="00AB0B68"/>
    <w:rsid w:val="00AB0F3B"/>
    <w:rsid w:val="00AB1FEB"/>
    <w:rsid w:val="00AB3303"/>
    <w:rsid w:val="00AB5263"/>
    <w:rsid w:val="00AB59CC"/>
    <w:rsid w:val="00AB5A1B"/>
    <w:rsid w:val="00AB5F4E"/>
    <w:rsid w:val="00AC1642"/>
    <w:rsid w:val="00AC2C0E"/>
    <w:rsid w:val="00AC37FC"/>
    <w:rsid w:val="00AC6ECE"/>
    <w:rsid w:val="00AE0F76"/>
    <w:rsid w:val="00AE17B7"/>
    <w:rsid w:val="00AE4A0C"/>
    <w:rsid w:val="00AF1916"/>
    <w:rsid w:val="00AF2B27"/>
    <w:rsid w:val="00AF63D1"/>
    <w:rsid w:val="00AF6AC3"/>
    <w:rsid w:val="00AF71B1"/>
    <w:rsid w:val="00B00CEE"/>
    <w:rsid w:val="00B02E95"/>
    <w:rsid w:val="00B0542E"/>
    <w:rsid w:val="00B05A90"/>
    <w:rsid w:val="00B07712"/>
    <w:rsid w:val="00B10524"/>
    <w:rsid w:val="00B108B7"/>
    <w:rsid w:val="00B1475D"/>
    <w:rsid w:val="00B15538"/>
    <w:rsid w:val="00B1583F"/>
    <w:rsid w:val="00B16F8D"/>
    <w:rsid w:val="00B17846"/>
    <w:rsid w:val="00B17CBE"/>
    <w:rsid w:val="00B23741"/>
    <w:rsid w:val="00B24544"/>
    <w:rsid w:val="00B24C30"/>
    <w:rsid w:val="00B31272"/>
    <w:rsid w:val="00B324FD"/>
    <w:rsid w:val="00B325BD"/>
    <w:rsid w:val="00B32654"/>
    <w:rsid w:val="00B348AF"/>
    <w:rsid w:val="00B34C6C"/>
    <w:rsid w:val="00B403A8"/>
    <w:rsid w:val="00B430CD"/>
    <w:rsid w:val="00B46B79"/>
    <w:rsid w:val="00B46C08"/>
    <w:rsid w:val="00B4739E"/>
    <w:rsid w:val="00B47773"/>
    <w:rsid w:val="00B51D9A"/>
    <w:rsid w:val="00B525ED"/>
    <w:rsid w:val="00B52AE3"/>
    <w:rsid w:val="00B53D0C"/>
    <w:rsid w:val="00B55D1F"/>
    <w:rsid w:val="00B60503"/>
    <w:rsid w:val="00B60C7F"/>
    <w:rsid w:val="00B63250"/>
    <w:rsid w:val="00B64FFA"/>
    <w:rsid w:val="00B71546"/>
    <w:rsid w:val="00B7784D"/>
    <w:rsid w:val="00B8080A"/>
    <w:rsid w:val="00B80C03"/>
    <w:rsid w:val="00B83031"/>
    <w:rsid w:val="00B87724"/>
    <w:rsid w:val="00B90A5A"/>
    <w:rsid w:val="00B91328"/>
    <w:rsid w:val="00B91397"/>
    <w:rsid w:val="00B930E6"/>
    <w:rsid w:val="00B96C61"/>
    <w:rsid w:val="00BA13F9"/>
    <w:rsid w:val="00BA4EC8"/>
    <w:rsid w:val="00BB0000"/>
    <w:rsid w:val="00BB0AF5"/>
    <w:rsid w:val="00BB1226"/>
    <w:rsid w:val="00BB1A36"/>
    <w:rsid w:val="00BB246F"/>
    <w:rsid w:val="00BB2802"/>
    <w:rsid w:val="00BB5AF8"/>
    <w:rsid w:val="00BB790B"/>
    <w:rsid w:val="00BC02F2"/>
    <w:rsid w:val="00BC2C94"/>
    <w:rsid w:val="00BC30FC"/>
    <w:rsid w:val="00BC6B62"/>
    <w:rsid w:val="00BD32C8"/>
    <w:rsid w:val="00BD3EA0"/>
    <w:rsid w:val="00BD43D5"/>
    <w:rsid w:val="00BD477C"/>
    <w:rsid w:val="00BD54B5"/>
    <w:rsid w:val="00BD6002"/>
    <w:rsid w:val="00BE110E"/>
    <w:rsid w:val="00BE3569"/>
    <w:rsid w:val="00BE5069"/>
    <w:rsid w:val="00BE6605"/>
    <w:rsid w:val="00BE691D"/>
    <w:rsid w:val="00BE772E"/>
    <w:rsid w:val="00BF0E1D"/>
    <w:rsid w:val="00BF1DBD"/>
    <w:rsid w:val="00C02649"/>
    <w:rsid w:val="00C12B30"/>
    <w:rsid w:val="00C13E86"/>
    <w:rsid w:val="00C14DD7"/>
    <w:rsid w:val="00C22068"/>
    <w:rsid w:val="00C239B1"/>
    <w:rsid w:val="00C249AD"/>
    <w:rsid w:val="00C24C0B"/>
    <w:rsid w:val="00C25173"/>
    <w:rsid w:val="00C25AC1"/>
    <w:rsid w:val="00C25B27"/>
    <w:rsid w:val="00C3113D"/>
    <w:rsid w:val="00C4008E"/>
    <w:rsid w:val="00C4027E"/>
    <w:rsid w:val="00C41C43"/>
    <w:rsid w:val="00C427CD"/>
    <w:rsid w:val="00C437C7"/>
    <w:rsid w:val="00C47D26"/>
    <w:rsid w:val="00C501E6"/>
    <w:rsid w:val="00C52F47"/>
    <w:rsid w:val="00C5635A"/>
    <w:rsid w:val="00C61D70"/>
    <w:rsid w:val="00C624C3"/>
    <w:rsid w:val="00C657E9"/>
    <w:rsid w:val="00C6631B"/>
    <w:rsid w:val="00C671B4"/>
    <w:rsid w:val="00C7188D"/>
    <w:rsid w:val="00C72DB4"/>
    <w:rsid w:val="00C74008"/>
    <w:rsid w:val="00C804D3"/>
    <w:rsid w:val="00C818BE"/>
    <w:rsid w:val="00C8431D"/>
    <w:rsid w:val="00C85FA0"/>
    <w:rsid w:val="00C861AD"/>
    <w:rsid w:val="00C87C1F"/>
    <w:rsid w:val="00C901ED"/>
    <w:rsid w:val="00C91B70"/>
    <w:rsid w:val="00C976B8"/>
    <w:rsid w:val="00C97E62"/>
    <w:rsid w:val="00CA282C"/>
    <w:rsid w:val="00CA4590"/>
    <w:rsid w:val="00CB06B5"/>
    <w:rsid w:val="00CB24CF"/>
    <w:rsid w:val="00CB50DE"/>
    <w:rsid w:val="00CB682C"/>
    <w:rsid w:val="00CB733A"/>
    <w:rsid w:val="00CC0234"/>
    <w:rsid w:val="00CC192E"/>
    <w:rsid w:val="00CC48BC"/>
    <w:rsid w:val="00CC5044"/>
    <w:rsid w:val="00CD1DD6"/>
    <w:rsid w:val="00CD1E2D"/>
    <w:rsid w:val="00CD48E7"/>
    <w:rsid w:val="00CE08CD"/>
    <w:rsid w:val="00CE2B9A"/>
    <w:rsid w:val="00CE687D"/>
    <w:rsid w:val="00CF01BA"/>
    <w:rsid w:val="00CF028F"/>
    <w:rsid w:val="00CF07D3"/>
    <w:rsid w:val="00CF13F7"/>
    <w:rsid w:val="00CF38F6"/>
    <w:rsid w:val="00CF4536"/>
    <w:rsid w:val="00CF57E2"/>
    <w:rsid w:val="00CF760E"/>
    <w:rsid w:val="00CF769C"/>
    <w:rsid w:val="00CF7D4C"/>
    <w:rsid w:val="00D01BF6"/>
    <w:rsid w:val="00D10956"/>
    <w:rsid w:val="00D135DB"/>
    <w:rsid w:val="00D15D1A"/>
    <w:rsid w:val="00D230DA"/>
    <w:rsid w:val="00D23A91"/>
    <w:rsid w:val="00D263DB"/>
    <w:rsid w:val="00D3168B"/>
    <w:rsid w:val="00D32BF2"/>
    <w:rsid w:val="00D40F52"/>
    <w:rsid w:val="00D45603"/>
    <w:rsid w:val="00D4651F"/>
    <w:rsid w:val="00D47D94"/>
    <w:rsid w:val="00D52B43"/>
    <w:rsid w:val="00D52B45"/>
    <w:rsid w:val="00D54244"/>
    <w:rsid w:val="00D57FAC"/>
    <w:rsid w:val="00D6242E"/>
    <w:rsid w:val="00D62EAB"/>
    <w:rsid w:val="00D63471"/>
    <w:rsid w:val="00D6384F"/>
    <w:rsid w:val="00D63A77"/>
    <w:rsid w:val="00D64073"/>
    <w:rsid w:val="00D643E2"/>
    <w:rsid w:val="00D66957"/>
    <w:rsid w:val="00D67249"/>
    <w:rsid w:val="00D67379"/>
    <w:rsid w:val="00D70BE5"/>
    <w:rsid w:val="00D71966"/>
    <w:rsid w:val="00D76A05"/>
    <w:rsid w:val="00D77DF1"/>
    <w:rsid w:val="00D838DC"/>
    <w:rsid w:val="00D84C56"/>
    <w:rsid w:val="00D86A8C"/>
    <w:rsid w:val="00D86BEA"/>
    <w:rsid w:val="00D86FD2"/>
    <w:rsid w:val="00D873F8"/>
    <w:rsid w:val="00D92B96"/>
    <w:rsid w:val="00D932C8"/>
    <w:rsid w:val="00D94775"/>
    <w:rsid w:val="00D95A6B"/>
    <w:rsid w:val="00D97233"/>
    <w:rsid w:val="00D97894"/>
    <w:rsid w:val="00D97D9A"/>
    <w:rsid w:val="00DA1008"/>
    <w:rsid w:val="00DA412B"/>
    <w:rsid w:val="00DA59CF"/>
    <w:rsid w:val="00DB0B24"/>
    <w:rsid w:val="00DB26EE"/>
    <w:rsid w:val="00DB41C7"/>
    <w:rsid w:val="00DB4656"/>
    <w:rsid w:val="00DC00DA"/>
    <w:rsid w:val="00DD14F1"/>
    <w:rsid w:val="00DD19CC"/>
    <w:rsid w:val="00DD4E03"/>
    <w:rsid w:val="00DD5602"/>
    <w:rsid w:val="00DD696A"/>
    <w:rsid w:val="00DD6E7D"/>
    <w:rsid w:val="00DD7B1D"/>
    <w:rsid w:val="00DE0267"/>
    <w:rsid w:val="00DE0AC9"/>
    <w:rsid w:val="00DE149A"/>
    <w:rsid w:val="00DE26FB"/>
    <w:rsid w:val="00DE2A04"/>
    <w:rsid w:val="00DE31F4"/>
    <w:rsid w:val="00DF13F7"/>
    <w:rsid w:val="00DF468C"/>
    <w:rsid w:val="00DF4BBF"/>
    <w:rsid w:val="00DF65BF"/>
    <w:rsid w:val="00E02851"/>
    <w:rsid w:val="00E02B17"/>
    <w:rsid w:val="00E03CD4"/>
    <w:rsid w:val="00E04067"/>
    <w:rsid w:val="00E045D6"/>
    <w:rsid w:val="00E04D47"/>
    <w:rsid w:val="00E07190"/>
    <w:rsid w:val="00E07878"/>
    <w:rsid w:val="00E116CD"/>
    <w:rsid w:val="00E129B6"/>
    <w:rsid w:val="00E12B26"/>
    <w:rsid w:val="00E133A0"/>
    <w:rsid w:val="00E15F8D"/>
    <w:rsid w:val="00E16078"/>
    <w:rsid w:val="00E2243A"/>
    <w:rsid w:val="00E23F96"/>
    <w:rsid w:val="00E25B3E"/>
    <w:rsid w:val="00E32AC6"/>
    <w:rsid w:val="00E33D2F"/>
    <w:rsid w:val="00E33E84"/>
    <w:rsid w:val="00E36C45"/>
    <w:rsid w:val="00E37609"/>
    <w:rsid w:val="00E37BB6"/>
    <w:rsid w:val="00E42638"/>
    <w:rsid w:val="00E43C77"/>
    <w:rsid w:val="00E47317"/>
    <w:rsid w:val="00E502C7"/>
    <w:rsid w:val="00E50D0F"/>
    <w:rsid w:val="00E51175"/>
    <w:rsid w:val="00E5117E"/>
    <w:rsid w:val="00E679F9"/>
    <w:rsid w:val="00E70346"/>
    <w:rsid w:val="00E71EF9"/>
    <w:rsid w:val="00E72EE3"/>
    <w:rsid w:val="00E73AB1"/>
    <w:rsid w:val="00E74B13"/>
    <w:rsid w:val="00E769A1"/>
    <w:rsid w:val="00E77AF7"/>
    <w:rsid w:val="00E77EDD"/>
    <w:rsid w:val="00E80F76"/>
    <w:rsid w:val="00E82A4E"/>
    <w:rsid w:val="00E83890"/>
    <w:rsid w:val="00E9209A"/>
    <w:rsid w:val="00E92507"/>
    <w:rsid w:val="00E94914"/>
    <w:rsid w:val="00E94E5B"/>
    <w:rsid w:val="00E9614D"/>
    <w:rsid w:val="00E96664"/>
    <w:rsid w:val="00E97754"/>
    <w:rsid w:val="00E97BF9"/>
    <w:rsid w:val="00EA1639"/>
    <w:rsid w:val="00EA53C4"/>
    <w:rsid w:val="00EA59F1"/>
    <w:rsid w:val="00EA6DDC"/>
    <w:rsid w:val="00EA748D"/>
    <w:rsid w:val="00EB0E27"/>
    <w:rsid w:val="00EB1BFD"/>
    <w:rsid w:val="00EB2527"/>
    <w:rsid w:val="00EB2647"/>
    <w:rsid w:val="00EB2AFF"/>
    <w:rsid w:val="00EB4709"/>
    <w:rsid w:val="00EB4D1B"/>
    <w:rsid w:val="00EC0934"/>
    <w:rsid w:val="00EC1289"/>
    <w:rsid w:val="00EC1BC5"/>
    <w:rsid w:val="00EC2EF1"/>
    <w:rsid w:val="00EC334D"/>
    <w:rsid w:val="00EC3440"/>
    <w:rsid w:val="00EC75DB"/>
    <w:rsid w:val="00ED1836"/>
    <w:rsid w:val="00ED2B92"/>
    <w:rsid w:val="00ED3F0C"/>
    <w:rsid w:val="00ED6319"/>
    <w:rsid w:val="00ED6A43"/>
    <w:rsid w:val="00EE3A99"/>
    <w:rsid w:val="00EE4115"/>
    <w:rsid w:val="00EE5CF7"/>
    <w:rsid w:val="00EE68ED"/>
    <w:rsid w:val="00EE7042"/>
    <w:rsid w:val="00EF2715"/>
    <w:rsid w:val="00EF458A"/>
    <w:rsid w:val="00EF6F24"/>
    <w:rsid w:val="00F00165"/>
    <w:rsid w:val="00F0213B"/>
    <w:rsid w:val="00F07595"/>
    <w:rsid w:val="00F076AE"/>
    <w:rsid w:val="00F1208D"/>
    <w:rsid w:val="00F13F84"/>
    <w:rsid w:val="00F13FA6"/>
    <w:rsid w:val="00F14948"/>
    <w:rsid w:val="00F14DBC"/>
    <w:rsid w:val="00F14E3E"/>
    <w:rsid w:val="00F222A7"/>
    <w:rsid w:val="00F242FA"/>
    <w:rsid w:val="00F25942"/>
    <w:rsid w:val="00F26992"/>
    <w:rsid w:val="00F26D12"/>
    <w:rsid w:val="00F27110"/>
    <w:rsid w:val="00F302D0"/>
    <w:rsid w:val="00F30FF4"/>
    <w:rsid w:val="00F31654"/>
    <w:rsid w:val="00F34475"/>
    <w:rsid w:val="00F3744B"/>
    <w:rsid w:val="00F43459"/>
    <w:rsid w:val="00F43B5D"/>
    <w:rsid w:val="00F43FF9"/>
    <w:rsid w:val="00F46B4D"/>
    <w:rsid w:val="00F476F9"/>
    <w:rsid w:val="00F51270"/>
    <w:rsid w:val="00F51511"/>
    <w:rsid w:val="00F552A2"/>
    <w:rsid w:val="00F62339"/>
    <w:rsid w:val="00F6341A"/>
    <w:rsid w:val="00F646D6"/>
    <w:rsid w:val="00F673C7"/>
    <w:rsid w:val="00F7563E"/>
    <w:rsid w:val="00F768D7"/>
    <w:rsid w:val="00F76D97"/>
    <w:rsid w:val="00F8026E"/>
    <w:rsid w:val="00F83788"/>
    <w:rsid w:val="00F837A8"/>
    <w:rsid w:val="00F838A9"/>
    <w:rsid w:val="00F84CA2"/>
    <w:rsid w:val="00F85EFD"/>
    <w:rsid w:val="00F874F6"/>
    <w:rsid w:val="00F90E15"/>
    <w:rsid w:val="00F9150B"/>
    <w:rsid w:val="00F921BE"/>
    <w:rsid w:val="00F9280B"/>
    <w:rsid w:val="00F93C88"/>
    <w:rsid w:val="00F94788"/>
    <w:rsid w:val="00F97EEE"/>
    <w:rsid w:val="00FA08FD"/>
    <w:rsid w:val="00FA1779"/>
    <w:rsid w:val="00FA22C3"/>
    <w:rsid w:val="00FA2B48"/>
    <w:rsid w:val="00FA31C7"/>
    <w:rsid w:val="00FA5791"/>
    <w:rsid w:val="00FA7DD9"/>
    <w:rsid w:val="00FB3A92"/>
    <w:rsid w:val="00FB3E61"/>
    <w:rsid w:val="00FB450D"/>
    <w:rsid w:val="00FB55AA"/>
    <w:rsid w:val="00FC1302"/>
    <w:rsid w:val="00FC3DA3"/>
    <w:rsid w:val="00FC797A"/>
    <w:rsid w:val="00FD45DD"/>
    <w:rsid w:val="00FE3749"/>
    <w:rsid w:val="00FE6A05"/>
    <w:rsid w:val="00FE6B5A"/>
    <w:rsid w:val="00FE6F14"/>
    <w:rsid w:val="00FF003C"/>
    <w:rsid w:val="00FF1C31"/>
    <w:rsid w:val="00FF3702"/>
    <w:rsid w:val="00FF5F25"/>
    <w:rsid w:val="00FF799C"/>
    <w:rsid w:val="00FF7F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3ABB9"/>
  <w15:docId w15:val="{C46074F0-5105-4E7E-8E5B-4CB1FC79A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6F8D"/>
    <w:pPr>
      <w:spacing w:after="0" w:line="240" w:lineRule="auto"/>
      <w:jc w:val="both"/>
    </w:pPr>
    <w:rPr>
      <w:rFonts w:ascii="Times New Roman" w:eastAsia="Times New Roman" w:hAnsi="Times New Roman" w:cs="Times New Roman"/>
      <w:szCs w:val="20"/>
      <w:lang w:val="sr-Cyrl-RS" w:eastAsia="fr-FR"/>
    </w:rPr>
  </w:style>
  <w:style w:type="paragraph" w:styleId="Heading1">
    <w:name w:val="heading 1"/>
    <w:basedOn w:val="AATitre1"/>
    <w:next w:val="Normal"/>
    <w:link w:val="Heading1Char"/>
    <w:qFormat/>
    <w:rsid w:val="00B16F8D"/>
    <w:pPr>
      <w:outlineLvl w:val="0"/>
    </w:pPr>
  </w:style>
  <w:style w:type="paragraph" w:styleId="Heading2">
    <w:name w:val="heading 2"/>
    <w:basedOn w:val="Normal"/>
    <w:next w:val="Normal"/>
    <w:link w:val="Heading2Char"/>
    <w:qFormat/>
    <w:rsid w:val="00B16F8D"/>
    <w:pPr>
      <w:numPr>
        <w:ilvl w:val="1"/>
        <w:numId w:val="3"/>
      </w:numPr>
      <w:spacing w:before="120" w:after="120" w:line="288" w:lineRule="auto"/>
      <w:outlineLvl w:val="1"/>
    </w:pPr>
    <w:rPr>
      <w:color w:val="000000"/>
    </w:rPr>
  </w:style>
  <w:style w:type="paragraph" w:styleId="Heading3">
    <w:name w:val="heading 3"/>
    <w:basedOn w:val="Normal"/>
    <w:next w:val="Normal"/>
    <w:link w:val="Heading3Char"/>
    <w:qFormat/>
    <w:rsid w:val="00B16F8D"/>
    <w:pPr>
      <w:keepNext/>
      <w:numPr>
        <w:ilvl w:val="2"/>
        <w:numId w:val="4"/>
      </w:numPr>
      <w:outlineLvl w:val="2"/>
    </w:pPr>
    <w:rPr>
      <w:rFonts w:ascii="Haettenschweiler" w:hAnsi="Haettenschweiler"/>
      <w:b/>
      <w:bCs/>
      <w:sz w:val="30"/>
      <w:szCs w:val="30"/>
    </w:rPr>
  </w:style>
  <w:style w:type="paragraph" w:styleId="Heading4">
    <w:name w:val="heading 4"/>
    <w:basedOn w:val="Normal"/>
    <w:next w:val="Normal"/>
    <w:link w:val="Heading4Char"/>
    <w:qFormat/>
    <w:rsid w:val="00B16F8D"/>
    <w:pPr>
      <w:keepNext/>
      <w:numPr>
        <w:ilvl w:val="3"/>
        <w:numId w:val="4"/>
      </w:numPr>
      <w:spacing w:before="240" w:after="60"/>
      <w:outlineLvl w:val="3"/>
    </w:pPr>
    <w:rPr>
      <w:rFonts w:ascii="Arial" w:hAnsi="Arial" w:cs="Arial"/>
      <w:b/>
      <w:bCs/>
    </w:rPr>
  </w:style>
  <w:style w:type="paragraph" w:styleId="Heading5">
    <w:name w:val="heading 5"/>
    <w:basedOn w:val="Normal"/>
    <w:next w:val="Normal"/>
    <w:link w:val="Heading5Char"/>
    <w:qFormat/>
    <w:rsid w:val="00B16F8D"/>
    <w:pPr>
      <w:numPr>
        <w:ilvl w:val="4"/>
        <w:numId w:val="4"/>
      </w:numPr>
      <w:spacing w:before="240" w:after="60"/>
      <w:outlineLvl w:val="4"/>
    </w:pPr>
    <w:rPr>
      <w:szCs w:val="22"/>
    </w:rPr>
  </w:style>
  <w:style w:type="paragraph" w:styleId="Heading6">
    <w:name w:val="heading 6"/>
    <w:basedOn w:val="Normal"/>
    <w:next w:val="Normal"/>
    <w:link w:val="Heading6Char"/>
    <w:qFormat/>
    <w:rsid w:val="00B16F8D"/>
    <w:pPr>
      <w:spacing w:before="240" w:after="60"/>
      <w:outlineLvl w:val="5"/>
    </w:pPr>
    <w:rPr>
      <w:i/>
      <w:iCs/>
      <w:szCs w:val="22"/>
    </w:rPr>
  </w:style>
  <w:style w:type="paragraph" w:styleId="Heading7">
    <w:name w:val="heading 7"/>
    <w:basedOn w:val="Normal"/>
    <w:next w:val="Normal"/>
    <w:link w:val="Heading7Char"/>
    <w:qFormat/>
    <w:rsid w:val="00B16F8D"/>
    <w:pPr>
      <w:spacing w:before="240" w:after="60"/>
      <w:outlineLvl w:val="6"/>
    </w:pPr>
    <w:rPr>
      <w:rFonts w:ascii="Arial" w:hAnsi="Arial" w:cs="Arial"/>
      <w:sz w:val="20"/>
    </w:rPr>
  </w:style>
  <w:style w:type="paragraph" w:styleId="Heading8">
    <w:name w:val="heading 8"/>
    <w:basedOn w:val="Normal"/>
    <w:next w:val="Normal"/>
    <w:link w:val="Heading8Char"/>
    <w:qFormat/>
    <w:rsid w:val="00B16F8D"/>
    <w:pPr>
      <w:keepNext/>
      <w:widowControl w:val="0"/>
      <w:jc w:val="center"/>
      <w:outlineLvl w:val="7"/>
    </w:pPr>
    <w:rPr>
      <w:rFonts w:ascii="Arial" w:hAnsi="Arial" w:cs="Arial"/>
      <w:b/>
      <w:bCs/>
      <w:szCs w:val="22"/>
      <w:u w:val="single"/>
    </w:rPr>
  </w:style>
  <w:style w:type="paragraph" w:styleId="Heading9">
    <w:name w:val="heading 9"/>
    <w:basedOn w:val="Normal"/>
    <w:next w:val="Normal"/>
    <w:link w:val="Heading9Char"/>
    <w:qFormat/>
    <w:rsid w:val="00B16F8D"/>
    <w:pPr>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16F8D"/>
    <w:rPr>
      <w:rFonts w:ascii="Times New Roman Gras" w:eastAsia="Times New Roman" w:hAnsi="Times New Roman Gras" w:cs="Times New Roman"/>
      <w:caps/>
      <w:noProof/>
      <w:lang w:eastAsia="fr-FR"/>
    </w:rPr>
  </w:style>
  <w:style w:type="character" w:customStyle="1" w:styleId="Heading2Char">
    <w:name w:val="Heading 2 Char"/>
    <w:basedOn w:val="DefaultParagraphFont"/>
    <w:link w:val="Heading2"/>
    <w:rsid w:val="00B16F8D"/>
    <w:rPr>
      <w:rFonts w:ascii="Times New Roman" w:eastAsia="Times New Roman" w:hAnsi="Times New Roman" w:cs="Times New Roman"/>
      <w:color w:val="000000"/>
      <w:szCs w:val="20"/>
      <w:lang w:val="en-GB" w:eastAsia="fr-FR"/>
    </w:rPr>
  </w:style>
  <w:style w:type="character" w:customStyle="1" w:styleId="Heading3Char">
    <w:name w:val="Heading 3 Char"/>
    <w:basedOn w:val="DefaultParagraphFont"/>
    <w:link w:val="Heading3"/>
    <w:rsid w:val="00B16F8D"/>
    <w:rPr>
      <w:rFonts w:ascii="Haettenschweiler" w:eastAsia="Times New Roman" w:hAnsi="Haettenschweiler" w:cs="Times New Roman"/>
      <w:b/>
      <w:bCs/>
      <w:sz w:val="30"/>
      <w:szCs w:val="30"/>
      <w:lang w:val="en-GB" w:eastAsia="fr-FR"/>
    </w:rPr>
  </w:style>
  <w:style w:type="character" w:customStyle="1" w:styleId="Heading4Char">
    <w:name w:val="Heading 4 Char"/>
    <w:basedOn w:val="DefaultParagraphFont"/>
    <w:link w:val="Heading4"/>
    <w:rsid w:val="00B16F8D"/>
    <w:rPr>
      <w:rFonts w:ascii="Arial" w:eastAsia="Times New Roman" w:hAnsi="Arial" w:cs="Arial"/>
      <w:b/>
      <w:bCs/>
      <w:szCs w:val="20"/>
      <w:lang w:val="en-GB" w:eastAsia="fr-FR"/>
    </w:rPr>
  </w:style>
  <w:style w:type="character" w:customStyle="1" w:styleId="Heading5Char">
    <w:name w:val="Heading 5 Char"/>
    <w:basedOn w:val="DefaultParagraphFont"/>
    <w:link w:val="Heading5"/>
    <w:rsid w:val="00B16F8D"/>
    <w:rPr>
      <w:rFonts w:ascii="Times New Roman" w:eastAsia="Times New Roman" w:hAnsi="Times New Roman" w:cs="Times New Roman"/>
      <w:lang w:val="en-GB" w:eastAsia="fr-FR"/>
    </w:rPr>
  </w:style>
  <w:style w:type="character" w:customStyle="1" w:styleId="Heading6Char">
    <w:name w:val="Heading 6 Char"/>
    <w:basedOn w:val="DefaultParagraphFont"/>
    <w:link w:val="Heading6"/>
    <w:rsid w:val="00B16F8D"/>
    <w:rPr>
      <w:rFonts w:ascii="Times New Roman" w:eastAsia="Times New Roman" w:hAnsi="Times New Roman" w:cs="Times New Roman"/>
      <w:i/>
      <w:iCs/>
      <w:lang w:val="en-GB" w:eastAsia="fr-FR"/>
    </w:rPr>
  </w:style>
  <w:style w:type="character" w:customStyle="1" w:styleId="Heading7Char">
    <w:name w:val="Heading 7 Char"/>
    <w:basedOn w:val="DefaultParagraphFont"/>
    <w:link w:val="Heading7"/>
    <w:rsid w:val="00B16F8D"/>
    <w:rPr>
      <w:rFonts w:ascii="Arial" w:eastAsia="Times New Roman" w:hAnsi="Arial" w:cs="Arial"/>
      <w:sz w:val="20"/>
      <w:szCs w:val="20"/>
      <w:lang w:val="en-GB" w:eastAsia="fr-FR"/>
    </w:rPr>
  </w:style>
  <w:style w:type="character" w:customStyle="1" w:styleId="Heading8Char">
    <w:name w:val="Heading 8 Char"/>
    <w:basedOn w:val="DefaultParagraphFont"/>
    <w:link w:val="Heading8"/>
    <w:rsid w:val="00B16F8D"/>
    <w:rPr>
      <w:rFonts w:ascii="Arial" w:eastAsia="Times New Roman" w:hAnsi="Arial" w:cs="Arial"/>
      <w:b/>
      <w:bCs/>
      <w:u w:val="single"/>
      <w:lang w:val="en-GB" w:eastAsia="fr-FR"/>
    </w:rPr>
  </w:style>
  <w:style w:type="character" w:customStyle="1" w:styleId="Heading9Char">
    <w:name w:val="Heading 9 Char"/>
    <w:basedOn w:val="DefaultParagraphFont"/>
    <w:link w:val="Heading9"/>
    <w:rsid w:val="00B16F8D"/>
    <w:rPr>
      <w:rFonts w:ascii="Arial" w:eastAsia="Times New Roman" w:hAnsi="Arial" w:cs="Arial"/>
      <w:b/>
      <w:bCs/>
      <w:i/>
      <w:iCs/>
      <w:sz w:val="18"/>
      <w:szCs w:val="18"/>
      <w:lang w:val="en-GB" w:eastAsia="fr-FR"/>
    </w:rPr>
  </w:style>
  <w:style w:type="paragraph" w:customStyle="1" w:styleId="DefaultText">
    <w:name w:val="Default Text"/>
    <w:basedOn w:val="Normal"/>
    <w:rsid w:val="00B16F8D"/>
    <w:pPr>
      <w:overflowPunct w:val="0"/>
      <w:autoSpaceDE w:val="0"/>
      <w:autoSpaceDN w:val="0"/>
      <w:adjustRightInd w:val="0"/>
      <w:textAlignment w:val="baseline"/>
    </w:pPr>
  </w:style>
  <w:style w:type="paragraph" w:customStyle="1" w:styleId="BodyTextIndent1">
    <w:name w:val="Body Text Indent1"/>
    <w:basedOn w:val="Normal"/>
    <w:link w:val="RetraitcorpsdetexteCar"/>
    <w:rsid w:val="00B16F8D"/>
    <w:pPr>
      <w:ind w:firstLine="720"/>
    </w:pPr>
    <w:rPr>
      <w:rFonts w:ascii="Arial Narrow" w:hAnsi="Arial Narrow"/>
      <w:color w:val="000000"/>
    </w:rPr>
  </w:style>
  <w:style w:type="character" w:customStyle="1" w:styleId="RetraitcorpsdetexteCar">
    <w:name w:val="Retrait corps de texte Car"/>
    <w:link w:val="BodyTextIndent1"/>
    <w:rsid w:val="00B16F8D"/>
    <w:rPr>
      <w:rFonts w:ascii="Arial Narrow" w:eastAsia="Times New Roman" w:hAnsi="Arial Narrow" w:cs="Times New Roman"/>
      <w:color w:val="000000"/>
      <w:szCs w:val="20"/>
      <w:lang w:val="en-GB" w:eastAsia="fr-FR"/>
    </w:rPr>
  </w:style>
  <w:style w:type="paragraph" w:styleId="BodyTextIndent2">
    <w:name w:val="Body Text Indent 2"/>
    <w:basedOn w:val="Normal"/>
    <w:link w:val="BodyTextIndent2Char"/>
    <w:rsid w:val="00B16F8D"/>
    <w:pPr>
      <w:ind w:firstLine="708"/>
    </w:pPr>
    <w:rPr>
      <w:rFonts w:ascii="Arial Narrow" w:hAnsi="Arial Narrow"/>
      <w:color w:val="000000"/>
    </w:rPr>
  </w:style>
  <w:style w:type="character" w:customStyle="1" w:styleId="BodyTextIndent2Char">
    <w:name w:val="Body Text Indent 2 Char"/>
    <w:basedOn w:val="DefaultParagraphFont"/>
    <w:link w:val="BodyTextIndent2"/>
    <w:rsid w:val="00B16F8D"/>
    <w:rPr>
      <w:rFonts w:ascii="Arial Narrow" w:eastAsia="Times New Roman" w:hAnsi="Arial Narrow" w:cs="Times New Roman"/>
      <w:color w:val="000000"/>
      <w:szCs w:val="20"/>
      <w:lang w:val="en-GB" w:eastAsia="fr-FR"/>
    </w:rPr>
  </w:style>
  <w:style w:type="paragraph" w:styleId="BodyText">
    <w:name w:val="Body Text"/>
    <w:link w:val="BodyTextChar"/>
    <w:rsid w:val="00B16F8D"/>
    <w:pPr>
      <w:spacing w:after="240" w:line="240" w:lineRule="auto"/>
      <w:jc w:val="both"/>
    </w:pPr>
    <w:rPr>
      <w:rFonts w:ascii="Times New Roman" w:eastAsia="Times New Roman" w:hAnsi="Times New Roman" w:cs="Arial"/>
      <w:bCs/>
      <w:szCs w:val="20"/>
      <w:lang w:val="en-GB" w:eastAsia="fr-FR"/>
    </w:rPr>
  </w:style>
  <w:style w:type="character" w:customStyle="1" w:styleId="BodyTextChar">
    <w:name w:val="Body Text Char"/>
    <w:basedOn w:val="DefaultParagraphFont"/>
    <w:link w:val="BodyText"/>
    <w:rsid w:val="00B16F8D"/>
    <w:rPr>
      <w:rFonts w:ascii="Times New Roman" w:eastAsia="Times New Roman" w:hAnsi="Times New Roman" w:cs="Arial"/>
      <w:bCs/>
      <w:szCs w:val="20"/>
      <w:lang w:val="en-GB" w:eastAsia="fr-FR"/>
    </w:rPr>
  </w:style>
  <w:style w:type="paragraph" w:styleId="Title">
    <w:name w:val="Title"/>
    <w:basedOn w:val="Normal"/>
    <w:link w:val="TitleChar"/>
    <w:qFormat/>
    <w:rsid w:val="00B16F8D"/>
    <w:pPr>
      <w:ind w:left="851" w:hanging="851"/>
      <w:jc w:val="center"/>
      <w:outlineLvl w:val="0"/>
    </w:pPr>
    <w:rPr>
      <w:rFonts w:ascii="Arial" w:hAnsi="Arial" w:cs="Arial"/>
      <w:b/>
      <w:bCs/>
      <w:u w:val="single"/>
    </w:rPr>
  </w:style>
  <w:style w:type="character" w:customStyle="1" w:styleId="TitleChar">
    <w:name w:val="Title Char"/>
    <w:basedOn w:val="DefaultParagraphFont"/>
    <w:link w:val="Title"/>
    <w:rsid w:val="00B16F8D"/>
    <w:rPr>
      <w:rFonts w:ascii="Arial" w:eastAsia="Times New Roman" w:hAnsi="Arial" w:cs="Arial"/>
      <w:b/>
      <w:bCs/>
      <w:szCs w:val="20"/>
      <w:u w:val="single"/>
      <w:lang w:val="en-GB" w:eastAsia="fr-FR"/>
    </w:rPr>
  </w:style>
  <w:style w:type="paragraph" w:styleId="Footer">
    <w:name w:val="footer"/>
    <w:basedOn w:val="Normal"/>
    <w:link w:val="FooterChar"/>
    <w:uiPriority w:val="99"/>
    <w:rsid w:val="00B16F8D"/>
    <w:pPr>
      <w:tabs>
        <w:tab w:val="center" w:pos="4536"/>
        <w:tab w:val="right" w:pos="9072"/>
      </w:tabs>
    </w:pPr>
  </w:style>
  <w:style w:type="character" w:customStyle="1" w:styleId="FooterChar">
    <w:name w:val="Footer Char"/>
    <w:basedOn w:val="DefaultParagraphFont"/>
    <w:link w:val="Footer"/>
    <w:uiPriority w:val="99"/>
    <w:rsid w:val="00B16F8D"/>
    <w:rPr>
      <w:rFonts w:ascii="Times New Roman" w:eastAsia="Times New Roman" w:hAnsi="Times New Roman" w:cs="Times New Roman"/>
      <w:szCs w:val="20"/>
      <w:lang w:val="en-GB" w:eastAsia="fr-FR"/>
    </w:rPr>
  </w:style>
  <w:style w:type="character" w:styleId="PageNumber">
    <w:name w:val="page number"/>
    <w:basedOn w:val="DefaultParagraphFont"/>
    <w:rsid w:val="00B16F8D"/>
  </w:style>
  <w:style w:type="paragraph" w:styleId="Header">
    <w:name w:val="header"/>
    <w:basedOn w:val="Normal"/>
    <w:link w:val="HeaderChar"/>
    <w:uiPriority w:val="99"/>
    <w:rsid w:val="00B16F8D"/>
    <w:pPr>
      <w:tabs>
        <w:tab w:val="center" w:pos="4536"/>
        <w:tab w:val="right" w:pos="9072"/>
      </w:tabs>
    </w:pPr>
  </w:style>
  <w:style w:type="character" w:customStyle="1" w:styleId="HeaderChar">
    <w:name w:val="Header Char"/>
    <w:basedOn w:val="DefaultParagraphFont"/>
    <w:link w:val="Header"/>
    <w:uiPriority w:val="99"/>
    <w:rsid w:val="00B16F8D"/>
    <w:rPr>
      <w:rFonts w:ascii="Times New Roman" w:eastAsia="Times New Roman" w:hAnsi="Times New Roman" w:cs="Times New Roman"/>
      <w:szCs w:val="20"/>
      <w:lang w:val="en-GB" w:eastAsia="fr-FR"/>
    </w:rPr>
  </w:style>
  <w:style w:type="paragraph" w:customStyle="1" w:styleId="PARTHEADING">
    <w:name w:val="PART HEADING"/>
    <w:basedOn w:val="Normal"/>
    <w:next w:val="Normal"/>
    <w:rsid w:val="00B16F8D"/>
    <w:pPr>
      <w:keepNext/>
      <w:keepLines/>
      <w:numPr>
        <w:numId w:val="1"/>
      </w:numPr>
      <w:spacing w:after="200" w:line="288" w:lineRule="auto"/>
      <w:jc w:val="center"/>
    </w:pPr>
    <w:rPr>
      <w:rFonts w:ascii="CG Times" w:hAnsi="CG Times"/>
      <w:b/>
      <w:bCs/>
      <w:color w:val="000000"/>
      <w:szCs w:val="22"/>
    </w:rPr>
  </w:style>
  <w:style w:type="paragraph" w:styleId="BodyText2">
    <w:name w:val="Body Text 2"/>
    <w:link w:val="BodyText2Char"/>
    <w:rsid w:val="00B16F8D"/>
    <w:pPr>
      <w:spacing w:after="240" w:line="240" w:lineRule="auto"/>
      <w:ind w:left="1440"/>
      <w:jc w:val="both"/>
      <w:outlineLvl w:val="0"/>
    </w:pPr>
    <w:rPr>
      <w:rFonts w:ascii="Times New Roman" w:eastAsia="Times New Roman" w:hAnsi="Times New Roman" w:cs="Times New Roman"/>
      <w:color w:val="000000"/>
      <w:lang w:val="en-GB" w:eastAsia="fr-FR"/>
    </w:rPr>
  </w:style>
  <w:style w:type="character" w:customStyle="1" w:styleId="BodyText2Char">
    <w:name w:val="Body Text 2 Char"/>
    <w:basedOn w:val="DefaultParagraphFont"/>
    <w:link w:val="BodyText2"/>
    <w:rsid w:val="00B16F8D"/>
    <w:rPr>
      <w:rFonts w:ascii="Times New Roman" w:eastAsia="Times New Roman" w:hAnsi="Times New Roman" w:cs="Times New Roman"/>
      <w:color w:val="000000"/>
      <w:lang w:val="en-GB" w:eastAsia="fr-FR"/>
    </w:rPr>
  </w:style>
  <w:style w:type="paragraph" w:styleId="BodyTextIndent3">
    <w:name w:val="Body Text Indent 3"/>
    <w:basedOn w:val="Normal"/>
    <w:link w:val="BodyTextIndent3Char"/>
    <w:rsid w:val="00B16F8D"/>
    <w:pPr>
      <w:spacing w:before="120" w:after="120" w:line="288" w:lineRule="auto"/>
      <w:ind w:left="902"/>
    </w:pPr>
    <w:rPr>
      <w:color w:val="000000"/>
      <w:szCs w:val="22"/>
    </w:rPr>
  </w:style>
  <w:style w:type="character" w:customStyle="1" w:styleId="BodyTextIndent3Char">
    <w:name w:val="Body Text Indent 3 Char"/>
    <w:basedOn w:val="DefaultParagraphFont"/>
    <w:link w:val="BodyTextIndent3"/>
    <w:rsid w:val="00B16F8D"/>
    <w:rPr>
      <w:rFonts w:ascii="Times New Roman" w:eastAsia="Times New Roman" w:hAnsi="Times New Roman" w:cs="Times New Roman"/>
      <w:color w:val="000000"/>
      <w:lang w:val="en-GB" w:eastAsia="fr-FR"/>
    </w:rPr>
  </w:style>
  <w:style w:type="paragraph" w:styleId="TOC1">
    <w:name w:val="toc 1"/>
    <w:basedOn w:val="Normal"/>
    <w:next w:val="Normal"/>
    <w:autoRedefine/>
    <w:uiPriority w:val="39"/>
    <w:rsid w:val="00B16F8D"/>
    <w:pPr>
      <w:keepNext/>
      <w:tabs>
        <w:tab w:val="left" w:pos="720"/>
        <w:tab w:val="right" w:leader="dot" w:pos="9058"/>
      </w:tabs>
      <w:spacing w:before="120" w:after="120"/>
    </w:pPr>
    <w:rPr>
      <w:b/>
      <w:caps/>
      <w:sz w:val="20"/>
    </w:rPr>
  </w:style>
  <w:style w:type="paragraph" w:customStyle="1" w:styleId="ListLegal3">
    <w:name w:val="List Legal 3"/>
    <w:basedOn w:val="Normal"/>
    <w:rsid w:val="00B16F8D"/>
    <w:pPr>
      <w:numPr>
        <w:numId w:val="2"/>
      </w:numPr>
      <w:spacing w:after="240"/>
      <w:ind w:left="619" w:hanging="619"/>
    </w:pPr>
  </w:style>
  <w:style w:type="paragraph" w:styleId="FootnoteText">
    <w:name w:val="footnote text"/>
    <w:aliases w:val="ADB,FOOTNOTES,Footnote Text Char,Footnote Text Char Char,Footnote Text Char Char Char,Footnote Text Char1 Char Char,Footnote Text Char2 Char,Footnote Text Char2 Char Char Char,Fußnote,f,fn,footnote text,ft,pod carou,single space,12pt"/>
    <w:basedOn w:val="Normal"/>
    <w:link w:val="FootnoteTextChar1"/>
    <w:uiPriority w:val="99"/>
    <w:rsid w:val="00B16F8D"/>
    <w:rPr>
      <w:sz w:val="20"/>
    </w:rPr>
  </w:style>
  <w:style w:type="character" w:customStyle="1" w:styleId="FootnoteTextChar1">
    <w:name w:val="Footnote Text Char1"/>
    <w:aliases w:val="ADB Char,FOOTNOTES Char,Footnote Text Char Char1,Footnote Text Char Char Char1,Footnote Text Char Char Char Char,Footnote Text Char1 Char Char Char,Footnote Text Char2 Char Char,Footnote Text Char2 Char Char Char Char,Fußnote Char"/>
    <w:basedOn w:val="DefaultParagraphFont"/>
    <w:link w:val="FootnoteText"/>
    <w:uiPriority w:val="99"/>
    <w:rsid w:val="00B16F8D"/>
    <w:rPr>
      <w:rFonts w:ascii="Times New Roman" w:eastAsia="Times New Roman" w:hAnsi="Times New Roman" w:cs="Times New Roman"/>
      <w:sz w:val="20"/>
      <w:szCs w:val="20"/>
      <w:lang w:val="en-GB" w:eastAsia="fr-FR"/>
    </w:rPr>
  </w:style>
  <w:style w:type="character" w:styleId="FootnoteReference">
    <w:name w:val="footnote reference"/>
    <w:aliases w:val=" BVI fnr,(NECG) Footnote Reference,16 Point,BVI fnr,Superscript 6 Point,ftref,Footnote number,Comment Text Char1,Footnote Reference1"/>
    <w:rsid w:val="00B16F8D"/>
    <w:rPr>
      <w:vertAlign w:val="superscript"/>
    </w:rPr>
  </w:style>
  <w:style w:type="paragraph" w:styleId="BodyText3">
    <w:name w:val="Body Text 3"/>
    <w:link w:val="BodyText3Char"/>
    <w:rsid w:val="00B16F8D"/>
    <w:pPr>
      <w:spacing w:after="240" w:line="240" w:lineRule="auto"/>
      <w:ind w:left="1440"/>
      <w:jc w:val="both"/>
    </w:pPr>
    <w:rPr>
      <w:rFonts w:ascii="Times New Roman" w:eastAsia="Times New Roman" w:hAnsi="Times New Roman" w:cs="Times New Roman"/>
      <w:lang w:val="en-GB" w:eastAsia="fr-FR"/>
    </w:rPr>
  </w:style>
  <w:style w:type="character" w:customStyle="1" w:styleId="BodyText3Char">
    <w:name w:val="Body Text 3 Char"/>
    <w:basedOn w:val="DefaultParagraphFont"/>
    <w:link w:val="BodyText3"/>
    <w:rsid w:val="00B16F8D"/>
    <w:rPr>
      <w:rFonts w:ascii="Times New Roman" w:eastAsia="Times New Roman" w:hAnsi="Times New Roman" w:cs="Times New Roman"/>
      <w:lang w:val="en-GB" w:eastAsia="fr-FR"/>
    </w:rPr>
  </w:style>
  <w:style w:type="paragraph" w:customStyle="1" w:styleId="BodyText1">
    <w:name w:val="Body Text1"/>
    <w:basedOn w:val="Normal"/>
    <w:link w:val="BodyText1Car"/>
    <w:rsid w:val="00B16F8D"/>
    <w:pPr>
      <w:spacing w:after="240"/>
      <w:ind w:left="720"/>
    </w:pPr>
    <w:rPr>
      <w:color w:val="000000"/>
      <w:szCs w:val="22"/>
    </w:rPr>
  </w:style>
  <w:style w:type="character" w:customStyle="1" w:styleId="BodyText1Car">
    <w:name w:val="Body Text1 Car"/>
    <w:link w:val="BodyText1"/>
    <w:rsid w:val="00B16F8D"/>
    <w:rPr>
      <w:rFonts w:ascii="Times New Roman" w:eastAsia="Times New Roman" w:hAnsi="Times New Roman" w:cs="Times New Roman"/>
      <w:color w:val="000000"/>
      <w:lang w:val="en-GB" w:eastAsia="fr-FR"/>
    </w:rPr>
  </w:style>
  <w:style w:type="paragraph" w:customStyle="1" w:styleId="ListLegal1">
    <w:name w:val="List Legal 1"/>
    <w:basedOn w:val="Normal"/>
    <w:next w:val="Normal"/>
    <w:rsid w:val="00B16F8D"/>
    <w:pPr>
      <w:tabs>
        <w:tab w:val="left" w:pos="22"/>
        <w:tab w:val="num" w:pos="570"/>
      </w:tabs>
      <w:spacing w:after="240"/>
      <w:ind w:left="576" w:hanging="576"/>
    </w:pPr>
    <w:rPr>
      <w:color w:val="000000"/>
      <w:szCs w:val="22"/>
    </w:rPr>
  </w:style>
  <w:style w:type="paragraph" w:customStyle="1" w:styleId="ListLegal2">
    <w:name w:val="List Legal 2"/>
    <w:basedOn w:val="Normal"/>
    <w:next w:val="Normal"/>
    <w:rsid w:val="00B16F8D"/>
    <w:pPr>
      <w:tabs>
        <w:tab w:val="num" w:pos="570"/>
        <w:tab w:val="num" w:pos="1418"/>
      </w:tabs>
      <w:spacing w:after="240"/>
      <w:ind w:left="1412" w:hanging="850"/>
    </w:pPr>
    <w:rPr>
      <w:rFonts w:ascii="CG Times" w:hAnsi="CG Times"/>
      <w:color w:val="000000"/>
      <w:szCs w:val="22"/>
    </w:rPr>
  </w:style>
  <w:style w:type="paragraph" w:customStyle="1" w:styleId="ListRoman1">
    <w:name w:val="List Roman 1"/>
    <w:basedOn w:val="Normal"/>
    <w:next w:val="Normal"/>
    <w:rsid w:val="00B16F8D"/>
    <w:pPr>
      <w:tabs>
        <w:tab w:val="left" w:pos="22"/>
        <w:tab w:val="num" w:pos="360"/>
      </w:tabs>
      <w:spacing w:after="240"/>
      <w:ind w:left="360" w:hanging="360"/>
    </w:pPr>
    <w:rPr>
      <w:rFonts w:ascii="CG Times" w:hAnsi="CG Times"/>
      <w:color w:val="000000"/>
      <w:szCs w:val="22"/>
    </w:rPr>
  </w:style>
  <w:style w:type="paragraph" w:customStyle="1" w:styleId="ListRoman2">
    <w:name w:val="List Roman 2"/>
    <w:basedOn w:val="Normal"/>
    <w:next w:val="Normal"/>
    <w:rsid w:val="00B16F8D"/>
    <w:pPr>
      <w:tabs>
        <w:tab w:val="left" w:pos="50"/>
        <w:tab w:val="num" w:pos="570"/>
      </w:tabs>
      <w:spacing w:after="240"/>
      <w:ind w:left="576" w:hanging="576"/>
    </w:pPr>
    <w:rPr>
      <w:rFonts w:ascii="CG Times" w:hAnsi="CG Times"/>
      <w:color w:val="000000"/>
      <w:szCs w:val="22"/>
    </w:rPr>
  </w:style>
  <w:style w:type="paragraph" w:customStyle="1" w:styleId="ListRoman3">
    <w:name w:val="List Roman 3"/>
    <w:basedOn w:val="Normal"/>
    <w:next w:val="Normal"/>
    <w:rsid w:val="00B16F8D"/>
    <w:pPr>
      <w:tabs>
        <w:tab w:val="left" w:pos="68"/>
        <w:tab w:val="num" w:pos="1137"/>
      </w:tabs>
      <w:spacing w:after="240"/>
      <w:ind w:left="1138" w:hanging="576"/>
    </w:pPr>
    <w:rPr>
      <w:rFonts w:ascii="CG Times" w:hAnsi="CG Times"/>
      <w:color w:val="000000"/>
      <w:szCs w:val="22"/>
    </w:rPr>
  </w:style>
  <w:style w:type="paragraph" w:customStyle="1" w:styleId="Normal-NoIndent">
    <w:name w:val="Normal - No Indent"/>
    <w:basedOn w:val="Normal"/>
    <w:rsid w:val="00B16F8D"/>
    <w:pPr>
      <w:ind w:left="851" w:hanging="851"/>
    </w:pPr>
    <w:rPr>
      <w:rFonts w:ascii="Arial" w:hAnsi="Arial" w:cs="Arial"/>
      <w:color w:val="000000"/>
    </w:rPr>
  </w:style>
  <w:style w:type="paragraph" w:customStyle="1" w:styleId="Tablesdesmatires">
    <w:name w:val="Tables des matières"/>
    <w:basedOn w:val="Normal"/>
    <w:rsid w:val="00B16F8D"/>
    <w:pPr>
      <w:spacing w:after="200" w:line="288" w:lineRule="auto"/>
    </w:pPr>
    <w:rPr>
      <w:rFonts w:ascii="CG Times" w:hAnsi="CG Times"/>
      <w:szCs w:val="22"/>
    </w:rPr>
  </w:style>
  <w:style w:type="paragraph" w:customStyle="1" w:styleId="ListAlpha1">
    <w:name w:val="List Alpha 1"/>
    <w:basedOn w:val="Normal"/>
    <w:next w:val="Normal"/>
    <w:rsid w:val="00B16F8D"/>
    <w:pPr>
      <w:numPr>
        <w:numId w:val="5"/>
      </w:numPr>
      <w:tabs>
        <w:tab w:val="left" w:pos="22"/>
      </w:tabs>
      <w:spacing w:after="240"/>
    </w:pPr>
    <w:rPr>
      <w:rFonts w:ascii="CG Times" w:hAnsi="CG Times"/>
      <w:color w:val="000000"/>
      <w:szCs w:val="22"/>
    </w:rPr>
  </w:style>
  <w:style w:type="paragraph" w:customStyle="1" w:styleId="ListAlpha2">
    <w:name w:val="List Alpha 2"/>
    <w:basedOn w:val="Normal"/>
    <w:next w:val="Normal"/>
    <w:rsid w:val="00B16F8D"/>
    <w:pPr>
      <w:numPr>
        <w:ilvl w:val="1"/>
        <w:numId w:val="5"/>
      </w:numPr>
      <w:tabs>
        <w:tab w:val="left" w:pos="50"/>
      </w:tabs>
      <w:spacing w:after="240"/>
    </w:pPr>
    <w:rPr>
      <w:rFonts w:ascii="CG Times" w:hAnsi="CG Times"/>
      <w:color w:val="000000"/>
      <w:szCs w:val="22"/>
    </w:rPr>
  </w:style>
  <w:style w:type="paragraph" w:customStyle="1" w:styleId="ListAlpha3">
    <w:name w:val="List Alpha 3"/>
    <w:basedOn w:val="Normal"/>
    <w:next w:val="Normal"/>
    <w:rsid w:val="00B16F8D"/>
    <w:pPr>
      <w:numPr>
        <w:ilvl w:val="2"/>
        <w:numId w:val="5"/>
      </w:numPr>
      <w:tabs>
        <w:tab w:val="left" w:pos="68"/>
      </w:tabs>
      <w:spacing w:after="240"/>
    </w:pPr>
    <w:rPr>
      <w:color w:val="000000"/>
      <w:szCs w:val="22"/>
    </w:rPr>
  </w:style>
  <w:style w:type="paragraph" w:customStyle="1" w:styleId="ListALPHACAPS1">
    <w:name w:val="List ALPHA CAPS 1"/>
    <w:basedOn w:val="Normal"/>
    <w:next w:val="Normal"/>
    <w:rsid w:val="00B16F8D"/>
    <w:pPr>
      <w:tabs>
        <w:tab w:val="left" w:pos="22"/>
        <w:tab w:val="num" w:pos="624"/>
      </w:tabs>
      <w:spacing w:after="240"/>
      <w:ind w:left="619" w:hanging="619"/>
    </w:pPr>
    <w:rPr>
      <w:rFonts w:ascii="CG Times" w:hAnsi="CG Times"/>
      <w:color w:val="000000"/>
      <w:szCs w:val="22"/>
    </w:rPr>
  </w:style>
  <w:style w:type="paragraph" w:customStyle="1" w:styleId="LISTALPHACAPS2">
    <w:name w:val="LIST ALPHA CAPS 2"/>
    <w:basedOn w:val="Normal"/>
    <w:next w:val="Normal"/>
    <w:rsid w:val="00B16F8D"/>
    <w:pPr>
      <w:tabs>
        <w:tab w:val="left" w:pos="50"/>
        <w:tab w:val="num" w:pos="1748"/>
      </w:tabs>
      <w:spacing w:after="240"/>
      <w:ind w:left="1742" w:hanging="504"/>
    </w:pPr>
    <w:rPr>
      <w:rFonts w:ascii="CG Times" w:hAnsi="CG Times"/>
      <w:color w:val="000000"/>
      <w:szCs w:val="22"/>
    </w:rPr>
  </w:style>
  <w:style w:type="paragraph" w:customStyle="1" w:styleId="LISTALPHACAPS3">
    <w:name w:val="LIST ALPHA CAPS 3"/>
    <w:basedOn w:val="Normal"/>
    <w:next w:val="Normal"/>
    <w:rsid w:val="00B16F8D"/>
    <w:pPr>
      <w:tabs>
        <w:tab w:val="left" w:pos="68"/>
        <w:tab w:val="num" w:pos="1928"/>
      </w:tabs>
      <w:spacing w:after="240"/>
      <w:ind w:left="1915" w:hanging="504"/>
    </w:pPr>
    <w:rPr>
      <w:rFonts w:ascii="CG Times" w:hAnsi="CG Times"/>
      <w:color w:val="000000"/>
      <w:szCs w:val="22"/>
    </w:rPr>
  </w:style>
  <w:style w:type="paragraph" w:customStyle="1" w:styleId="NotesAlpha">
    <w:name w:val="Notes Alpha"/>
    <w:basedOn w:val="Normal"/>
    <w:rsid w:val="00B16F8D"/>
    <w:pPr>
      <w:tabs>
        <w:tab w:val="num" w:pos="624"/>
      </w:tabs>
      <w:spacing w:after="100" w:line="288" w:lineRule="auto"/>
      <w:ind w:left="624" w:hanging="624"/>
    </w:pPr>
    <w:rPr>
      <w:rFonts w:ascii="CG Times" w:hAnsi="CG Times"/>
      <w:color w:val="000000"/>
      <w:szCs w:val="22"/>
    </w:rPr>
  </w:style>
  <w:style w:type="paragraph" w:customStyle="1" w:styleId="NotesArabic">
    <w:name w:val="Notes Arabic"/>
    <w:basedOn w:val="Normal"/>
    <w:rsid w:val="00B16F8D"/>
    <w:pPr>
      <w:tabs>
        <w:tab w:val="num" w:pos="624"/>
      </w:tabs>
      <w:spacing w:after="100" w:line="288" w:lineRule="auto"/>
      <w:ind w:left="624" w:hanging="624"/>
    </w:pPr>
    <w:rPr>
      <w:rFonts w:ascii="CG Times" w:hAnsi="CG Times"/>
      <w:color w:val="000000"/>
      <w:szCs w:val="22"/>
    </w:rPr>
  </w:style>
  <w:style w:type="paragraph" w:customStyle="1" w:styleId="NotesRoman">
    <w:name w:val="Notes Roman"/>
    <w:basedOn w:val="Normal"/>
    <w:rsid w:val="00B16F8D"/>
    <w:pPr>
      <w:tabs>
        <w:tab w:val="left" w:pos="624"/>
      </w:tabs>
      <w:spacing w:after="100" w:line="288" w:lineRule="auto"/>
      <w:ind w:left="624" w:hanging="624"/>
    </w:pPr>
    <w:rPr>
      <w:rFonts w:ascii="CG Times" w:hAnsi="CG Times"/>
      <w:color w:val="000000"/>
      <w:szCs w:val="22"/>
    </w:rPr>
  </w:style>
  <w:style w:type="paragraph" w:customStyle="1" w:styleId="SCHEDULE">
    <w:name w:val="SCHEDULE"/>
    <w:basedOn w:val="Normal"/>
    <w:next w:val="Normal"/>
    <w:rsid w:val="00B16F8D"/>
    <w:pPr>
      <w:spacing w:after="200" w:line="288" w:lineRule="auto"/>
      <w:ind w:firstLine="288"/>
      <w:jc w:val="center"/>
    </w:pPr>
    <w:rPr>
      <w:rFonts w:ascii="CG Times" w:hAnsi="CG Times"/>
      <w:b/>
      <w:bCs/>
      <w:smallCaps/>
      <w:color w:val="000000"/>
      <w:szCs w:val="22"/>
    </w:rPr>
  </w:style>
  <w:style w:type="paragraph" w:customStyle="1" w:styleId="AltAATitre5">
    <w:name w:val="AltAA Titre 5"/>
    <w:basedOn w:val="AATitre5"/>
    <w:qFormat/>
    <w:rsid w:val="00B16F8D"/>
    <w:pPr>
      <w:ind w:left="2131" w:hanging="691"/>
    </w:pPr>
    <w:rPr>
      <w:lang w:val="fr-FR"/>
    </w:rPr>
  </w:style>
  <w:style w:type="paragraph" w:customStyle="1" w:styleId="AATitre5">
    <w:name w:val="AA Titre 5"/>
    <w:basedOn w:val="Normal"/>
    <w:rsid w:val="00B16F8D"/>
    <w:pPr>
      <w:numPr>
        <w:ilvl w:val="4"/>
        <w:numId w:val="17"/>
      </w:numPr>
      <w:spacing w:after="240"/>
      <w:outlineLvl w:val="4"/>
    </w:pPr>
  </w:style>
  <w:style w:type="paragraph" w:styleId="Subtitle">
    <w:name w:val="Subtitle"/>
    <w:basedOn w:val="Normal"/>
    <w:link w:val="SubtitleChar"/>
    <w:qFormat/>
    <w:rsid w:val="00B16F8D"/>
    <w:pPr>
      <w:jc w:val="center"/>
    </w:pPr>
    <w:rPr>
      <w:b/>
      <w:bCs/>
      <w:sz w:val="28"/>
      <w:szCs w:val="28"/>
    </w:rPr>
  </w:style>
  <w:style w:type="character" w:customStyle="1" w:styleId="SubtitleChar">
    <w:name w:val="Subtitle Char"/>
    <w:basedOn w:val="DefaultParagraphFont"/>
    <w:link w:val="Subtitle"/>
    <w:rsid w:val="00B16F8D"/>
    <w:rPr>
      <w:rFonts w:ascii="Times New Roman" w:eastAsia="Times New Roman" w:hAnsi="Times New Roman" w:cs="Times New Roman"/>
      <w:b/>
      <w:bCs/>
      <w:sz w:val="28"/>
      <w:szCs w:val="28"/>
      <w:lang w:val="en-GB" w:eastAsia="fr-FR"/>
    </w:rPr>
  </w:style>
  <w:style w:type="paragraph" w:customStyle="1" w:styleId="LISTALPHACAPS4">
    <w:name w:val="LIST ALPHA CAPS 4"/>
    <w:basedOn w:val="LISTALPHACAPS3"/>
    <w:rsid w:val="00B16F8D"/>
    <w:pPr>
      <w:tabs>
        <w:tab w:val="clear" w:pos="1928"/>
        <w:tab w:val="num" w:pos="2438"/>
      </w:tabs>
      <w:ind w:left="2434"/>
    </w:pPr>
  </w:style>
  <w:style w:type="paragraph" w:customStyle="1" w:styleId="ListArabic1">
    <w:name w:val="List Arabic 1"/>
    <w:basedOn w:val="Normal"/>
    <w:next w:val="Normal"/>
    <w:rsid w:val="00B16F8D"/>
    <w:pPr>
      <w:numPr>
        <w:numId w:val="7"/>
      </w:numPr>
      <w:tabs>
        <w:tab w:val="left" w:pos="22"/>
      </w:tabs>
      <w:spacing w:after="240"/>
    </w:pPr>
  </w:style>
  <w:style w:type="paragraph" w:customStyle="1" w:styleId="ListArabic2">
    <w:name w:val="List Arabic 2"/>
    <w:basedOn w:val="Normal"/>
    <w:next w:val="Normal"/>
    <w:rsid w:val="00B16F8D"/>
    <w:pPr>
      <w:numPr>
        <w:ilvl w:val="1"/>
        <w:numId w:val="7"/>
      </w:numPr>
      <w:spacing w:after="240"/>
    </w:pPr>
  </w:style>
  <w:style w:type="paragraph" w:customStyle="1" w:styleId="ListArabic3">
    <w:name w:val="List Arabic 3"/>
    <w:basedOn w:val="Normal"/>
    <w:next w:val="Normal"/>
    <w:rsid w:val="00B16F8D"/>
    <w:pPr>
      <w:numPr>
        <w:ilvl w:val="2"/>
        <w:numId w:val="7"/>
      </w:numPr>
      <w:tabs>
        <w:tab w:val="left" w:pos="68"/>
      </w:tabs>
      <w:spacing w:after="240"/>
    </w:pPr>
  </w:style>
  <w:style w:type="paragraph" w:customStyle="1" w:styleId="ListArabic4">
    <w:name w:val="List Arabic 4"/>
    <w:basedOn w:val="Normal"/>
    <w:next w:val="Normal"/>
    <w:rsid w:val="00B16F8D"/>
    <w:pPr>
      <w:numPr>
        <w:ilvl w:val="3"/>
        <w:numId w:val="7"/>
      </w:numPr>
      <w:tabs>
        <w:tab w:val="left" w:pos="86"/>
      </w:tabs>
      <w:spacing w:after="240"/>
    </w:pPr>
  </w:style>
  <w:style w:type="paragraph" w:styleId="Caption">
    <w:name w:val="caption"/>
    <w:basedOn w:val="Normal"/>
    <w:next w:val="Normal"/>
    <w:qFormat/>
    <w:rsid w:val="00B16F8D"/>
    <w:pPr>
      <w:spacing w:before="120" w:after="120" w:line="288" w:lineRule="auto"/>
      <w:jc w:val="center"/>
    </w:pPr>
    <w:rPr>
      <w:rFonts w:ascii="CG Times" w:hAnsi="CG Times"/>
      <w:b/>
      <w:color w:val="000000"/>
    </w:rPr>
  </w:style>
  <w:style w:type="paragraph" w:styleId="BodyTextIndent">
    <w:name w:val="Body Text Indent"/>
    <w:basedOn w:val="Normal"/>
    <w:next w:val="BodyTextIndent1"/>
    <w:link w:val="BodyTextIndentChar"/>
    <w:rsid w:val="00B16F8D"/>
    <w:pPr>
      <w:ind w:firstLine="720"/>
    </w:pPr>
    <w:rPr>
      <w:rFonts w:ascii="Arial Narrow" w:hAnsi="Arial Narrow"/>
      <w:color w:val="000000"/>
    </w:rPr>
  </w:style>
  <w:style w:type="character" w:customStyle="1" w:styleId="BodyTextIndentChar">
    <w:name w:val="Body Text Indent Char"/>
    <w:basedOn w:val="DefaultParagraphFont"/>
    <w:link w:val="BodyTextIndent"/>
    <w:rsid w:val="00B16F8D"/>
    <w:rPr>
      <w:rFonts w:ascii="Arial Narrow" w:eastAsia="Times New Roman" w:hAnsi="Arial Narrow" w:cs="Times New Roman"/>
      <w:color w:val="000000"/>
      <w:szCs w:val="20"/>
      <w:lang w:val="en-GB" w:eastAsia="fr-FR"/>
    </w:rPr>
  </w:style>
  <w:style w:type="paragraph" w:styleId="NormalWeb">
    <w:name w:val="Normal (Web)"/>
    <w:basedOn w:val="Normal"/>
    <w:rsid w:val="00B16F8D"/>
    <w:pPr>
      <w:spacing w:before="100" w:beforeAutospacing="1" w:after="100" w:afterAutospacing="1"/>
    </w:pPr>
    <w:rPr>
      <w:sz w:val="24"/>
      <w:szCs w:val="24"/>
    </w:rPr>
  </w:style>
  <w:style w:type="paragraph" w:customStyle="1" w:styleId="AATitre4">
    <w:name w:val="AA Titre 4"/>
    <w:basedOn w:val="Normal"/>
    <w:rsid w:val="00B16F8D"/>
    <w:pPr>
      <w:numPr>
        <w:ilvl w:val="3"/>
        <w:numId w:val="17"/>
      </w:numPr>
      <w:spacing w:after="240"/>
      <w:outlineLvl w:val="3"/>
    </w:pPr>
  </w:style>
  <w:style w:type="paragraph" w:customStyle="1" w:styleId="AATitre1">
    <w:name w:val="AA Titre 1"/>
    <w:basedOn w:val="Normal"/>
    <w:link w:val="AATitre1CarCar"/>
    <w:autoRedefine/>
    <w:rsid w:val="00A32298"/>
    <w:pPr>
      <w:keepNext/>
      <w:numPr>
        <w:numId w:val="17"/>
      </w:numPr>
      <w:suppressAutoHyphens/>
      <w:spacing w:after="240"/>
    </w:pPr>
    <w:rPr>
      <w:bCs/>
      <w:caps/>
      <w:szCs w:val="22"/>
    </w:rPr>
  </w:style>
  <w:style w:type="character" w:customStyle="1" w:styleId="AATitre1CarCar">
    <w:name w:val="AA Titre 1 Car Car"/>
    <w:link w:val="AATitre1"/>
    <w:rsid w:val="00A32298"/>
    <w:rPr>
      <w:rFonts w:ascii="Times New Roman" w:eastAsia="Times New Roman" w:hAnsi="Times New Roman" w:cs="Times New Roman"/>
      <w:bCs/>
      <w:caps/>
      <w:lang w:val="sr-Cyrl-RS" w:eastAsia="fr-FR"/>
    </w:rPr>
  </w:style>
  <w:style w:type="paragraph" w:customStyle="1" w:styleId="AATitre2">
    <w:name w:val="AA Titre 2"/>
    <w:basedOn w:val="Normal"/>
    <w:autoRedefine/>
    <w:rsid w:val="000F181A"/>
    <w:pPr>
      <w:keepNext/>
      <w:numPr>
        <w:ilvl w:val="1"/>
        <w:numId w:val="17"/>
      </w:numPr>
      <w:suppressLineNumbers/>
      <w:suppressAutoHyphens/>
      <w:spacing w:after="240"/>
      <w:outlineLvl w:val="1"/>
    </w:pPr>
    <w:rPr>
      <w:rFonts w:eastAsia="Calibri"/>
      <w:iCs/>
      <w:szCs w:val="22"/>
      <w:u w:val="single"/>
      <w:lang w:eastAsia="en-US"/>
    </w:rPr>
  </w:style>
  <w:style w:type="paragraph" w:customStyle="1" w:styleId="AATitre3">
    <w:name w:val="AA Titre 3"/>
    <w:basedOn w:val="Normal"/>
    <w:link w:val="AATitre3CarCar"/>
    <w:autoRedefine/>
    <w:rsid w:val="00B16F8D"/>
    <w:pPr>
      <w:keepNext/>
      <w:numPr>
        <w:ilvl w:val="2"/>
        <w:numId w:val="17"/>
      </w:numPr>
      <w:suppressAutoHyphens/>
      <w:spacing w:after="240"/>
      <w:outlineLvl w:val="2"/>
    </w:pPr>
    <w:rPr>
      <w:snapToGrid w:val="0"/>
    </w:rPr>
  </w:style>
  <w:style w:type="character" w:customStyle="1" w:styleId="AATitre3CarCar">
    <w:name w:val="AA Titre 3 Car Car"/>
    <w:link w:val="AATitre3"/>
    <w:rsid w:val="00B16F8D"/>
    <w:rPr>
      <w:rFonts w:ascii="Times New Roman" w:eastAsia="Times New Roman" w:hAnsi="Times New Roman" w:cs="Times New Roman"/>
      <w:snapToGrid w:val="0"/>
      <w:szCs w:val="20"/>
      <w:lang w:val="en-GB" w:eastAsia="fr-FR"/>
    </w:rPr>
  </w:style>
  <w:style w:type="paragraph" w:styleId="BalloonText">
    <w:name w:val="Balloon Text"/>
    <w:basedOn w:val="Normal"/>
    <w:link w:val="BalloonTextChar"/>
    <w:semiHidden/>
    <w:rsid w:val="00B16F8D"/>
    <w:rPr>
      <w:rFonts w:ascii="Tahoma" w:hAnsi="Tahoma" w:cs="Tahoma"/>
      <w:sz w:val="16"/>
      <w:szCs w:val="16"/>
    </w:rPr>
  </w:style>
  <w:style w:type="character" w:customStyle="1" w:styleId="BalloonTextChar">
    <w:name w:val="Balloon Text Char"/>
    <w:basedOn w:val="DefaultParagraphFont"/>
    <w:link w:val="BalloonText"/>
    <w:semiHidden/>
    <w:rsid w:val="00B16F8D"/>
    <w:rPr>
      <w:rFonts w:ascii="Tahoma" w:eastAsia="Times New Roman" w:hAnsi="Tahoma" w:cs="Tahoma"/>
      <w:sz w:val="16"/>
      <w:szCs w:val="16"/>
      <w:lang w:val="en-GB" w:eastAsia="fr-FR"/>
    </w:rPr>
  </w:style>
  <w:style w:type="paragraph" w:styleId="EndnoteText">
    <w:name w:val="endnote text"/>
    <w:basedOn w:val="Normal"/>
    <w:link w:val="EndnoteTextChar"/>
    <w:semiHidden/>
    <w:rsid w:val="00B16F8D"/>
    <w:rPr>
      <w:sz w:val="20"/>
    </w:rPr>
  </w:style>
  <w:style w:type="character" w:customStyle="1" w:styleId="EndnoteTextChar">
    <w:name w:val="Endnote Text Char"/>
    <w:basedOn w:val="DefaultParagraphFont"/>
    <w:link w:val="EndnoteText"/>
    <w:semiHidden/>
    <w:rsid w:val="00B16F8D"/>
    <w:rPr>
      <w:rFonts w:ascii="Times New Roman" w:eastAsia="Times New Roman" w:hAnsi="Times New Roman" w:cs="Times New Roman"/>
      <w:sz w:val="20"/>
      <w:szCs w:val="20"/>
      <w:lang w:val="en-GB" w:eastAsia="fr-FR"/>
    </w:rPr>
  </w:style>
  <w:style w:type="character" w:styleId="EndnoteReference">
    <w:name w:val="endnote reference"/>
    <w:semiHidden/>
    <w:rsid w:val="00B16F8D"/>
    <w:rPr>
      <w:vertAlign w:val="superscript"/>
    </w:rPr>
  </w:style>
  <w:style w:type="character" w:styleId="CommentReference">
    <w:name w:val="annotation reference"/>
    <w:uiPriority w:val="99"/>
    <w:rsid w:val="00B16F8D"/>
    <w:rPr>
      <w:sz w:val="16"/>
      <w:szCs w:val="16"/>
    </w:rPr>
  </w:style>
  <w:style w:type="paragraph" w:styleId="CommentText">
    <w:name w:val="annotation text"/>
    <w:basedOn w:val="Normal"/>
    <w:link w:val="CommentTextChar"/>
    <w:uiPriority w:val="99"/>
    <w:rsid w:val="00B16F8D"/>
    <w:rPr>
      <w:sz w:val="20"/>
    </w:rPr>
  </w:style>
  <w:style w:type="character" w:customStyle="1" w:styleId="CommentTextChar">
    <w:name w:val="Comment Text Char"/>
    <w:basedOn w:val="DefaultParagraphFont"/>
    <w:link w:val="CommentText"/>
    <w:uiPriority w:val="99"/>
    <w:rsid w:val="00B16F8D"/>
    <w:rPr>
      <w:rFonts w:ascii="Times New Roman" w:eastAsia="Times New Roman" w:hAnsi="Times New Roman" w:cs="Times New Roman"/>
      <w:sz w:val="20"/>
      <w:szCs w:val="20"/>
      <w:lang w:val="en-GB" w:eastAsia="fr-FR"/>
    </w:rPr>
  </w:style>
  <w:style w:type="character" w:styleId="Hyperlink">
    <w:name w:val="Hyperlink"/>
    <w:uiPriority w:val="99"/>
    <w:rsid w:val="00B16F8D"/>
    <w:rPr>
      <w:color w:val="0000FF"/>
      <w:u w:val="single"/>
    </w:rPr>
  </w:style>
  <w:style w:type="paragraph" w:customStyle="1" w:styleId="BalloonText1">
    <w:name w:val="Balloon Text1"/>
    <w:basedOn w:val="Normal"/>
    <w:semiHidden/>
    <w:rsid w:val="00B16F8D"/>
    <w:rPr>
      <w:rFonts w:ascii="Lucida Grande" w:hAnsi="Lucida Grande"/>
      <w:sz w:val="18"/>
      <w:szCs w:val="18"/>
    </w:rPr>
  </w:style>
  <w:style w:type="character" w:styleId="FollowedHyperlink">
    <w:name w:val="FollowedHyperlink"/>
    <w:rsid w:val="00B16F8D"/>
    <w:rPr>
      <w:color w:val="800080"/>
      <w:u w:val="single"/>
    </w:rPr>
  </w:style>
  <w:style w:type="paragraph" w:styleId="CommentSubject">
    <w:name w:val="annotation subject"/>
    <w:basedOn w:val="CommentText"/>
    <w:next w:val="CommentText"/>
    <w:link w:val="CommentSubjectChar"/>
    <w:semiHidden/>
    <w:rsid w:val="00B16F8D"/>
    <w:rPr>
      <w:b/>
      <w:bCs/>
    </w:rPr>
  </w:style>
  <w:style w:type="character" w:customStyle="1" w:styleId="CommentSubjectChar">
    <w:name w:val="Comment Subject Char"/>
    <w:basedOn w:val="CommentTextChar"/>
    <w:link w:val="CommentSubject"/>
    <w:semiHidden/>
    <w:rsid w:val="00B16F8D"/>
    <w:rPr>
      <w:rFonts w:ascii="Times New Roman" w:eastAsia="Times New Roman" w:hAnsi="Times New Roman" w:cs="Times New Roman"/>
      <w:b/>
      <w:bCs/>
      <w:sz w:val="20"/>
      <w:szCs w:val="20"/>
      <w:lang w:val="en-GB" w:eastAsia="fr-FR"/>
    </w:rPr>
  </w:style>
  <w:style w:type="table" w:styleId="TableGrid">
    <w:name w:val="Table Grid"/>
    <w:basedOn w:val="TableNormal"/>
    <w:uiPriority w:val="59"/>
    <w:rsid w:val="00B16F8D"/>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rsid w:val="00B16F8D"/>
    <w:pPr>
      <w:tabs>
        <w:tab w:val="left" w:pos="880"/>
        <w:tab w:val="left" w:pos="1440"/>
        <w:tab w:val="right" w:leader="dot" w:pos="9060"/>
      </w:tabs>
      <w:ind w:left="1440" w:hanging="720"/>
    </w:pPr>
  </w:style>
  <w:style w:type="paragraph" w:styleId="TOC9">
    <w:name w:val="toc 9"/>
    <w:basedOn w:val="Normal"/>
    <w:next w:val="Normal"/>
    <w:autoRedefine/>
    <w:uiPriority w:val="39"/>
    <w:unhideWhenUsed/>
    <w:rsid w:val="00B16F8D"/>
    <w:pPr>
      <w:ind w:left="1760"/>
    </w:pPr>
  </w:style>
  <w:style w:type="paragraph" w:styleId="TOC3">
    <w:name w:val="toc 3"/>
    <w:basedOn w:val="Normal"/>
    <w:next w:val="Normal"/>
    <w:autoRedefine/>
    <w:uiPriority w:val="39"/>
    <w:unhideWhenUsed/>
    <w:rsid w:val="00B16F8D"/>
    <w:pPr>
      <w:spacing w:before="120" w:after="120"/>
      <w:jc w:val="left"/>
    </w:pPr>
    <w:rPr>
      <w:rFonts w:ascii="Times New Roman Bold" w:hAnsi="Times New Roman Bold"/>
      <w:b/>
      <w:caps/>
      <w:sz w:val="20"/>
      <w:szCs w:val="22"/>
      <w:lang w:val="en-US" w:eastAsia="en-US"/>
    </w:rPr>
  </w:style>
  <w:style w:type="paragraph" w:styleId="TOC4">
    <w:name w:val="toc 4"/>
    <w:basedOn w:val="Normal"/>
    <w:next w:val="Normal"/>
    <w:autoRedefine/>
    <w:uiPriority w:val="39"/>
    <w:unhideWhenUsed/>
    <w:rsid w:val="00B16F8D"/>
    <w:pPr>
      <w:spacing w:after="100" w:line="276" w:lineRule="auto"/>
      <w:ind w:left="660"/>
      <w:jc w:val="left"/>
    </w:pPr>
    <w:rPr>
      <w:rFonts w:ascii="Calibri" w:hAnsi="Calibri"/>
      <w:szCs w:val="22"/>
      <w:lang w:val="en-US" w:eastAsia="en-US"/>
    </w:rPr>
  </w:style>
  <w:style w:type="paragraph" w:styleId="TOC5">
    <w:name w:val="toc 5"/>
    <w:basedOn w:val="Normal"/>
    <w:next w:val="Normal"/>
    <w:autoRedefine/>
    <w:uiPriority w:val="39"/>
    <w:unhideWhenUsed/>
    <w:rsid w:val="00B16F8D"/>
    <w:pPr>
      <w:spacing w:after="100" w:line="276" w:lineRule="auto"/>
      <w:ind w:left="880"/>
      <w:jc w:val="left"/>
    </w:pPr>
    <w:rPr>
      <w:rFonts w:ascii="Calibri" w:hAnsi="Calibri"/>
      <w:szCs w:val="22"/>
      <w:lang w:val="en-US" w:eastAsia="en-US"/>
    </w:rPr>
  </w:style>
  <w:style w:type="paragraph" w:styleId="TOC6">
    <w:name w:val="toc 6"/>
    <w:basedOn w:val="Normal"/>
    <w:next w:val="Normal"/>
    <w:autoRedefine/>
    <w:uiPriority w:val="39"/>
    <w:unhideWhenUsed/>
    <w:rsid w:val="00B16F8D"/>
    <w:pPr>
      <w:spacing w:after="100" w:line="276" w:lineRule="auto"/>
      <w:ind w:left="1100"/>
      <w:jc w:val="left"/>
    </w:pPr>
    <w:rPr>
      <w:rFonts w:ascii="Calibri" w:hAnsi="Calibri"/>
      <w:szCs w:val="22"/>
      <w:lang w:val="en-US" w:eastAsia="en-US"/>
    </w:rPr>
  </w:style>
  <w:style w:type="paragraph" w:styleId="TOC7">
    <w:name w:val="toc 7"/>
    <w:basedOn w:val="Normal"/>
    <w:next w:val="Normal"/>
    <w:autoRedefine/>
    <w:uiPriority w:val="39"/>
    <w:unhideWhenUsed/>
    <w:rsid w:val="00B16F8D"/>
    <w:pPr>
      <w:spacing w:after="100" w:line="276" w:lineRule="auto"/>
      <w:ind w:left="1320"/>
      <w:jc w:val="left"/>
    </w:pPr>
    <w:rPr>
      <w:rFonts w:ascii="Calibri" w:hAnsi="Calibri"/>
      <w:szCs w:val="22"/>
      <w:lang w:val="en-US" w:eastAsia="en-US"/>
    </w:rPr>
  </w:style>
  <w:style w:type="paragraph" w:styleId="TOC8">
    <w:name w:val="toc 8"/>
    <w:basedOn w:val="Normal"/>
    <w:next w:val="Normal"/>
    <w:autoRedefine/>
    <w:uiPriority w:val="39"/>
    <w:unhideWhenUsed/>
    <w:rsid w:val="00B16F8D"/>
    <w:pPr>
      <w:spacing w:after="100" w:line="276" w:lineRule="auto"/>
      <w:ind w:left="1540"/>
      <w:jc w:val="left"/>
    </w:pPr>
    <w:rPr>
      <w:rFonts w:ascii="Calibri" w:hAnsi="Calibri"/>
      <w:szCs w:val="22"/>
      <w:lang w:val="en-US" w:eastAsia="en-US"/>
    </w:rPr>
  </w:style>
  <w:style w:type="paragraph" w:styleId="Revision">
    <w:name w:val="Revision"/>
    <w:hidden/>
    <w:uiPriority w:val="99"/>
    <w:semiHidden/>
    <w:rsid w:val="00B16F8D"/>
    <w:pPr>
      <w:spacing w:after="0" w:line="240" w:lineRule="auto"/>
    </w:pPr>
    <w:rPr>
      <w:rFonts w:ascii="Times New Roman" w:eastAsia="Times New Roman" w:hAnsi="Times New Roman" w:cs="Times New Roman"/>
      <w:szCs w:val="20"/>
      <w:lang w:val="en-GB" w:eastAsia="fr-FR"/>
    </w:rPr>
  </w:style>
  <w:style w:type="paragraph" w:customStyle="1" w:styleId="Bullet1">
    <w:name w:val="Bullet1"/>
    <w:basedOn w:val="BodyText"/>
    <w:qFormat/>
    <w:rsid w:val="00B16F8D"/>
    <w:pPr>
      <w:numPr>
        <w:numId w:val="9"/>
      </w:numPr>
    </w:pPr>
    <w:rPr>
      <w:lang w:val="fr-FR"/>
    </w:rPr>
  </w:style>
  <w:style w:type="paragraph" w:customStyle="1" w:styleId="AATitre6">
    <w:name w:val="AA Titre 6"/>
    <w:qFormat/>
    <w:rsid w:val="00B16F8D"/>
    <w:pPr>
      <w:numPr>
        <w:ilvl w:val="5"/>
        <w:numId w:val="17"/>
      </w:numPr>
      <w:spacing w:after="240" w:line="240" w:lineRule="auto"/>
      <w:jc w:val="both"/>
    </w:pPr>
    <w:rPr>
      <w:rFonts w:ascii="Times New Roman" w:eastAsia="Times New Roman" w:hAnsi="Times New Roman" w:cs="Times New Roman"/>
      <w:szCs w:val="20"/>
      <w:lang w:eastAsia="fr-FR"/>
    </w:rPr>
  </w:style>
  <w:style w:type="paragraph" w:customStyle="1" w:styleId="Doctxt">
    <w:name w:val="Doctxt"/>
    <w:rsid w:val="00B16F8D"/>
    <w:pPr>
      <w:spacing w:after="240" w:line="240" w:lineRule="auto"/>
      <w:jc w:val="both"/>
    </w:pPr>
    <w:rPr>
      <w:rFonts w:ascii="Times New Roman" w:eastAsia="Calibri" w:hAnsi="Times New Roman" w:cs="Times New Roman"/>
      <w:lang w:val="fr"/>
    </w:rPr>
  </w:style>
  <w:style w:type="paragraph" w:customStyle="1" w:styleId="Level1">
    <w:name w:val="Level1"/>
    <w:rsid w:val="00B16F8D"/>
    <w:pPr>
      <w:keepNext/>
      <w:numPr>
        <w:numId w:val="12"/>
      </w:numPr>
      <w:spacing w:before="300" w:after="0" w:line="260" w:lineRule="atLeast"/>
      <w:jc w:val="both"/>
    </w:pPr>
    <w:rPr>
      <w:rFonts w:ascii="Times New Roman Bold" w:eastAsia="Calibri" w:hAnsi="Times New Roman Bold" w:cs="Times New Roman"/>
      <w:b/>
      <w:caps/>
      <w:lang w:val="fr"/>
    </w:rPr>
  </w:style>
  <w:style w:type="numbering" w:styleId="111111">
    <w:name w:val="Outline List 2"/>
    <w:basedOn w:val="NoList"/>
    <w:uiPriority w:val="99"/>
    <w:semiHidden/>
    <w:unhideWhenUsed/>
    <w:rsid w:val="00B16F8D"/>
    <w:pPr>
      <w:numPr>
        <w:numId w:val="11"/>
      </w:numPr>
    </w:pPr>
  </w:style>
  <w:style w:type="paragraph" w:customStyle="1" w:styleId="Level2">
    <w:name w:val="Level2"/>
    <w:rsid w:val="00B16F8D"/>
    <w:pPr>
      <w:keepNext/>
      <w:numPr>
        <w:ilvl w:val="1"/>
        <w:numId w:val="12"/>
      </w:numPr>
      <w:spacing w:before="300" w:after="0" w:line="260" w:lineRule="atLeast"/>
      <w:jc w:val="both"/>
    </w:pPr>
    <w:rPr>
      <w:rFonts w:ascii="Times New Roman" w:eastAsia="Calibri" w:hAnsi="Times New Roman" w:cs="Times New Roman"/>
      <w:u w:val="single"/>
      <w:lang w:val="fr"/>
    </w:rPr>
  </w:style>
  <w:style w:type="paragraph" w:customStyle="1" w:styleId="Level3">
    <w:name w:val="Level3"/>
    <w:rsid w:val="00B16F8D"/>
    <w:pPr>
      <w:numPr>
        <w:ilvl w:val="2"/>
        <w:numId w:val="12"/>
      </w:numPr>
      <w:spacing w:before="200" w:after="0" w:line="260" w:lineRule="atLeast"/>
      <w:jc w:val="both"/>
    </w:pPr>
    <w:rPr>
      <w:rFonts w:ascii="Times New Roman" w:eastAsia="Calibri" w:hAnsi="Times New Roman" w:cs="Times New Roman"/>
      <w:lang w:val="fr"/>
    </w:rPr>
  </w:style>
  <w:style w:type="paragraph" w:customStyle="1" w:styleId="Level4">
    <w:name w:val="Level4"/>
    <w:rsid w:val="00B16F8D"/>
    <w:pPr>
      <w:numPr>
        <w:ilvl w:val="3"/>
        <w:numId w:val="12"/>
      </w:numPr>
      <w:spacing w:before="200" w:after="0" w:line="260" w:lineRule="atLeast"/>
      <w:jc w:val="both"/>
    </w:pPr>
    <w:rPr>
      <w:rFonts w:ascii="Times New Roman" w:eastAsia="Calibri" w:hAnsi="Times New Roman" w:cs="Times New Roman"/>
      <w:lang w:val="fr"/>
    </w:rPr>
  </w:style>
  <w:style w:type="paragraph" w:customStyle="1" w:styleId="Level5">
    <w:name w:val="Level5"/>
    <w:rsid w:val="00B16F8D"/>
    <w:pPr>
      <w:numPr>
        <w:ilvl w:val="4"/>
        <w:numId w:val="12"/>
      </w:numPr>
      <w:spacing w:before="200" w:after="0" w:line="260" w:lineRule="atLeast"/>
      <w:jc w:val="both"/>
    </w:pPr>
    <w:rPr>
      <w:rFonts w:ascii="Times New Roman" w:eastAsia="Calibri" w:hAnsi="Times New Roman" w:cs="Times New Roman"/>
      <w:lang w:val="fr"/>
    </w:rPr>
  </w:style>
  <w:style w:type="paragraph" w:customStyle="1" w:styleId="Level6">
    <w:name w:val="Level6"/>
    <w:rsid w:val="00B16F8D"/>
    <w:pPr>
      <w:numPr>
        <w:ilvl w:val="5"/>
        <w:numId w:val="12"/>
      </w:numPr>
      <w:spacing w:before="200" w:after="0" w:line="260" w:lineRule="atLeast"/>
      <w:jc w:val="both"/>
    </w:pPr>
    <w:rPr>
      <w:rFonts w:ascii="Times New Roman" w:eastAsia="Calibri" w:hAnsi="Times New Roman" w:cs="Times New Roman"/>
      <w:lang w:val="fr"/>
    </w:rPr>
  </w:style>
  <w:style w:type="paragraph" w:customStyle="1" w:styleId="Doctxt1">
    <w:name w:val="Doctxt1"/>
    <w:rsid w:val="00B16F8D"/>
    <w:pPr>
      <w:spacing w:after="240" w:line="240" w:lineRule="auto"/>
      <w:ind w:left="720"/>
      <w:jc w:val="both"/>
    </w:pPr>
    <w:rPr>
      <w:rFonts w:ascii="Times New Roman" w:eastAsia="Calibri" w:hAnsi="Times New Roman" w:cs="Times New Roman"/>
      <w:lang w:val="fr"/>
    </w:rPr>
  </w:style>
  <w:style w:type="paragraph" w:customStyle="1" w:styleId="Doctxt2">
    <w:name w:val="Doctxt2"/>
    <w:rsid w:val="00B16F8D"/>
    <w:pPr>
      <w:spacing w:after="240" w:line="240" w:lineRule="auto"/>
      <w:ind w:left="1440"/>
      <w:jc w:val="both"/>
    </w:pPr>
    <w:rPr>
      <w:rFonts w:ascii="Times New Roman" w:eastAsia="Calibri" w:hAnsi="Times New Roman" w:cs="Times New Roman"/>
      <w:lang w:val="fr"/>
    </w:rPr>
  </w:style>
  <w:style w:type="paragraph" w:customStyle="1" w:styleId="Doctxt3">
    <w:name w:val="Doctxt3"/>
    <w:rsid w:val="00B16F8D"/>
    <w:pPr>
      <w:spacing w:after="240" w:line="240" w:lineRule="auto"/>
      <w:ind w:left="2160"/>
      <w:jc w:val="both"/>
    </w:pPr>
    <w:rPr>
      <w:rFonts w:ascii="Times New Roman" w:eastAsia="Calibri" w:hAnsi="Times New Roman" w:cs="Times New Roman"/>
      <w:lang w:val="fr"/>
    </w:rPr>
  </w:style>
  <w:style w:type="paragraph" w:customStyle="1" w:styleId="AltLevel4">
    <w:name w:val="AltLevel4"/>
    <w:basedOn w:val="Level4"/>
    <w:rsid w:val="00B16F8D"/>
    <w:pPr>
      <w:tabs>
        <w:tab w:val="clear" w:pos="1440"/>
        <w:tab w:val="left" w:pos="2160"/>
      </w:tabs>
      <w:ind w:left="2160"/>
    </w:pPr>
  </w:style>
  <w:style w:type="paragraph" w:customStyle="1" w:styleId="Level7">
    <w:name w:val="Level7"/>
    <w:rsid w:val="00B16F8D"/>
    <w:pPr>
      <w:numPr>
        <w:ilvl w:val="6"/>
        <w:numId w:val="12"/>
      </w:numPr>
      <w:spacing w:before="200" w:after="0" w:line="260" w:lineRule="atLeast"/>
      <w:jc w:val="both"/>
    </w:pPr>
    <w:rPr>
      <w:rFonts w:ascii="Times New Roman" w:eastAsia="Calibri" w:hAnsi="Times New Roman" w:cs="Times New Roman"/>
      <w:lang w:val="fr"/>
    </w:rPr>
  </w:style>
  <w:style w:type="paragraph" w:customStyle="1" w:styleId="Level8">
    <w:name w:val="Level8"/>
    <w:rsid w:val="00B16F8D"/>
    <w:pPr>
      <w:numPr>
        <w:ilvl w:val="7"/>
        <w:numId w:val="12"/>
      </w:numPr>
      <w:spacing w:before="200" w:after="0" w:line="260" w:lineRule="atLeast"/>
      <w:jc w:val="both"/>
    </w:pPr>
    <w:rPr>
      <w:rFonts w:ascii="Times New Roman" w:eastAsia="Calibri" w:hAnsi="Times New Roman" w:cs="Times New Roman"/>
      <w:lang w:val="fr"/>
    </w:rPr>
  </w:style>
  <w:style w:type="paragraph" w:customStyle="1" w:styleId="Level9">
    <w:name w:val="Level9"/>
    <w:rsid w:val="00B16F8D"/>
    <w:pPr>
      <w:numPr>
        <w:ilvl w:val="8"/>
        <w:numId w:val="12"/>
      </w:numPr>
      <w:spacing w:before="200" w:after="0" w:line="260" w:lineRule="atLeast"/>
      <w:jc w:val="both"/>
    </w:pPr>
    <w:rPr>
      <w:rFonts w:ascii="Times New Roman" w:eastAsia="Calibri" w:hAnsi="Times New Roman" w:cs="Times New Roman"/>
      <w:lang w:val="en-GB"/>
    </w:rPr>
  </w:style>
  <w:style w:type="paragraph" w:customStyle="1" w:styleId="Bullet2">
    <w:name w:val="Bullet2"/>
    <w:rsid w:val="00B16F8D"/>
    <w:pPr>
      <w:numPr>
        <w:ilvl w:val="1"/>
        <w:numId w:val="9"/>
      </w:numPr>
      <w:spacing w:after="240" w:line="240" w:lineRule="auto"/>
      <w:jc w:val="both"/>
    </w:pPr>
    <w:rPr>
      <w:rFonts w:ascii="Times New Roman" w:eastAsia="Calibri" w:hAnsi="Times New Roman" w:cs="Times New Roman"/>
      <w:lang w:val="fr"/>
    </w:rPr>
  </w:style>
  <w:style w:type="paragraph" w:customStyle="1" w:styleId="Bullet3">
    <w:name w:val="Bullet3"/>
    <w:rsid w:val="00B16F8D"/>
    <w:pPr>
      <w:tabs>
        <w:tab w:val="num" w:pos="1440"/>
      </w:tabs>
      <w:spacing w:before="200" w:after="0" w:line="260" w:lineRule="atLeast"/>
      <w:ind w:left="1440" w:hanging="720"/>
      <w:jc w:val="both"/>
    </w:pPr>
    <w:rPr>
      <w:rFonts w:ascii="Times New Roman" w:eastAsia="Calibri" w:hAnsi="Times New Roman" w:cs="Times New Roman"/>
      <w:lang w:val="en-GB"/>
    </w:rPr>
  </w:style>
  <w:style w:type="paragraph" w:customStyle="1" w:styleId="Head2">
    <w:name w:val="Head2"/>
    <w:rsid w:val="00B16F8D"/>
    <w:pPr>
      <w:spacing w:before="200" w:after="0" w:line="260" w:lineRule="atLeast"/>
      <w:jc w:val="both"/>
    </w:pPr>
    <w:rPr>
      <w:rFonts w:ascii="Times New Roman" w:eastAsia="Calibri" w:hAnsi="Times New Roman" w:cs="Times New Roman"/>
      <w:b/>
      <w:lang w:val="fr"/>
    </w:rPr>
  </w:style>
  <w:style w:type="paragraph" w:customStyle="1" w:styleId="AOHead1">
    <w:name w:val="AOHead1"/>
    <w:basedOn w:val="Normal"/>
    <w:next w:val="Normal"/>
    <w:rsid w:val="00B16F8D"/>
    <w:pPr>
      <w:keepNext/>
      <w:numPr>
        <w:numId w:val="13"/>
      </w:numPr>
      <w:spacing w:before="240" w:line="260" w:lineRule="atLeast"/>
      <w:outlineLvl w:val="0"/>
    </w:pPr>
    <w:rPr>
      <w:rFonts w:eastAsia="Calibri"/>
      <w:b/>
      <w:caps/>
      <w:kern w:val="28"/>
      <w:szCs w:val="22"/>
      <w:lang w:eastAsia="en-US"/>
    </w:rPr>
  </w:style>
  <w:style w:type="paragraph" w:customStyle="1" w:styleId="AOHead2">
    <w:name w:val="AOHead2"/>
    <w:basedOn w:val="Normal"/>
    <w:next w:val="Normal"/>
    <w:rsid w:val="00B16F8D"/>
    <w:pPr>
      <w:keepNext/>
      <w:numPr>
        <w:ilvl w:val="1"/>
        <w:numId w:val="13"/>
      </w:numPr>
      <w:spacing w:before="240" w:line="260" w:lineRule="atLeast"/>
      <w:outlineLvl w:val="1"/>
    </w:pPr>
    <w:rPr>
      <w:rFonts w:eastAsia="Calibri"/>
      <w:b/>
      <w:szCs w:val="22"/>
      <w:lang w:eastAsia="en-US"/>
    </w:rPr>
  </w:style>
  <w:style w:type="paragraph" w:customStyle="1" w:styleId="AOHead3">
    <w:name w:val="AOHead3"/>
    <w:basedOn w:val="Normal"/>
    <w:next w:val="Normal"/>
    <w:rsid w:val="00B16F8D"/>
    <w:pPr>
      <w:numPr>
        <w:ilvl w:val="2"/>
        <w:numId w:val="13"/>
      </w:numPr>
      <w:spacing w:before="240" w:line="260" w:lineRule="atLeast"/>
      <w:outlineLvl w:val="2"/>
    </w:pPr>
    <w:rPr>
      <w:rFonts w:eastAsia="Calibri"/>
      <w:szCs w:val="22"/>
      <w:lang w:eastAsia="en-US"/>
    </w:rPr>
  </w:style>
  <w:style w:type="paragraph" w:customStyle="1" w:styleId="AOHead4">
    <w:name w:val="AOHead4"/>
    <w:basedOn w:val="Normal"/>
    <w:next w:val="Normal"/>
    <w:rsid w:val="00B16F8D"/>
    <w:pPr>
      <w:numPr>
        <w:ilvl w:val="3"/>
        <w:numId w:val="13"/>
      </w:numPr>
      <w:spacing w:before="240" w:line="260" w:lineRule="atLeast"/>
      <w:outlineLvl w:val="3"/>
    </w:pPr>
    <w:rPr>
      <w:rFonts w:eastAsia="Calibri"/>
      <w:szCs w:val="22"/>
      <w:lang w:eastAsia="en-US"/>
    </w:rPr>
  </w:style>
  <w:style w:type="paragraph" w:customStyle="1" w:styleId="AOHead5">
    <w:name w:val="AOHead5"/>
    <w:basedOn w:val="Normal"/>
    <w:next w:val="Normal"/>
    <w:rsid w:val="00B16F8D"/>
    <w:pPr>
      <w:numPr>
        <w:ilvl w:val="4"/>
        <w:numId w:val="13"/>
      </w:numPr>
      <w:spacing w:before="240" w:line="260" w:lineRule="atLeast"/>
      <w:outlineLvl w:val="4"/>
    </w:pPr>
    <w:rPr>
      <w:rFonts w:eastAsia="Calibri"/>
      <w:szCs w:val="22"/>
      <w:lang w:eastAsia="en-US"/>
    </w:rPr>
  </w:style>
  <w:style w:type="paragraph" w:customStyle="1" w:styleId="AOHead6">
    <w:name w:val="AOHead6"/>
    <w:basedOn w:val="Normal"/>
    <w:next w:val="Normal"/>
    <w:rsid w:val="00B16F8D"/>
    <w:pPr>
      <w:numPr>
        <w:ilvl w:val="5"/>
        <w:numId w:val="13"/>
      </w:numPr>
      <w:spacing w:before="240" w:line="260" w:lineRule="atLeast"/>
      <w:outlineLvl w:val="5"/>
    </w:pPr>
    <w:rPr>
      <w:rFonts w:eastAsia="Calibri"/>
      <w:szCs w:val="22"/>
      <w:lang w:eastAsia="en-US"/>
    </w:rPr>
  </w:style>
  <w:style w:type="paragraph" w:customStyle="1" w:styleId="Num1">
    <w:name w:val="Num1"/>
    <w:rsid w:val="00B16F8D"/>
    <w:pPr>
      <w:numPr>
        <w:numId w:val="18"/>
      </w:numPr>
      <w:spacing w:before="120" w:after="240" w:line="260" w:lineRule="atLeast"/>
      <w:jc w:val="both"/>
    </w:pPr>
    <w:rPr>
      <w:rFonts w:ascii="Times New Roman" w:eastAsia="Calibri" w:hAnsi="Times New Roman" w:cs="Times New Roman"/>
      <w:lang w:val="fr"/>
    </w:rPr>
  </w:style>
  <w:style w:type="paragraph" w:customStyle="1" w:styleId="Num2">
    <w:name w:val="Num2"/>
    <w:rsid w:val="00B16F8D"/>
    <w:pPr>
      <w:numPr>
        <w:ilvl w:val="1"/>
        <w:numId w:val="18"/>
      </w:numPr>
      <w:spacing w:after="240" w:line="240" w:lineRule="auto"/>
      <w:jc w:val="both"/>
    </w:pPr>
    <w:rPr>
      <w:rFonts w:ascii="Times New Roman" w:eastAsia="Calibri" w:hAnsi="Times New Roman" w:cs="Times New Roman"/>
      <w:lang w:val="fr"/>
    </w:rPr>
  </w:style>
  <w:style w:type="paragraph" w:customStyle="1" w:styleId="Num3">
    <w:name w:val="Num3"/>
    <w:rsid w:val="00B16F8D"/>
    <w:pPr>
      <w:numPr>
        <w:ilvl w:val="2"/>
        <w:numId w:val="18"/>
      </w:numPr>
      <w:spacing w:after="240" w:line="240" w:lineRule="auto"/>
      <w:jc w:val="both"/>
    </w:pPr>
    <w:rPr>
      <w:rFonts w:ascii="Times New Roman" w:eastAsia="Calibri" w:hAnsi="Times New Roman" w:cs="Times New Roman"/>
      <w:lang w:val="fr"/>
    </w:rPr>
  </w:style>
  <w:style w:type="paragraph" w:customStyle="1" w:styleId="Num4">
    <w:name w:val="Num4"/>
    <w:rsid w:val="00B16F8D"/>
    <w:pPr>
      <w:numPr>
        <w:ilvl w:val="3"/>
        <w:numId w:val="18"/>
      </w:numPr>
      <w:spacing w:after="240" w:line="240" w:lineRule="auto"/>
      <w:jc w:val="both"/>
    </w:pPr>
    <w:rPr>
      <w:rFonts w:ascii="Times New Roman" w:eastAsia="Calibri" w:hAnsi="Times New Roman" w:cs="Times New Roman"/>
      <w:lang w:val="fr"/>
    </w:rPr>
  </w:style>
  <w:style w:type="paragraph" w:customStyle="1" w:styleId="Num5">
    <w:name w:val="Num5"/>
    <w:rsid w:val="00B16F8D"/>
    <w:pPr>
      <w:numPr>
        <w:ilvl w:val="4"/>
        <w:numId w:val="18"/>
      </w:numPr>
      <w:spacing w:after="240" w:line="240" w:lineRule="auto"/>
      <w:jc w:val="both"/>
    </w:pPr>
    <w:rPr>
      <w:rFonts w:ascii="Times New Roman" w:eastAsia="Calibri" w:hAnsi="Times New Roman" w:cs="Times New Roman"/>
      <w:lang w:val="fr"/>
    </w:rPr>
  </w:style>
  <w:style w:type="paragraph" w:customStyle="1" w:styleId="AATitre7">
    <w:name w:val="AA Titre 7"/>
    <w:qFormat/>
    <w:rsid w:val="00B16F8D"/>
    <w:pPr>
      <w:numPr>
        <w:ilvl w:val="6"/>
        <w:numId w:val="17"/>
      </w:numPr>
      <w:spacing w:after="240" w:line="240" w:lineRule="auto"/>
      <w:jc w:val="both"/>
    </w:pPr>
    <w:rPr>
      <w:rFonts w:ascii="Times New Roman" w:eastAsia="Times New Roman" w:hAnsi="Times New Roman" w:cs="Times New Roman"/>
      <w:szCs w:val="20"/>
      <w:lang w:val="en-GB" w:eastAsia="fr-FR"/>
    </w:rPr>
  </w:style>
  <w:style w:type="paragraph" w:customStyle="1" w:styleId="AATitre8">
    <w:name w:val="AA Titre 8"/>
    <w:qFormat/>
    <w:rsid w:val="00B16F8D"/>
    <w:pPr>
      <w:numPr>
        <w:ilvl w:val="7"/>
        <w:numId w:val="17"/>
      </w:numPr>
      <w:spacing w:after="240" w:line="240" w:lineRule="auto"/>
      <w:jc w:val="both"/>
    </w:pPr>
    <w:rPr>
      <w:rFonts w:ascii="Times New Roman" w:eastAsia="Times New Roman" w:hAnsi="Times New Roman" w:cs="Times New Roman"/>
      <w:szCs w:val="20"/>
      <w:lang w:val="en-GB" w:eastAsia="fr-FR"/>
    </w:rPr>
  </w:style>
  <w:style w:type="paragraph" w:customStyle="1" w:styleId="AATitre9">
    <w:name w:val="AA Titre 9"/>
    <w:qFormat/>
    <w:rsid w:val="00B16F8D"/>
    <w:pPr>
      <w:numPr>
        <w:ilvl w:val="8"/>
        <w:numId w:val="17"/>
      </w:numPr>
      <w:spacing w:after="240" w:line="240" w:lineRule="auto"/>
      <w:jc w:val="both"/>
    </w:pPr>
    <w:rPr>
      <w:rFonts w:ascii="Times New Roman" w:eastAsia="Times New Roman" w:hAnsi="Times New Roman" w:cs="Times New Roman"/>
      <w:szCs w:val="20"/>
      <w:lang w:val="en-GB" w:eastAsia="fr-FR"/>
    </w:rPr>
  </w:style>
  <w:style w:type="paragraph" w:customStyle="1" w:styleId="Parties">
    <w:name w:val="Parties"/>
    <w:qFormat/>
    <w:rsid w:val="00B16F8D"/>
    <w:pPr>
      <w:numPr>
        <w:numId w:val="14"/>
      </w:numPr>
      <w:spacing w:after="240" w:line="240" w:lineRule="auto"/>
      <w:jc w:val="both"/>
    </w:pPr>
    <w:rPr>
      <w:rFonts w:ascii="Times New Roman" w:eastAsia="Times New Roman" w:hAnsi="Times New Roman" w:cs="Times New Roman"/>
      <w:szCs w:val="20"/>
      <w:lang w:val="en-GB" w:eastAsia="fr-FR"/>
    </w:rPr>
  </w:style>
  <w:style w:type="paragraph" w:customStyle="1" w:styleId="Recitals">
    <w:name w:val="Recitals"/>
    <w:qFormat/>
    <w:rsid w:val="00B16F8D"/>
    <w:pPr>
      <w:numPr>
        <w:numId w:val="15"/>
      </w:numPr>
      <w:spacing w:after="240" w:line="240" w:lineRule="auto"/>
      <w:jc w:val="both"/>
    </w:pPr>
    <w:rPr>
      <w:rFonts w:ascii="Times New Roman" w:eastAsia="Times New Roman" w:hAnsi="Times New Roman" w:cs="Times New Roman"/>
      <w:szCs w:val="20"/>
      <w:lang w:val="en-GB" w:eastAsia="fr-FR"/>
    </w:rPr>
  </w:style>
  <w:style w:type="paragraph" w:customStyle="1" w:styleId="AltAATitre6">
    <w:name w:val="AltAA Titre 6"/>
    <w:basedOn w:val="AATitre6"/>
    <w:qFormat/>
    <w:rsid w:val="00B16F8D"/>
    <w:pPr>
      <w:ind w:left="1440"/>
    </w:pPr>
  </w:style>
  <w:style w:type="paragraph" w:customStyle="1" w:styleId="Schhead">
    <w:name w:val="Schhead"/>
    <w:qFormat/>
    <w:rsid w:val="00B16F8D"/>
    <w:pPr>
      <w:pageBreakBefore/>
      <w:spacing w:after="240" w:line="240" w:lineRule="auto"/>
      <w:jc w:val="center"/>
    </w:pPr>
    <w:rPr>
      <w:rFonts w:ascii="Times New Roman Bold" w:eastAsia="Times New Roman" w:hAnsi="Times New Roman Bold" w:cs="Times New Roman"/>
      <w:b/>
      <w:bCs/>
      <w:caps/>
      <w:szCs w:val="20"/>
      <w:lang w:val="en-GB" w:eastAsia="fr-FR"/>
    </w:rPr>
  </w:style>
  <w:style w:type="paragraph" w:customStyle="1" w:styleId="AODefHead">
    <w:name w:val="AODefHead"/>
    <w:basedOn w:val="Normal"/>
    <w:next w:val="AODefPara"/>
    <w:rsid w:val="00B16F8D"/>
    <w:pPr>
      <w:numPr>
        <w:numId w:val="16"/>
      </w:numPr>
      <w:spacing w:before="240" w:line="260" w:lineRule="atLeast"/>
      <w:outlineLvl w:val="5"/>
    </w:pPr>
    <w:rPr>
      <w:rFonts w:eastAsia="SimSun"/>
      <w:szCs w:val="22"/>
      <w:lang w:val="fr-FR" w:eastAsia="en-US"/>
    </w:rPr>
  </w:style>
  <w:style w:type="paragraph" w:customStyle="1" w:styleId="AODefPara">
    <w:name w:val="AODefPara"/>
    <w:basedOn w:val="AODefHead"/>
    <w:rsid w:val="00B16F8D"/>
    <w:pPr>
      <w:numPr>
        <w:ilvl w:val="1"/>
      </w:numPr>
      <w:outlineLvl w:val="6"/>
    </w:pPr>
  </w:style>
  <w:style w:type="paragraph" w:customStyle="1" w:styleId="AltAATitre4">
    <w:name w:val="Alt AA Titre 4"/>
    <w:basedOn w:val="AATitre4"/>
    <w:qFormat/>
    <w:rsid w:val="00B16F8D"/>
    <w:pPr>
      <w:numPr>
        <w:ilvl w:val="0"/>
        <w:numId w:val="0"/>
      </w:numPr>
    </w:pPr>
  </w:style>
  <w:style w:type="paragraph" w:customStyle="1" w:styleId="AlltAATitre6">
    <w:name w:val="Allt AA Titre 6"/>
    <w:basedOn w:val="AATitre6"/>
    <w:qFormat/>
    <w:rsid w:val="00B16F8D"/>
    <w:pPr>
      <w:numPr>
        <w:ilvl w:val="0"/>
        <w:numId w:val="0"/>
      </w:numPr>
    </w:pPr>
    <w:rPr>
      <w:lang w:val="en-GB"/>
    </w:rPr>
  </w:style>
  <w:style w:type="paragraph" w:customStyle="1" w:styleId="AnxHead">
    <w:name w:val="AnxHead"/>
    <w:rsid w:val="00B16F8D"/>
    <w:pPr>
      <w:pageBreakBefore/>
      <w:numPr>
        <w:numId w:val="24"/>
      </w:numPr>
      <w:spacing w:before="200" w:after="0" w:line="260" w:lineRule="atLeast"/>
      <w:jc w:val="center"/>
    </w:pPr>
    <w:rPr>
      <w:rFonts w:ascii="Times New Roman Bold" w:eastAsia="Calibri" w:hAnsi="Times New Roman Bold" w:cs="Times New Roman"/>
      <w:b/>
      <w:caps/>
      <w:lang w:val="fr"/>
    </w:rPr>
  </w:style>
  <w:style w:type="paragraph" w:customStyle="1" w:styleId="AnxHead1">
    <w:name w:val="AnxHead1"/>
    <w:rsid w:val="00B16F8D"/>
    <w:pPr>
      <w:numPr>
        <w:ilvl w:val="1"/>
        <w:numId w:val="24"/>
      </w:numPr>
      <w:spacing w:before="200" w:after="0" w:line="260" w:lineRule="atLeast"/>
      <w:jc w:val="center"/>
    </w:pPr>
    <w:rPr>
      <w:rFonts w:ascii="Times New Roman Bold" w:eastAsia="Calibri" w:hAnsi="Times New Roman Bold" w:cs="Times New Roman"/>
      <w:b/>
      <w:caps/>
      <w:lang w:val="fr"/>
    </w:rPr>
  </w:style>
  <w:style w:type="paragraph" w:customStyle="1" w:styleId="AnxPart">
    <w:name w:val="AnxPart"/>
    <w:rsid w:val="00B16F8D"/>
    <w:pPr>
      <w:numPr>
        <w:ilvl w:val="2"/>
        <w:numId w:val="24"/>
      </w:numPr>
      <w:spacing w:before="200" w:after="0" w:line="260" w:lineRule="atLeast"/>
      <w:jc w:val="both"/>
    </w:pPr>
    <w:rPr>
      <w:rFonts w:ascii="Times New Roman Bold" w:eastAsia="Calibri" w:hAnsi="Times New Roman Bold" w:cs="Times New Roman"/>
      <w:b/>
      <w:smallCaps/>
      <w:lang w:val="fr"/>
    </w:rPr>
  </w:style>
  <w:style w:type="paragraph" w:styleId="ListParagraph">
    <w:name w:val="List Paragraph"/>
    <w:aliases w:val="sous titre 2,List Paragraph1,- List tir,References,texte,figure,Glossaire,liste de tableaux,Titre1,Paragraphe  revu,Bullets,Numbered Paragraph,Main numbered paragraph,Numbered List Paragraph,123 List Paragraph,bl,bl1,List_Paragraph"/>
    <w:basedOn w:val="Normal"/>
    <w:link w:val="ListParagraphChar"/>
    <w:uiPriority w:val="1"/>
    <w:qFormat/>
    <w:rsid w:val="00B16F8D"/>
    <w:pPr>
      <w:ind w:left="720"/>
    </w:pPr>
    <w:rPr>
      <w:rFonts w:eastAsia="Calibri"/>
      <w:szCs w:val="22"/>
      <w:lang w:eastAsia="en-US"/>
    </w:rPr>
  </w:style>
  <w:style w:type="paragraph" w:customStyle="1" w:styleId="Style1">
    <w:name w:val="Style1"/>
    <w:basedOn w:val="Normal"/>
    <w:link w:val="Style1Car"/>
    <w:rsid w:val="00B16F8D"/>
    <w:pPr>
      <w:keepNext/>
      <w:keepLines/>
      <w:tabs>
        <w:tab w:val="left" w:pos="567"/>
      </w:tabs>
      <w:spacing w:after="240"/>
      <w:ind w:left="567"/>
    </w:pPr>
    <w:rPr>
      <w:szCs w:val="22"/>
    </w:rPr>
  </w:style>
  <w:style w:type="character" w:customStyle="1" w:styleId="Style1Car">
    <w:name w:val="Style1 Car"/>
    <w:link w:val="Style1"/>
    <w:rsid w:val="00B16F8D"/>
    <w:rPr>
      <w:rFonts w:ascii="Times New Roman" w:eastAsia="Times New Roman" w:hAnsi="Times New Roman" w:cs="Times New Roman"/>
      <w:lang w:val="en-GB" w:eastAsia="fr-FR"/>
    </w:rPr>
  </w:style>
  <w:style w:type="paragraph" w:customStyle="1" w:styleId="TM1ANNEXES">
    <w:name w:val="TM 1 ANNEXES"/>
    <w:basedOn w:val="TOC1"/>
    <w:qFormat/>
    <w:rsid w:val="00B16F8D"/>
    <w:pPr>
      <w:jc w:val="left"/>
    </w:pPr>
    <w:rPr>
      <w:rFonts w:ascii="Times New Roman Bold" w:hAnsi="Times New Roman Bold"/>
      <w:noProof/>
      <w:lang w:eastAsia="en-GB"/>
    </w:rPr>
  </w:style>
  <w:style w:type="paragraph" w:customStyle="1" w:styleId="BodyTexteNiveau1">
    <w:name w:val="Body Texte Niveau 1"/>
    <w:basedOn w:val="BodyText1"/>
    <w:qFormat/>
    <w:rsid w:val="00B16F8D"/>
    <w:pPr>
      <w:ind w:left="0"/>
    </w:pPr>
  </w:style>
  <w:style w:type="paragraph" w:customStyle="1" w:styleId="Defhead">
    <w:name w:val="Defhead"/>
    <w:rsid w:val="00B16F8D"/>
    <w:pPr>
      <w:numPr>
        <w:numId w:val="28"/>
      </w:numPr>
      <w:spacing w:before="200" w:after="0" w:line="260" w:lineRule="atLeast"/>
      <w:jc w:val="both"/>
    </w:pPr>
    <w:rPr>
      <w:rFonts w:ascii="Times New Roman" w:eastAsia="Calibri" w:hAnsi="Times New Roman" w:cs="Times New Roman"/>
    </w:rPr>
  </w:style>
  <w:style w:type="paragraph" w:customStyle="1" w:styleId="Defpara1">
    <w:name w:val="Defpara1"/>
    <w:rsid w:val="00B16F8D"/>
    <w:pPr>
      <w:numPr>
        <w:ilvl w:val="1"/>
        <w:numId w:val="28"/>
      </w:numPr>
      <w:spacing w:before="200" w:after="0" w:line="260" w:lineRule="atLeast"/>
      <w:jc w:val="both"/>
    </w:pPr>
    <w:rPr>
      <w:rFonts w:ascii="Times New Roman" w:eastAsia="Calibri" w:hAnsi="Times New Roman" w:cs="Times New Roman"/>
    </w:rPr>
  </w:style>
  <w:style w:type="paragraph" w:customStyle="1" w:styleId="Defpara2">
    <w:name w:val="Defpara2"/>
    <w:rsid w:val="00B16F8D"/>
    <w:pPr>
      <w:numPr>
        <w:ilvl w:val="2"/>
        <w:numId w:val="28"/>
      </w:numPr>
      <w:spacing w:before="200" w:after="0" w:line="260" w:lineRule="atLeast"/>
      <w:jc w:val="both"/>
    </w:pPr>
    <w:rPr>
      <w:rFonts w:ascii="Times New Roman" w:eastAsia="Calibri" w:hAnsi="Times New Roman" w:cs="Times New Roman"/>
    </w:rPr>
  </w:style>
  <w:style w:type="paragraph" w:customStyle="1" w:styleId="Defpara3">
    <w:name w:val="Defpara3"/>
    <w:rsid w:val="00B16F8D"/>
    <w:pPr>
      <w:numPr>
        <w:ilvl w:val="3"/>
        <w:numId w:val="28"/>
      </w:numPr>
      <w:spacing w:before="200" w:after="0" w:line="260" w:lineRule="atLeast"/>
      <w:jc w:val="both"/>
    </w:pPr>
    <w:rPr>
      <w:rFonts w:ascii="Times New Roman" w:eastAsia="Calibri" w:hAnsi="Times New Roman" w:cs="Times New Roman"/>
    </w:rPr>
  </w:style>
  <w:style w:type="character" w:customStyle="1" w:styleId="zzmpTrailerItem">
    <w:name w:val="zzmpTrailerItem"/>
    <w:basedOn w:val="DefaultParagraphFont"/>
    <w:rsid w:val="00B16F8D"/>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NNEXE1">
    <w:name w:val="ANNEXE 1"/>
    <w:autoRedefine/>
    <w:qFormat/>
    <w:rsid w:val="00B16F8D"/>
    <w:pPr>
      <w:pageBreakBefore/>
      <w:numPr>
        <w:numId w:val="29"/>
      </w:numPr>
      <w:spacing w:after="480" w:line="260" w:lineRule="atLeast"/>
      <w:jc w:val="center"/>
    </w:pPr>
    <w:rPr>
      <w:rFonts w:ascii="Times New Roman Bold" w:eastAsia="Calibri" w:hAnsi="Times New Roman Bold" w:cs="Times New Roman"/>
      <w:b/>
      <w:caps/>
      <w:lang w:val="fr"/>
    </w:rPr>
  </w:style>
  <w:style w:type="paragraph" w:customStyle="1" w:styleId="ANNEXE1A">
    <w:name w:val="ANNEXE 1 A"/>
    <w:next w:val="Normal"/>
    <w:autoRedefine/>
    <w:qFormat/>
    <w:rsid w:val="00B16F8D"/>
    <w:pPr>
      <w:pageBreakBefore/>
      <w:numPr>
        <w:ilvl w:val="1"/>
        <w:numId w:val="29"/>
      </w:numPr>
      <w:spacing w:after="480" w:line="260" w:lineRule="atLeast"/>
      <w:jc w:val="center"/>
    </w:pPr>
    <w:rPr>
      <w:rFonts w:ascii="Times New Roman Bold" w:eastAsia="Calibri" w:hAnsi="Times New Roman Bold" w:cs="Times New Roman"/>
      <w:b/>
      <w:caps/>
      <w:lang w:val="fr"/>
    </w:rPr>
  </w:style>
  <w:style w:type="paragraph" w:customStyle="1" w:styleId="Corpsdetexte21">
    <w:name w:val="Corps de texte 21"/>
    <w:basedOn w:val="BodyText1"/>
    <w:qFormat/>
    <w:rsid w:val="00B16F8D"/>
    <w:pPr>
      <w:ind w:left="1276"/>
    </w:pPr>
  </w:style>
  <w:style w:type="paragraph" w:styleId="List">
    <w:name w:val="List"/>
    <w:basedOn w:val="Normal"/>
    <w:uiPriority w:val="99"/>
    <w:semiHidden/>
    <w:unhideWhenUsed/>
    <w:rsid w:val="00B16F8D"/>
    <w:pPr>
      <w:ind w:left="283" w:hanging="283"/>
      <w:contextualSpacing/>
    </w:pPr>
  </w:style>
  <w:style w:type="paragraph" w:styleId="ListContinue3">
    <w:name w:val="List Continue 3"/>
    <w:basedOn w:val="Normal"/>
    <w:uiPriority w:val="99"/>
    <w:semiHidden/>
    <w:unhideWhenUsed/>
    <w:rsid w:val="00B16F8D"/>
    <w:pPr>
      <w:spacing w:after="120"/>
      <w:ind w:left="849"/>
      <w:contextualSpacing/>
    </w:pPr>
  </w:style>
  <w:style w:type="paragraph" w:styleId="Quote">
    <w:name w:val="Quote"/>
    <w:basedOn w:val="Normal"/>
    <w:next w:val="Normal"/>
    <w:link w:val="QuoteChar"/>
    <w:uiPriority w:val="29"/>
    <w:qFormat/>
    <w:rsid w:val="00B16F8D"/>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16F8D"/>
    <w:rPr>
      <w:rFonts w:ascii="Times New Roman" w:eastAsia="Times New Roman" w:hAnsi="Times New Roman" w:cs="Times New Roman"/>
      <w:i/>
      <w:iCs/>
      <w:color w:val="404040" w:themeColor="text1" w:themeTint="BF"/>
      <w:szCs w:val="20"/>
      <w:lang w:val="en-GB" w:eastAsia="fr-FR"/>
    </w:rPr>
  </w:style>
  <w:style w:type="paragraph" w:customStyle="1" w:styleId="Parties1">
    <w:name w:val="Parties(1)"/>
    <w:rsid w:val="00B16F8D"/>
    <w:pPr>
      <w:numPr>
        <w:numId w:val="34"/>
      </w:numPr>
      <w:spacing w:before="200" w:after="0" w:line="260" w:lineRule="atLeast"/>
      <w:jc w:val="both"/>
    </w:pPr>
    <w:rPr>
      <w:rFonts w:ascii="Times New Roman" w:eastAsia="Calibri" w:hAnsi="Times New Roman" w:cs="Times New Roman"/>
      <w:lang w:val="fr"/>
    </w:rPr>
  </w:style>
  <w:style w:type="paragraph" w:customStyle="1" w:styleId="PartiesA">
    <w:name w:val="Parties(A)"/>
    <w:qFormat/>
    <w:rsid w:val="00B16F8D"/>
    <w:pPr>
      <w:numPr>
        <w:ilvl w:val="1"/>
        <w:numId w:val="34"/>
      </w:numPr>
      <w:spacing w:before="200" w:after="0" w:line="260" w:lineRule="atLeast"/>
      <w:jc w:val="both"/>
    </w:pPr>
    <w:rPr>
      <w:rFonts w:ascii="Times New Roman" w:eastAsia="Calibri" w:hAnsi="Times New Roman" w:cs="Times New Roman"/>
      <w:lang w:val="fr"/>
    </w:rPr>
  </w:style>
  <w:style w:type="paragraph" w:customStyle="1" w:styleId="AOAltHead3">
    <w:name w:val="AOAltHead3"/>
    <w:basedOn w:val="AOHead3"/>
    <w:next w:val="Normal"/>
    <w:rsid w:val="00B16F8D"/>
    <w:pPr>
      <w:numPr>
        <w:ilvl w:val="0"/>
        <w:numId w:val="0"/>
      </w:numPr>
      <w:ind w:left="720"/>
    </w:pPr>
  </w:style>
  <w:style w:type="paragraph" w:customStyle="1" w:styleId="corpstexte">
    <w:name w:val="corps texte"/>
    <w:basedOn w:val="Normal"/>
    <w:link w:val="corpstexteCar"/>
    <w:qFormat/>
    <w:rsid w:val="00B16F8D"/>
    <w:pPr>
      <w:spacing w:before="120" w:after="120"/>
    </w:pPr>
    <w:rPr>
      <w:sz w:val="24"/>
      <w:lang w:val="en"/>
    </w:rPr>
  </w:style>
  <w:style w:type="paragraph" w:customStyle="1" w:styleId="comtexte">
    <w:name w:val="com texte"/>
    <w:basedOn w:val="Normal"/>
    <w:link w:val="comtexteCar"/>
    <w:qFormat/>
    <w:rsid w:val="00B16F8D"/>
    <w:pPr>
      <w:numPr>
        <w:numId w:val="42"/>
      </w:numPr>
      <w:spacing w:before="120" w:after="120"/>
    </w:pPr>
    <w:rPr>
      <w:sz w:val="24"/>
      <w:lang w:val="en"/>
    </w:rPr>
  </w:style>
  <w:style w:type="character" w:customStyle="1" w:styleId="corpstexteCar">
    <w:name w:val="corps texte Car"/>
    <w:basedOn w:val="DefaultParagraphFont"/>
    <w:link w:val="corpstexte"/>
    <w:rsid w:val="00B16F8D"/>
    <w:rPr>
      <w:rFonts w:ascii="Times New Roman" w:eastAsia="Times New Roman" w:hAnsi="Times New Roman" w:cs="Times New Roman"/>
      <w:sz w:val="24"/>
      <w:szCs w:val="20"/>
      <w:lang w:val="en" w:eastAsia="fr-FR"/>
    </w:rPr>
  </w:style>
  <w:style w:type="character" w:customStyle="1" w:styleId="comtexteCar">
    <w:name w:val="com texte Car"/>
    <w:basedOn w:val="DefaultParagraphFont"/>
    <w:link w:val="comtexte"/>
    <w:rsid w:val="00B16F8D"/>
    <w:rPr>
      <w:rFonts w:ascii="Times New Roman" w:eastAsia="Times New Roman" w:hAnsi="Times New Roman" w:cs="Times New Roman"/>
      <w:sz w:val="24"/>
      <w:szCs w:val="20"/>
      <w:lang w:val="en" w:eastAsia="fr-FR"/>
    </w:rPr>
  </w:style>
  <w:style w:type="character" w:customStyle="1" w:styleId="ListParagraphChar">
    <w:name w:val="List Paragraph Char"/>
    <w:aliases w:val="sous titre 2 Char,List Paragraph1 Char,- List tir Char,References Char,texte Char,figure Char,Glossaire Char,liste de tableaux Char,Titre1 Char,Paragraphe  revu Char,Bullets Char,Numbered Paragraph Char,Main numbered paragraph Char"/>
    <w:basedOn w:val="DefaultParagraphFont"/>
    <w:link w:val="ListParagraph"/>
    <w:uiPriority w:val="1"/>
    <w:qFormat/>
    <w:rsid w:val="00B16F8D"/>
    <w:rPr>
      <w:rFonts w:ascii="Times New Roman" w:eastAsia="Calibri" w:hAnsi="Times New Roman" w:cs="Times New Roman"/>
      <w:lang w:val="en-GB"/>
    </w:rPr>
  </w:style>
  <w:style w:type="table" w:customStyle="1" w:styleId="Grilledutableau1">
    <w:name w:val="Grille du tableau1"/>
    <w:basedOn w:val="TableNormal"/>
    <w:next w:val="TableGrid"/>
    <w:uiPriority w:val="59"/>
    <w:rsid w:val="00B16F8D"/>
    <w:pPr>
      <w:spacing w:after="0" w:line="240" w:lineRule="auto"/>
    </w:pPr>
    <w:rPr>
      <w:lang w:val="en" w:eastAsia="en" w:bidi="e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
    <w:name w:val="Tab"/>
    <w:basedOn w:val="Normal"/>
    <w:qFormat/>
    <w:rsid w:val="00B16F8D"/>
    <w:pPr>
      <w:widowControl w:val="0"/>
      <w:autoSpaceDE w:val="0"/>
      <w:autoSpaceDN w:val="0"/>
      <w:adjustRightInd w:val="0"/>
      <w:spacing w:before="20" w:after="20"/>
      <w:jc w:val="center"/>
    </w:pPr>
    <w:rPr>
      <w:rFonts w:ascii="Swis721 LtCn BT" w:hAnsi="Swis721 LtCn BT"/>
      <w:bCs/>
      <w:color w:val="000000"/>
      <w:sz w:val="20"/>
      <w:szCs w:val="22"/>
      <w:lang w:val="fr-FR"/>
    </w:rPr>
  </w:style>
  <w:style w:type="paragraph" w:styleId="NoSpacing">
    <w:name w:val="No Spacing"/>
    <w:uiPriority w:val="1"/>
    <w:qFormat/>
    <w:rsid w:val="00B16F8D"/>
    <w:pPr>
      <w:spacing w:after="0" w:line="240" w:lineRule="auto"/>
    </w:pPr>
    <w:rPr>
      <w:lang w:val="en-US"/>
    </w:rPr>
  </w:style>
  <w:style w:type="paragraph" w:customStyle="1" w:styleId="ModelNrmlSingle">
    <w:name w:val="ModelNrmlSingle"/>
    <w:basedOn w:val="Normal"/>
    <w:link w:val="ModelNrmlSingleChar"/>
    <w:rsid w:val="0007643E"/>
    <w:pPr>
      <w:spacing w:after="240"/>
      <w:ind w:firstLine="720"/>
    </w:pPr>
    <w:rPr>
      <w:lang w:val="en-US" w:eastAsia="en-US"/>
    </w:rPr>
  </w:style>
  <w:style w:type="character" w:customStyle="1" w:styleId="ModelNrmlSingleChar">
    <w:name w:val="ModelNrmlSingle Char"/>
    <w:link w:val="ModelNrmlSingle"/>
    <w:rsid w:val="0007643E"/>
    <w:rPr>
      <w:rFonts w:ascii="Times New Roman" w:eastAsia="Times New Roman" w:hAnsi="Times New Roman" w:cs="Times New Roman"/>
      <w:szCs w:val="20"/>
      <w:lang w:val="en-US"/>
    </w:rPr>
  </w:style>
  <w:style w:type="character" w:customStyle="1" w:styleId="normaltextrun">
    <w:name w:val="normaltextrun"/>
    <w:basedOn w:val="DefaultParagraphFont"/>
    <w:rsid w:val="00404A60"/>
  </w:style>
  <w:style w:type="character" w:customStyle="1" w:styleId="UnresolvedMention1">
    <w:name w:val="Unresolved Mention1"/>
    <w:basedOn w:val="DefaultParagraphFont"/>
    <w:uiPriority w:val="99"/>
    <w:semiHidden/>
    <w:unhideWhenUsed/>
    <w:rsid w:val="006A1E30"/>
    <w:rPr>
      <w:color w:val="605E5C"/>
      <w:shd w:val="clear" w:color="auto" w:fill="E1DFDD"/>
    </w:rPr>
  </w:style>
  <w:style w:type="paragraph" w:styleId="HTMLPreformatted">
    <w:name w:val="HTML Preformatted"/>
    <w:basedOn w:val="Normal"/>
    <w:link w:val="HTMLPreformattedChar"/>
    <w:uiPriority w:val="99"/>
    <w:semiHidden/>
    <w:unhideWhenUsed/>
    <w:rsid w:val="002536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lang w:val="fr-FR"/>
    </w:rPr>
  </w:style>
  <w:style w:type="character" w:customStyle="1" w:styleId="HTMLPreformattedChar">
    <w:name w:val="HTML Preformatted Char"/>
    <w:basedOn w:val="DefaultParagraphFont"/>
    <w:link w:val="HTMLPreformatted"/>
    <w:uiPriority w:val="99"/>
    <w:semiHidden/>
    <w:rsid w:val="002536DF"/>
    <w:rPr>
      <w:rFonts w:ascii="Courier New" w:eastAsia="Times New Roman" w:hAnsi="Courier New" w:cs="Courier New"/>
      <w:sz w:val="20"/>
      <w:szCs w:val="20"/>
      <w:lang w:eastAsia="fr-FR"/>
    </w:rPr>
  </w:style>
  <w:style w:type="character" w:customStyle="1" w:styleId="y2iqfc">
    <w:name w:val="y2iqfc"/>
    <w:basedOn w:val="DefaultParagraphFont"/>
    <w:rsid w:val="002536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959500">
      <w:bodyDiv w:val="1"/>
      <w:marLeft w:val="0"/>
      <w:marRight w:val="0"/>
      <w:marTop w:val="0"/>
      <w:marBottom w:val="0"/>
      <w:divBdr>
        <w:top w:val="none" w:sz="0" w:space="0" w:color="auto"/>
        <w:left w:val="none" w:sz="0" w:space="0" w:color="auto"/>
        <w:bottom w:val="none" w:sz="0" w:space="0" w:color="auto"/>
        <w:right w:val="none" w:sz="0" w:space="0" w:color="auto"/>
      </w:divBdr>
    </w:div>
    <w:div w:id="70395693">
      <w:bodyDiv w:val="1"/>
      <w:marLeft w:val="0"/>
      <w:marRight w:val="0"/>
      <w:marTop w:val="0"/>
      <w:marBottom w:val="0"/>
      <w:divBdr>
        <w:top w:val="none" w:sz="0" w:space="0" w:color="auto"/>
        <w:left w:val="none" w:sz="0" w:space="0" w:color="auto"/>
        <w:bottom w:val="none" w:sz="0" w:space="0" w:color="auto"/>
        <w:right w:val="none" w:sz="0" w:space="0" w:color="auto"/>
      </w:divBdr>
    </w:div>
    <w:div w:id="74013202">
      <w:bodyDiv w:val="1"/>
      <w:marLeft w:val="0"/>
      <w:marRight w:val="0"/>
      <w:marTop w:val="0"/>
      <w:marBottom w:val="0"/>
      <w:divBdr>
        <w:top w:val="none" w:sz="0" w:space="0" w:color="auto"/>
        <w:left w:val="none" w:sz="0" w:space="0" w:color="auto"/>
        <w:bottom w:val="none" w:sz="0" w:space="0" w:color="auto"/>
        <w:right w:val="none" w:sz="0" w:space="0" w:color="auto"/>
      </w:divBdr>
    </w:div>
    <w:div w:id="135730324">
      <w:bodyDiv w:val="1"/>
      <w:marLeft w:val="0"/>
      <w:marRight w:val="0"/>
      <w:marTop w:val="0"/>
      <w:marBottom w:val="0"/>
      <w:divBdr>
        <w:top w:val="none" w:sz="0" w:space="0" w:color="auto"/>
        <w:left w:val="none" w:sz="0" w:space="0" w:color="auto"/>
        <w:bottom w:val="none" w:sz="0" w:space="0" w:color="auto"/>
        <w:right w:val="none" w:sz="0" w:space="0" w:color="auto"/>
      </w:divBdr>
    </w:div>
    <w:div w:id="249581092">
      <w:bodyDiv w:val="1"/>
      <w:marLeft w:val="0"/>
      <w:marRight w:val="0"/>
      <w:marTop w:val="0"/>
      <w:marBottom w:val="0"/>
      <w:divBdr>
        <w:top w:val="none" w:sz="0" w:space="0" w:color="auto"/>
        <w:left w:val="none" w:sz="0" w:space="0" w:color="auto"/>
        <w:bottom w:val="none" w:sz="0" w:space="0" w:color="auto"/>
        <w:right w:val="none" w:sz="0" w:space="0" w:color="auto"/>
      </w:divBdr>
    </w:div>
    <w:div w:id="271665906">
      <w:bodyDiv w:val="1"/>
      <w:marLeft w:val="0"/>
      <w:marRight w:val="0"/>
      <w:marTop w:val="0"/>
      <w:marBottom w:val="0"/>
      <w:divBdr>
        <w:top w:val="none" w:sz="0" w:space="0" w:color="auto"/>
        <w:left w:val="none" w:sz="0" w:space="0" w:color="auto"/>
        <w:bottom w:val="none" w:sz="0" w:space="0" w:color="auto"/>
        <w:right w:val="none" w:sz="0" w:space="0" w:color="auto"/>
      </w:divBdr>
    </w:div>
    <w:div w:id="308051298">
      <w:bodyDiv w:val="1"/>
      <w:marLeft w:val="0"/>
      <w:marRight w:val="0"/>
      <w:marTop w:val="0"/>
      <w:marBottom w:val="0"/>
      <w:divBdr>
        <w:top w:val="none" w:sz="0" w:space="0" w:color="auto"/>
        <w:left w:val="none" w:sz="0" w:space="0" w:color="auto"/>
        <w:bottom w:val="none" w:sz="0" w:space="0" w:color="auto"/>
        <w:right w:val="none" w:sz="0" w:space="0" w:color="auto"/>
      </w:divBdr>
    </w:div>
    <w:div w:id="322511441">
      <w:bodyDiv w:val="1"/>
      <w:marLeft w:val="0"/>
      <w:marRight w:val="0"/>
      <w:marTop w:val="0"/>
      <w:marBottom w:val="0"/>
      <w:divBdr>
        <w:top w:val="none" w:sz="0" w:space="0" w:color="auto"/>
        <w:left w:val="none" w:sz="0" w:space="0" w:color="auto"/>
        <w:bottom w:val="none" w:sz="0" w:space="0" w:color="auto"/>
        <w:right w:val="none" w:sz="0" w:space="0" w:color="auto"/>
      </w:divBdr>
    </w:div>
    <w:div w:id="323510424">
      <w:bodyDiv w:val="1"/>
      <w:marLeft w:val="0"/>
      <w:marRight w:val="0"/>
      <w:marTop w:val="0"/>
      <w:marBottom w:val="0"/>
      <w:divBdr>
        <w:top w:val="none" w:sz="0" w:space="0" w:color="auto"/>
        <w:left w:val="none" w:sz="0" w:space="0" w:color="auto"/>
        <w:bottom w:val="none" w:sz="0" w:space="0" w:color="auto"/>
        <w:right w:val="none" w:sz="0" w:space="0" w:color="auto"/>
      </w:divBdr>
    </w:div>
    <w:div w:id="481777161">
      <w:bodyDiv w:val="1"/>
      <w:marLeft w:val="0"/>
      <w:marRight w:val="0"/>
      <w:marTop w:val="0"/>
      <w:marBottom w:val="0"/>
      <w:divBdr>
        <w:top w:val="none" w:sz="0" w:space="0" w:color="auto"/>
        <w:left w:val="none" w:sz="0" w:space="0" w:color="auto"/>
        <w:bottom w:val="none" w:sz="0" w:space="0" w:color="auto"/>
        <w:right w:val="none" w:sz="0" w:space="0" w:color="auto"/>
      </w:divBdr>
    </w:div>
    <w:div w:id="531722213">
      <w:bodyDiv w:val="1"/>
      <w:marLeft w:val="0"/>
      <w:marRight w:val="0"/>
      <w:marTop w:val="0"/>
      <w:marBottom w:val="0"/>
      <w:divBdr>
        <w:top w:val="none" w:sz="0" w:space="0" w:color="auto"/>
        <w:left w:val="none" w:sz="0" w:space="0" w:color="auto"/>
        <w:bottom w:val="none" w:sz="0" w:space="0" w:color="auto"/>
        <w:right w:val="none" w:sz="0" w:space="0" w:color="auto"/>
      </w:divBdr>
    </w:div>
    <w:div w:id="552929859">
      <w:bodyDiv w:val="1"/>
      <w:marLeft w:val="0"/>
      <w:marRight w:val="0"/>
      <w:marTop w:val="0"/>
      <w:marBottom w:val="0"/>
      <w:divBdr>
        <w:top w:val="none" w:sz="0" w:space="0" w:color="auto"/>
        <w:left w:val="none" w:sz="0" w:space="0" w:color="auto"/>
        <w:bottom w:val="none" w:sz="0" w:space="0" w:color="auto"/>
        <w:right w:val="none" w:sz="0" w:space="0" w:color="auto"/>
      </w:divBdr>
    </w:div>
    <w:div w:id="602153325">
      <w:bodyDiv w:val="1"/>
      <w:marLeft w:val="0"/>
      <w:marRight w:val="0"/>
      <w:marTop w:val="0"/>
      <w:marBottom w:val="0"/>
      <w:divBdr>
        <w:top w:val="none" w:sz="0" w:space="0" w:color="auto"/>
        <w:left w:val="none" w:sz="0" w:space="0" w:color="auto"/>
        <w:bottom w:val="none" w:sz="0" w:space="0" w:color="auto"/>
        <w:right w:val="none" w:sz="0" w:space="0" w:color="auto"/>
      </w:divBdr>
    </w:div>
    <w:div w:id="685134073">
      <w:bodyDiv w:val="1"/>
      <w:marLeft w:val="0"/>
      <w:marRight w:val="0"/>
      <w:marTop w:val="0"/>
      <w:marBottom w:val="0"/>
      <w:divBdr>
        <w:top w:val="none" w:sz="0" w:space="0" w:color="auto"/>
        <w:left w:val="none" w:sz="0" w:space="0" w:color="auto"/>
        <w:bottom w:val="none" w:sz="0" w:space="0" w:color="auto"/>
        <w:right w:val="none" w:sz="0" w:space="0" w:color="auto"/>
      </w:divBdr>
    </w:div>
    <w:div w:id="687676786">
      <w:bodyDiv w:val="1"/>
      <w:marLeft w:val="0"/>
      <w:marRight w:val="0"/>
      <w:marTop w:val="0"/>
      <w:marBottom w:val="0"/>
      <w:divBdr>
        <w:top w:val="none" w:sz="0" w:space="0" w:color="auto"/>
        <w:left w:val="none" w:sz="0" w:space="0" w:color="auto"/>
        <w:bottom w:val="none" w:sz="0" w:space="0" w:color="auto"/>
        <w:right w:val="none" w:sz="0" w:space="0" w:color="auto"/>
      </w:divBdr>
    </w:div>
    <w:div w:id="732974392">
      <w:bodyDiv w:val="1"/>
      <w:marLeft w:val="0"/>
      <w:marRight w:val="0"/>
      <w:marTop w:val="0"/>
      <w:marBottom w:val="0"/>
      <w:divBdr>
        <w:top w:val="none" w:sz="0" w:space="0" w:color="auto"/>
        <w:left w:val="none" w:sz="0" w:space="0" w:color="auto"/>
        <w:bottom w:val="none" w:sz="0" w:space="0" w:color="auto"/>
        <w:right w:val="none" w:sz="0" w:space="0" w:color="auto"/>
      </w:divBdr>
    </w:div>
    <w:div w:id="942540875">
      <w:bodyDiv w:val="1"/>
      <w:marLeft w:val="0"/>
      <w:marRight w:val="0"/>
      <w:marTop w:val="0"/>
      <w:marBottom w:val="0"/>
      <w:divBdr>
        <w:top w:val="none" w:sz="0" w:space="0" w:color="auto"/>
        <w:left w:val="none" w:sz="0" w:space="0" w:color="auto"/>
        <w:bottom w:val="none" w:sz="0" w:space="0" w:color="auto"/>
        <w:right w:val="none" w:sz="0" w:space="0" w:color="auto"/>
      </w:divBdr>
    </w:div>
    <w:div w:id="957761413">
      <w:bodyDiv w:val="1"/>
      <w:marLeft w:val="0"/>
      <w:marRight w:val="0"/>
      <w:marTop w:val="0"/>
      <w:marBottom w:val="0"/>
      <w:divBdr>
        <w:top w:val="none" w:sz="0" w:space="0" w:color="auto"/>
        <w:left w:val="none" w:sz="0" w:space="0" w:color="auto"/>
        <w:bottom w:val="none" w:sz="0" w:space="0" w:color="auto"/>
        <w:right w:val="none" w:sz="0" w:space="0" w:color="auto"/>
      </w:divBdr>
    </w:div>
    <w:div w:id="961227729">
      <w:bodyDiv w:val="1"/>
      <w:marLeft w:val="0"/>
      <w:marRight w:val="0"/>
      <w:marTop w:val="0"/>
      <w:marBottom w:val="0"/>
      <w:divBdr>
        <w:top w:val="none" w:sz="0" w:space="0" w:color="auto"/>
        <w:left w:val="none" w:sz="0" w:space="0" w:color="auto"/>
        <w:bottom w:val="none" w:sz="0" w:space="0" w:color="auto"/>
        <w:right w:val="none" w:sz="0" w:space="0" w:color="auto"/>
      </w:divBdr>
    </w:div>
    <w:div w:id="967012218">
      <w:bodyDiv w:val="1"/>
      <w:marLeft w:val="0"/>
      <w:marRight w:val="0"/>
      <w:marTop w:val="0"/>
      <w:marBottom w:val="0"/>
      <w:divBdr>
        <w:top w:val="none" w:sz="0" w:space="0" w:color="auto"/>
        <w:left w:val="none" w:sz="0" w:space="0" w:color="auto"/>
        <w:bottom w:val="none" w:sz="0" w:space="0" w:color="auto"/>
        <w:right w:val="none" w:sz="0" w:space="0" w:color="auto"/>
      </w:divBdr>
    </w:div>
    <w:div w:id="1011370244">
      <w:bodyDiv w:val="1"/>
      <w:marLeft w:val="0"/>
      <w:marRight w:val="0"/>
      <w:marTop w:val="0"/>
      <w:marBottom w:val="0"/>
      <w:divBdr>
        <w:top w:val="none" w:sz="0" w:space="0" w:color="auto"/>
        <w:left w:val="none" w:sz="0" w:space="0" w:color="auto"/>
        <w:bottom w:val="none" w:sz="0" w:space="0" w:color="auto"/>
        <w:right w:val="none" w:sz="0" w:space="0" w:color="auto"/>
      </w:divBdr>
    </w:div>
    <w:div w:id="1147240351">
      <w:bodyDiv w:val="1"/>
      <w:marLeft w:val="0"/>
      <w:marRight w:val="0"/>
      <w:marTop w:val="0"/>
      <w:marBottom w:val="0"/>
      <w:divBdr>
        <w:top w:val="none" w:sz="0" w:space="0" w:color="auto"/>
        <w:left w:val="none" w:sz="0" w:space="0" w:color="auto"/>
        <w:bottom w:val="none" w:sz="0" w:space="0" w:color="auto"/>
        <w:right w:val="none" w:sz="0" w:space="0" w:color="auto"/>
      </w:divBdr>
    </w:div>
    <w:div w:id="1191840308">
      <w:bodyDiv w:val="1"/>
      <w:marLeft w:val="0"/>
      <w:marRight w:val="0"/>
      <w:marTop w:val="0"/>
      <w:marBottom w:val="0"/>
      <w:divBdr>
        <w:top w:val="none" w:sz="0" w:space="0" w:color="auto"/>
        <w:left w:val="none" w:sz="0" w:space="0" w:color="auto"/>
        <w:bottom w:val="none" w:sz="0" w:space="0" w:color="auto"/>
        <w:right w:val="none" w:sz="0" w:space="0" w:color="auto"/>
      </w:divBdr>
    </w:div>
    <w:div w:id="1232036810">
      <w:bodyDiv w:val="1"/>
      <w:marLeft w:val="0"/>
      <w:marRight w:val="0"/>
      <w:marTop w:val="0"/>
      <w:marBottom w:val="0"/>
      <w:divBdr>
        <w:top w:val="none" w:sz="0" w:space="0" w:color="auto"/>
        <w:left w:val="none" w:sz="0" w:space="0" w:color="auto"/>
        <w:bottom w:val="none" w:sz="0" w:space="0" w:color="auto"/>
        <w:right w:val="none" w:sz="0" w:space="0" w:color="auto"/>
      </w:divBdr>
    </w:div>
    <w:div w:id="1238051173">
      <w:bodyDiv w:val="1"/>
      <w:marLeft w:val="0"/>
      <w:marRight w:val="0"/>
      <w:marTop w:val="0"/>
      <w:marBottom w:val="0"/>
      <w:divBdr>
        <w:top w:val="none" w:sz="0" w:space="0" w:color="auto"/>
        <w:left w:val="none" w:sz="0" w:space="0" w:color="auto"/>
        <w:bottom w:val="none" w:sz="0" w:space="0" w:color="auto"/>
        <w:right w:val="none" w:sz="0" w:space="0" w:color="auto"/>
      </w:divBdr>
    </w:div>
    <w:div w:id="1240868951">
      <w:bodyDiv w:val="1"/>
      <w:marLeft w:val="0"/>
      <w:marRight w:val="0"/>
      <w:marTop w:val="0"/>
      <w:marBottom w:val="0"/>
      <w:divBdr>
        <w:top w:val="none" w:sz="0" w:space="0" w:color="auto"/>
        <w:left w:val="none" w:sz="0" w:space="0" w:color="auto"/>
        <w:bottom w:val="none" w:sz="0" w:space="0" w:color="auto"/>
        <w:right w:val="none" w:sz="0" w:space="0" w:color="auto"/>
      </w:divBdr>
    </w:div>
    <w:div w:id="1473913041">
      <w:bodyDiv w:val="1"/>
      <w:marLeft w:val="0"/>
      <w:marRight w:val="0"/>
      <w:marTop w:val="0"/>
      <w:marBottom w:val="0"/>
      <w:divBdr>
        <w:top w:val="none" w:sz="0" w:space="0" w:color="auto"/>
        <w:left w:val="none" w:sz="0" w:space="0" w:color="auto"/>
        <w:bottom w:val="none" w:sz="0" w:space="0" w:color="auto"/>
        <w:right w:val="none" w:sz="0" w:space="0" w:color="auto"/>
      </w:divBdr>
    </w:div>
    <w:div w:id="1540627706">
      <w:bodyDiv w:val="1"/>
      <w:marLeft w:val="0"/>
      <w:marRight w:val="0"/>
      <w:marTop w:val="0"/>
      <w:marBottom w:val="0"/>
      <w:divBdr>
        <w:top w:val="none" w:sz="0" w:space="0" w:color="auto"/>
        <w:left w:val="none" w:sz="0" w:space="0" w:color="auto"/>
        <w:bottom w:val="none" w:sz="0" w:space="0" w:color="auto"/>
        <w:right w:val="none" w:sz="0" w:space="0" w:color="auto"/>
      </w:divBdr>
    </w:div>
    <w:div w:id="1566649227">
      <w:bodyDiv w:val="1"/>
      <w:marLeft w:val="0"/>
      <w:marRight w:val="0"/>
      <w:marTop w:val="0"/>
      <w:marBottom w:val="0"/>
      <w:divBdr>
        <w:top w:val="none" w:sz="0" w:space="0" w:color="auto"/>
        <w:left w:val="none" w:sz="0" w:space="0" w:color="auto"/>
        <w:bottom w:val="none" w:sz="0" w:space="0" w:color="auto"/>
        <w:right w:val="none" w:sz="0" w:space="0" w:color="auto"/>
      </w:divBdr>
    </w:div>
    <w:div w:id="1569000901">
      <w:bodyDiv w:val="1"/>
      <w:marLeft w:val="0"/>
      <w:marRight w:val="0"/>
      <w:marTop w:val="0"/>
      <w:marBottom w:val="0"/>
      <w:divBdr>
        <w:top w:val="none" w:sz="0" w:space="0" w:color="auto"/>
        <w:left w:val="none" w:sz="0" w:space="0" w:color="auto"/>
        <w:bottom w:val="none" w:sz="0" w:space="0" w:color="auto"/>
        <w:right w:val="none" w:sz="0" w:space="0" w:color="auto"/>
      </w:divBdr>
    </w:div>
    <w:div w:id="1585452535">
      <w:bodyDiv w:val="1"/>
      <w:marLeft w:val="0"/>
      <w:marRight w:val="0"/>
      <w:marTop w:val="0"/>
      <w:marBottom w:val="0"/>
      <w:divBdr>
        <w:top w:val="none" w:sz="0" w:space="0" w:color="auto"/>
        <w:left w:val="none" w:sz="0" w:space="0" w:color="auto"/>
        <w:bottom w:val="none" w:sz="0" w:space="0" w:color="auto"/>
        <w:right w:val="none" w:sz="0" w:space="0" w:color="auto"/>
      </w:divBdr>
    </w:div>
    <w:div w:id="1743869303">
      <w:bodyDiv w:val="1"/>
      <w:marLeft w:val="0"/>
      <w:marRight w:val="0"/>
      <w:marTop w:val="0"/>
      <w:marBottom w:val="0"/>
      <w:divBdr>
        <w:top w:val="none" w:sz="0" w:space="0" w:color="auto"/>
        <w:left w:val="none" w:sz="0" w:space="0" w:color="auto"/>
        <w:bottom w:val="none" w:sz="0" w:space="0" w:color="auto"/>
        <w:right w:val="none" w:sz="0" w:space="0" w:color="auto"/>
      </w:divBdr>
    </w:div>
    <w:div w:id="1756973969">
      <w:bodyDiv w:val="1"/>
      <w:marLeft w:val="0"/>
      <w:marRight w:val="0"/>
      <w:marTop w:val="0"/>
      <w:marBottom w:val="0"/>
      <w:divBdr>
        <w:top w:val="none" w:sz="0" w:space="0" w:color="auto"/>
        <w:left w:val="none" w:sz="0" w:space="0" w:color="auto"/>
        <w:bottom w:val="none" w:sz="0" w:space="0" w:color="auto"/>
        <w:right w:val="none" w:sz="0" w:space="0" w:color="auto"/>
      </w:divBdr>
    </w:div>
    <w:div w:id="1764958836">
      <w:bodyDiv w:val="1"/>
      <w:marLeft w:val="0"/>
      <w:marRight w:val="0"/>
      <w:marTop w:val="0"/>
      <w:marBottom w:val="0"/>
      <w:divBdr>
        <w:top w:val="none" w:sz="0" w:space="0" w:color="auto"/>
        <w:left w:val="none" w:sz="0" w:space="0" w:color="auto"/>
        <w:bottom w:val="none" w:sz="0" w:space="0" w:color="auto"/>
        <w:right w:val="none" w:sz="0" w:space="0" w:color="auto"/>
      </w:divBdr>
    </w:div>
    <w:div w:id="1768036158">
      <w:bodyDiv w:val="1"/>
      <w:marLeft w:val="0"/>
      <w:marRight w:val="0"/>
      <w:marTop w:val="0"/>
      <w:marBottom w:val="0"/>
      <w:divBdr>
        <w:top w:val="none" w:sz="0" w:space="0" w:color="auto"/>
        <w:left w:val="none" w:sz="0" w:space="0" w:color="auto"/>
        <w:bottom w:val="none" w:sz="0" w:space="0" w:color="auto"/>
        <w:right w:val="none" w:sz="0" w:space="0" w:color="auto"/>
      </w:divBdr>
    </w:div>
    <w:div w:id="1789740803">
      <w:bodyDiv w:val="1"/>
      <w:marLeft w:val="0"/>
      <w:marRight w:val="0"/>
      <w:marTop w:val="0"/>
      <w:marBottom w:val="0"/>
      <w:divBdr>
        <w:top w:val="none" w:sz="0" w:space="0" w:color="auto"/>
        <w:left w:val="none" w:sz="0" w:space="0" w:color="auto"/>
        <w:bottom w:val="none" w:sz="0" w:space="0" w:color="auto"/>
        <w:right w:val="none" w:sz="0" w:space="0" w:color="auto"/>
      </w:divBdr>
    </w:div>
    <w:div w:id="1813905987">
      <w:bodyDiv w:val="1"/>
      <w:marLeft w:val="0"/>
      <w:marRight w:val="0"/>
      <w:marTop w:val="0"/>
      <w:marBottom w:val="0"/>
      <w:divBdr>
        <w:top w:val="none" w:sz="0" w:space="0" w:color="auto"/>
        <w:left w:val="none" w:sz="0" w:space="0" w:color="auto"/>
        <w:bottom w:val="none" w:sz="0" w:space="0" w:color="auto"/>
        <w:right w:val="none" w:sz="0" w:space="0" w:color="auto"/>
      </w:divBdr>
    </w:div>
    <w:div w:id="1916821007">
      <w:bodyDiv w:val="1"/>
      <w:marLeft w:val="0"/>
      <w:marRight w:val="0"/>
      <w:marTop w:val="0"/>
      <w:marBottom w:val="0"/>
      <w:divBdr>
        <w:top w:val="none" w:sz="0" w:space="0" w:color="auto"/>
        <w:left w:val="none" w:sz="0" w:space="0" w:color="auto"/>
        <w:bottom w:val="none" w:sz="0" w:space="0" w:color="auto"/>
        <w:right w:val="none" w:sz="0" w:space="0" w:color="auto"/>
      </w:divBdr>
    </w:div>
    <w:div w:id="1982734161">
      <w:bodyDiv w:val="1"/>
      <w:marLeft w:val="0"/>
      <w:marRight w:val="0"/>
      <w:marTop w:val="0"/>
      <w:marBottom w:val="0"/>
      <w:divBdr>
        <w:top w:val="none" w:sz="0" w:space="0" w:color="auto"/>
        <w:left w:val="none" w:sz="0" w:space="0" w:color="auto"/>
        <w:bottom w:val="none" w:sz="0" w:space="0" w:color="auto"/>
        <w:right w:val="none" w:sz="0" w:space="0" w:color="auto"/>
      </w:divBdr>
    </w:div>
    <w:div w:id="2034458228">
      <w:bodyDiv w:val="1"/>
      <w:marLeft w:val="0"/>
      <w:marRight w:val="0"/>
      <w:marTop w:val="0"/>
      <w:marBottom w:val="0"/>
      <w:divBdr>
        <w:top w:val="none" w:sz="0" w:space="0" w:color="auto"/>
        <w:left w:val="none" w:sz="0" w:space="0" w:color="auto"/>
        <w:bottom w:val="none" w:sz="0" w:space="0" w:color="auto"/>
        <w:right w:val="none" w:sz="0" w:space="0" w:color="auto"/>
      </w:divBdr>
    </w:div>
    <w:div w:id="2047022175">
      <w:bodyDiv w:val="1"/>
      <w:marLeft w:val="0"/>
      <w:marRight w:val="0"/>
      <w:marTop w:val="0"/>
      <w:marBottom w:val="0"/>
      <w:divBdr>
        <w:top w:val="none" w:sz="0" w:space="0" w:color="auto"/>
        <w:left w:val="none" w:sz="0" w:space="0" w:color="auto"/>
        <w:bottom w:val="none" w:sz="0" w:space="0" w:color="auto"/>
        <w:right w:val="none" w:sz="0" w:space="0" w:color="auto"/>
      </w:divBdr>
    </w:div>
    <w:div w:id="2058118380">
      <w:bodyDiv w:val="1"/>
      <w:marLeft w:val="0"/>
      <w:marRight w:val="0"/>
      <w:marTop w:val="0"/>
      <w:marBottom w:val="0"/>
      <w:divBdr>
        <w:top w:val="none" w:sz="0" w:space="0" w:color="auto"/>
        <w:left w:val="none" w:sz="0" w:space="0" w:color="auto"/>
        <w:bottom w:val="none" w:sz="0" w:space="0" w:color="auto"/>
        <w:right w:val="none" w:sz="0" w:space="0" w:color="auto"/>
      </w:divBdr>
    </w:div>
    <w:div w:id="2109301760">
      <w:bodyDiv w:val="1"/>
      <w:marLeft w:val="0"/>
      <w:marRight w:val="0"/>
      <w:marTop w:val="0"/>
      <w:marBottom w:val="0"/>
      <w:divBdr>
        <w:top w:val="none" w:sz="0" w:space="0" w:color="auto"/>
        <w:left w:val="none" w:sz="0" w:space="0" w:color="auto"/>
        <w:bottom w:val="none" w:sz="0" w:space="0" w:color="auto"/>
        <w:right w:val="none" w:sz="0" w:space="0" w:color="auto"/>
      </w:divBdr>
    </w:div>
    <w:div w:id="21115818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image" Target="media/image1.png"/><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chart" Target="charts/chart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6.xml"/><Relationship Id="rId27" Type="http://schemas.openxmlformats.org/officeDocument/2006/relationships/hyperlink" Target="https://gels-avoirs.dgtresor.gouv.fr/"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pivotSource>
    <c:name>[CRS1033 - ODS PfoR VF.xlsx]AFD EF Summary!Tableau croisé dynamique2</c:name>
    <c:fmtId val="-1"/>
  </c:pivotSource>
  <c:chart>
    <c:autoTitleDeleted val="1"/>
    <c:pivotFmts>
      <c:pivotFmt>
        <c:idx val="0"/>
        <c:spPr>
          <a:solidFill>
            <a:schemeClr val="accent1"/>
          </a:solidFill>
          <a:ln w="19050">
            <a:solidFill>
              <a:schemeClr val="lt1"/>
            </a:solidFill>
          </a:ln>
          <a:effectLst/>
        </c:spPr>
        <c:marker>
          <c:symbol val="none"/>
        </c:marker>
      </c:pivotFmt>
      <c:pivotFmt>
        <c:idx val="1"/>
        <c:spPr>
          <a:solidFill>
            <a:schemeClr val="accent1"/>
          </a:solidFill>
          <a:ln w="19050">
            <a:solidFill>
              <a:schemeClr val="lt1"/>
            </a:solid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showLegendKey val="0"/>
          <c:showVal val="0"/>
          <c:showCatName val="0"/>
          <c:showSerName val="0"/>
          <c:showPercent val="1"/>
          <c:showBubbleSize val="0"/>
          <c:extLst>
            <c:ext xmlns:c15="http://schemas.microsoft.com/office/drawing/2012/chart" uri="{CE6537A1-D6FC-4f65-9D91-7224C49458BB}"/>
          </c:extLst>
        </c:dLbl>
      </c:pivotFmt>
      <c:pivotFmt>
        <c:idx val="2"/>
        <c:spPr>
          <a:solidFill>
            <a:schemeClr val="accent1"/>
          </a:solidFill>
          <a:ln w="19050">
            <a:solidFill>
              <a:schemeClr val="lt1"/>
            </a:solidFill>
          </a:ln>
          <a:effectLst/>
        </c:spPr>
      </c:pivotFmt>
      <c:pivotFmt>
        <c:idx val="3"/>
        <c:spPr>
          <a:solidFill>
            <a:schemeClr val="accent1"/>
          </a:solidFill>
          <a:ln w="19050">
            <a:solidFill>
              <a:schemeClr val="lt1"/>
            </a:solidFill>
          </a:ln>
          <a:effectLst/>
        </c:spPr>
      </c:pivotFmt>
      <c:pivotFmt>
        <c:idx val="4"/>
        <c:spPr>
          <a:solidFill>
            <a:schemeClr val="accent1"/>
          </a:solidFill>
          <a:ln w="19050">
            <a:solidFill>
              <a:schemeClr val="lt1"/>
            </a:solidFill>
          </a:ln>
          <a:effectLst/>
        </c:spPr>
      </c:pivotFmt>
      <c:pivotFmt>
        <c:idx val="5"/>
        <c:spPr>
          <a:solidFill>
            <a:schemeClr val="accent1"/>
          </a:solidFill>
          <a:ln w="19050">
            <a:solidFill>
              <a:schemeClr val="lt1"/>
            </a:solidFill>
          </a:ln>
          <a:effectLst/>
        </c:spPr>
      </c:pivotFmt>
      <c:pivotFmt>
        <c:idx val="6"/>
        <c:spPr>
          <a:solidFill>
            <a:schemeClr val="accent1"/>
          </a:solidFill>
          <a:ln w="19050">
            <a:solidFill>
              <a:schemeClr val="lt1"/>
            </a:solidFill>
          </a:ln>
          <a:effectLst/>
        </c:spPr>
      </c:pivotFmt>
      <c:pivotFmt>
        <c:idx val="7"/>
        <c:spPr>
          <a:solidFill>
            <a:schemeClr val="accent1"/>
          </a:solidFill>
          <a:ln w="19050">
            <a:solidFill>
              <a:schemeClr val="lt1"/>
            </a:solidFill>
          </a:ln>
          <a:effectLst/>
        </c:spPr>
      </c:pivotFmt>
      <c:pivotFmt>
        <c:idx val="8"/>
        <c:spPr>
          <a:solidFill>
            <a:schemeClr val="accent1"/>
          </a:solidFill>
          <a:ln w="19050">
            <a:solidFill>
              <a:schemeClr val="lt1"/>
            </a:solid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showLegendKey val="0"/>
          <c:showVal val="0"/>
          <c:showCatName val="0"/>
          <c:showSerName val="0"/>
          <c:showPercent val="1"/>
          <c:showBubbleSize val="0"/>
          <c:extLst>
            <c:ext xmlns:c15="http://schemas.microsoft.com/office/drawing/2012/chart" uri="{CE6537A1-D6FC-4f65-9D91-7224C49458BB}"/>
          </c:extLst>
        </c:dLbl>
      </c:pivotFmt>
      <c:pivotFmt>
        <c:idx val="9"/>
        <c:spPr>
          <a:solidFill>
            <a:schemeClr val="accent1"/>
          </a:solidFill>
          <a:ln w="19050">
            <a:solidFill>
              <a:schemeClr val="lt1"/>
            </a:solidFill>
          </a:ln>
          <a:effectLst/>
        </c:spPr>
      </c:pivotFmt>
      <c:pivotFmt>
        <c:idx val="10"/>
        <c:spPr>
          <a:solidFill>
            <a:schemeClr val="accent1"/>
          </a:solidFill>
          <a:ln w="19050">
            <a:solidFill>
              <a:schemeClr val="lt1"/>
            </a:solidFill>
          </a:ln>
          <a:effectLst/>
        </c:spPr>
      </c:pivotFmt>
      <c:pivotFmt>
        <c:idx val="11"/>
        <c:spPr>
          <a:solidFill>
            <a:schemeClr val="accent1"/>
          </a:solidFill>
          <a:ln w="19050">
            <a:solidFill>
              <a:schemeClr val="lt1"/>
            </a:solidFill>
          </a:ln>
          <a:effectLst/>
        </c:spPr>
      </c:pivotFmt>
      <c:pivotFmt>
        <c:idx val="12"/>
        <c:spPr>
          <a:solidFill>
            <a:schemeClr val="accent1"/>
          </a:solidFill>
          <a:ln w="19050">
            <a:solidFill>
              <a:schemeClr val="lt1"/>
            </a:solidFill>
          </a:ln>
          <a:effectLst/>
        </c:spPr>
      </c:pivotFmt>
      <c:pivotFmt>
        <c:idx val="13"/>
        <c:spPr>
          <a:solidFill>
            <a:schemeClr val="accent1"/>
          </a:solidFill>
          <a:ln w="19050">
            <a:solidFill>
              <a:schemeClr val="lt1"/>
            </a:solidFill>
          </a:ln>
          <a:effectLst/>
        </c:spPr>
      </c:pivotFmt>
      <c:pivotFmt>
        <c:idx val="14"/>
        <c:spPr>
          <a:solidFill>
            <a:schemeClr val="accent1"/>
          </a:solidFill>
          <a:ln w="19050">
            <a:solidFill>
              <a:schemeClr val="lt1"/>
            </a:solidFill>
          </a:ln>
          <a:effectLst/>
        </c:spPr>
      </c:pivotFmt>
      <c:pivotFmt>
        <c:idx val="15"/>
        <c:spPr>
          <a:solidFill>
            <a:schemeClr val="accent1"/>
          </a:solidFill>
          <a:ln w="19050">
            <a:solidFill>
              <a:schemeClr val="lt1"/>
            </a:solidFill>
          </a:ln>
          <a:effectLst/>
        </c:spPr>
      </c:pivotFmt>
      <c:pivotFmt>
        <c:idx val="16"/>
        <c:spPr>
          <a:solidFill>
            <a:schemeClr val="accent1"/>
          </a:solidFill>
          <a:ln w="19050">
            <a:solidFill>
              <a:schemeClr val="lt1"/>
            </a:solidFill>
          </a:ln>
          <a:effectLst/>
        </c:spPr>
      </c:pivotFmt>
      <c:pivotFmt>
        <c:idx val="17"/>
        <c:spPr>
          <a:solidFill>
            <a:schemeClr val="accent1"/>
          </a:solidFill>
          <a:ln w="19050">
            <a:solidFill>
              <a:schemeClr val="lt1"/>
            </a:solidFill>
          </a:ln>
          <a:effectLst/>
        </c:spPr>
      </c:pivotFmt>
      <c:pivotFmt>
        <c:idx val="18"/>
        <c:spPr>
          <a:solidFill>
            <a:schemeClr val="accent1"/>
          </a:solidFill>
          <a:ln w="19050">
            <a:solidFill>
              <a:schemeClr val="lt1"/>
            </a:solidFill>
          </a:ln>
          <a:effectLst/>
        </c:spPr>
      </c:pivotFmt>
      <c:pivotFmt>
        <c:idx val="19"/>
        <c:spPr>
          <a:solidFill>
            <a:schemeClr val="accent1"/>
          </a:solidFill>
          <a:ln w="19050">
            <a:solidFill>
              <a:schemeClr val="lt1"/>
            </a:solidFill>
          </a:ln>
          <a:effectLst/>
        </c:spPr>
      </c:pivotFmt>
      <c:pivotFmt>
        <c:idx val="20"/>
        <c:spPr>
          <a:solidFill>
            <a:schemeClr val="accent1"/>
          </a:solidFill>
          <a:ln w="19050">
            <a:solidFill>
              <a:schemeClr val="lt1"/>
            </a:solidFill>
          </a:ln>
          <a:effectLst/>
        </c:spPr>
      </c:pivotFmt>
      <c:pivotFmt>
        <c:idx val="21"/>
        <c:spPr>
          <a:solidFill>
            <a:schemeClr val="accent1"/>
          </a:solidFill>
          <a:ln w="19050">
            <a:solidFill>
              <a:schemeClr val="lt1"/>
            </a:solid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showLegendKey val="0"/>
          <c:showVal val="0"/>
          <c:showCatName val="0"/>
          <c:showSerName val="0"/>
          <c:showPercent val="1"/>
          <c:showBubbleSize val="0"/>
          <c:extLst>
            <c:ext xmlns:c15="http://schemas.microsoft.com/office/drawing/2012/chart" uri="{CE6537A1-D6FC-4f65-9D91-7224C49458BB}"/>
          </c:extLst>
        </c:dLbl>
      </c:pivotFmt>
      <c:pivotFmt>
        <c:idx val="22"/>
        <c:spPr>
          <a:solidFill>
            <a:schemeClr val="accent1"/>
          </a:solidFill>
          <a:ln w="19050">
            <a:solidFill>
              <a:schemeClr val="lt1"/>
            </a:solidFill>
          </a:ln>
          <a:effectLst/>
        </c:spPr>
      </c:pivotFmt>
      <c:pivotFmt>
        <c:idx val="23"/>
        <c:spPr>
          <a:solidFill>
            <a:schemeClr val="accent1"/>
          </a:solidFill>
          <a:ln w="19050">
            <a:solidFill>
              <a:schemeClr val="lt1"/>
            </a:solidFill>
          </a:ln>
          <a:effectLst/>
        </c:spPr>
      </c:pivotFmt>
      <c:pivotFmt>
        <c:idx val="24"/>
        <c:spPr>
          <a:solidFill>
            <a:schemeClr val="accent1"/>
          </a:solidFill>
          <a:ln w="19050">
            <a:solidFill>
              <a:schemeClr val="lt1"/>
            </a:solidFill>
          </a:ln>
          <a:effectLst/>
        </c:spPr>
      </c:pivotFmt>
      <c:pivotFmt>
        <c:idx val="25"/>
        <c:spPr>
          <a:solidFill>
            <a:schemeClr val="accent1"/>
          </a:solidFill>
          <a:ln w="19050">
            <a:solidFill>
              <a:schemeClr val="lt1"/>
            </a:solidFill>
          </a:ln>
          <a:effectLst/>
        </c:spPr>
      </c:pivotFmt>
      <c:pivotFmt>
        <c:idx val="26"/>
        <c:spPr>
          <a:solidFill>
            <a:schemeClr val="accent1"/>
          </a:solidFill>
          <a:ln w="19050">
            <a:solidFill>
              <a:schemeClr val="lt1"/>
            </a:solidFill>
          </a:ln>
          <a:effectLst/>
        </c:spPr>
      </c:pivotFmt>
      <c:pivotFmt>
        <c:idx val="27"/>
        <c:spPr>
          <a:solidFill>
            <a:schemeClr val="accent1"/>
          </a:solidFill>
          <a:ln w="19050">
            <a:solidFill>
              <a:schemeClr val="lt1"/>
            </a:solidFill>
          </a:ln>
          <a:effectLst/>
        </c:spPr>
      </c:pivotFmt>
      <c:pivotFmt>
        <c:idx val="28"/>
        <c:spPr>
          <a:solidFill>
            <a:schemeClr val="accent1"/>
          </a:solidFill>
          <a:ln w="19050">
            <a:solidFill>
              <a:schemeClr val="lt1"/>
            </a:solid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showLegendKey val="0"/>
          <c:showVal val="0"/>
          <c:showCatName val="0"/>
          <c:showSerName val="0"/>
          <c:showPercent val="1"/>
          <c:showBubbleSize val="0"/>
          <c:extLst>
            <c:ext xmlns:c15="http://schemas.microsoft.com/office/drawing/2012/chart" uri="{CE6537A1-D6FC-4f65-9D91-7224C49458BB}"/>
          </c:extLst>
        </c:dLbl>
      </c:pivotFmt>
      <c:pivotFmt>
        <c:idx val="29"/>
        <c:spPr>
          <a:solidFill>
            <a:schemeClr val="accent1"/>
          </a:solidFill>
          <a:ln w="19050">
            <a:solidFill>
              <a:schemeClr val="lt1"/>
            </a:solidFill>
          </a:ln>
          <a:effectLst/>
        </c:spPr>
      </c:pivotFmt>
      <c:pivotFmt>
        <c:idx val="30"/>
        <c:spPr>
          <a:solidFill>
            <a:schemeClr val="accent1"/>
          </a:solidFill>
          <a:ln w="19050">
            <a:solidFill>
              <a:schemeClr val="lt1"/>
            </a:solidFill>
          </a:ln>
          <a:effectLst/>
        </c:spPr>
      </c:pivotFmt>
      <c:pivotFmt>
        <c:idx val="31"/>
        <c:spPr>
          <a:solidFill>
            <a:schemeClr val="accent1"/>
          </a:solidFill>
          <a:ln w="19050">
            <a:solidFill>
              <a:schemeClr val="lt1"/>
            </a:solidFill>
          </a:ln>
          <a:effectLst/>
        </c:spPr>
      </c:pivotFmt>
      <c:pivotFmt>
        <c:idx val="32"/>
        <c:spPr>
          <a:solidFill>
            <a:schemeClr val="accent1"/>
          </a:solidFill>
          <a:ln w="19050">
            <a:solidFill>
              <a:schemeClr val="lt1"/>
            </a:solidFill>
          </a:ln>
          <a:effectLst/>
        </c:spPr>
      </c:pivotFmt>
      <c:pivotFmt>
        <c:idx val="33"/>
        <c:spPr>
          <a:solidFill>
            <a:schemeClr val="accent1"/>
          </a:solidFill>
          <a:ln w="19050">
            <a:solidFill>
              <a:schemeClr val="lt1"/>
            </a:solidFill>
          </a:ln>
          <a:effectLst/>
        </c:spPr>
      </c:pivotFmt>
      <c:pivotFmt>
        <c:idx val="34"/>
        <c:spPr>
          <a:solidFill>
            <a:schemeClr val="accent1"/>
          </a:solidFill>
          <a:ln w="19050">
            <a:solidFill>
              <a:schemeClr val="lt1"/>
            </a:solidFill>
          </a:ln>
          <a:effectLst/>
        </c:spPr>
      </c:pivotFmt>
      <c:pivotFmt>
        <c:idx val="35"/>
        <c:spPr>
          <a:solidFill>
            <a:schemeClr val="accent1"/>
          </a:solidFill>
          <a:ln w="19050">
            <a:solidFill>
              <a:schemeClr val="lt1"/>
            </a:solid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showLegendKey val="0"/>
          <c:showVal val="0"/>
          <c:showCatName val="0"/>
          <c:showSerName val="0"/>
          <c:showPercent val="1"/>
          <c:showBubbleSize val="0"/>
          <c:extLst>
            <c:ext xmlns:c15="http://schemas.microsoft.com/office/drawing/2012/chart" uri="{CE6537A1-D6FC-4f65-9D91-7224C49458BB}"/>
          </c:extLst>
        </c:dLbl>
      </c:pivotFmt>
      <c:pivotFmt>
        <c:idx val="36"/>
        <c:spPr>
          <a:solidFill>
            <a:schemeClr val="accent1"/>
          </a:solidFill>
          <a:ln w="19050">
            <a:solidFill>
              <a:schemeClr val="lt1"/>
            </a:solidFill>
          </a:ln>
          <a:effectLst/>
        </c:spPr>
      </c:pivotFmt>
      <c:pivotFmt>
        <c:idx val="37"/>
        <c:spPr>
          <a:solidFill>
            <a:schemeClr val="accent1"/>
          </a:solidFill>
          <a:ln w="19050">
            <a:solidFill>
              <a:schemeClr val="lt1"/>
            </a:solidFill>
          </a:ln>
          <a:effectLst/>
        </c:spPr>
      </c:pivotFmt>
      <c:pivotFmt>
        <c:idx val="38"/>
        <c:spPr>
          <a:solidFill>
            <a:schemeClr val="accent1"/>
          </a:solidFill>
          <a:ln w="19050">
            <a:solidFill>
              <a:schemeClr val="lt1"/>
            </a:solidFill>
          </a:ln>
          <a:effectLst/>
        </c:spPr>
      </c:pivotFmt>
      <c:pivotFmt>
        <c:idx val="39"/>
        <c:spPr>
          <a:solidFill>
            <a:schemeClr val="accent1"/>
          </a:solidFill>
          <a:ln w="19050">
            <a:solidFill>
              <a:schemeClr val="lt1"/>
            </a:solidFill>
          </a:ln>
          <a:effectLst/>
        </c:spPr>
      </c:pivotFmt>
      <c:pivotFmt>
        <c:idx val="40"/>
        <c:spPr>
          <a:solidFill>
            <a:schemeClr val="accent1"/>
          </a:solidFill>
          <a:ln w="19050">
            <a:solidFill>
              <a:schemeClr val="lt1"/>
            </a:solidFill>
          </a:ln>
          <a:effectLst/>
        </c:spPr>
      </c:pivotFmt>
      <c:pivotFmt>
        <c:idx val="41"/>
        <c:spPr>
          <a:solidFill>
            <a:schemeClr val="accent1"/>
          </a:solidFill>
          <a:ln w="19050">
            <a:solidFill>
              <a:schemeClr val="lt1"/>
            </a:solidFill>
          </a:ln>
          <a:effectLst/>
        </c:spPr>
      </c:pivotFmt>
    </c:pivotFmts>
    <c:plotArea>
      <c:layout/>
      <c:doughnutChart>
        <c:varyColors val="1"/>
        <c:ser>
          <c:idx val="0"/>
          <c:order val="0"/>
          <c:tx>
            <c:strRef>
              <c:f>'AFD EF Summary'!$B$2</c:f>
              <c:strCache>
                <c:ptCount val="1"/>
                <c:pt idx="0">
                  <c:v>Total</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FD53-444B-B7A8-03270CC4F1BF}"/>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FD53-444B-B7A8-03270CC4F1BF}"/>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FD53-444B-B7A8-03270CC4F1BF}"/>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FD53-444B-B7A8-03270CC4F1BF}"/>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FD53-444B-B7A8-03270CC4F1BF}"/>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FD53-444B-B7A8-03270CC4F1BF}"/>
              </c:ext>
            </c:extLst>
          </c:dPt>
          <c:dLbls>
            <c:dLbl>
              <c:idx val="0"/>
              <c:layout>
                <c:manualLayout>
                  <c:x val="0.21754250313305432"/>
                  <c:y val="-6.7406093159947889E-2"/>
                </c:manualLayout>
              </c:layout>
              <c:tx>
                <c:rich>
                  <a:bodyPr/>
                  <a:lstStyle/>
                  <a:p>
                    <a:r>
                      <a:rPr lang="sr-Cyrl-CS"/>
                      <a:t>Биодиверзитет</a:t>
                    </a:r>
                    <a:r>
                      <a:rPr lang="sr-Cyrl-CS" baseline="0"/>
                      <a:t>
</a:t>
                    </a:r>
                    <a:fld id="{E4A35031-5ADB-4640-840B-9B70C07FE8BC}" type="PERCENTAGE">
                      <a:rPr lang="en-US" baseline="0"/>
                      <a:pPr/>
                      <a:t>[PERCENTAGE]</a:t>
                    </a:fld>
                    <a:endParaRPr lang="sr-Cyrl-CS" baseline="0"/>
                  </a:p>
                </c:rich>
              </c:tx>
              <c:showLegendKey val="0"/>
              <c:showVal val="0"/>
              <c:showCatName val="1"/>
              <c:showSerName val="0"/>
              <c:showPercent val="1"/>
              <c:showBubbleSize val="0"/>
              <c:extLst>
                <c:ext xmlns:c15="http://schemas.microsoft.com/office/drawing/2012/chart" uri="{CE6537A1-D6FC-4f65-9D91-7224C49458BB}">
                  <c15:layout>
                    <c:manualLayout>
                      <c:w val="0.235975975975976"/>
                      <c:h val="0.17853079396487756"/>
                    </c:manualLayout>
                  </c15:layout>
                  <c15:dlblFieldTable/>
                  <c15:showDataLabelsRange val="0"/>
                </c:ext>
                <c:ext xmlns:c16="http://schemas.microsoft.com/office/drawing/2014/chart" uri="{C3380CC4-5D6E-409C-BE32-E72D297353CC}">
                  <c16:uniqueId val="{00000001-FD53-444B-B7A8-03270CC4F1BF}"/>
                </c:ext>
              </c:extLst>
            </c:dLbl>
            <c:dLbl>
              <c:idx val="1"/>
              <c:layout>
                <c:manualLayout>
                  <c:x val="0.22003877893641674"/>
                  <c:y val="0.10117496752431052"/>
                </c:manualLayout>
              </c:layout>
              <c:tx>
                <c:rich>
                  <a:bodyPr/>
                  <a:lstStyle/>
                  <a:p>
                    <a:r>
                      <a:rPr lang="sr-Cyrl-CS"/>
                      <a:t>Циркуларна економија</a:t>
                    </a:r>
                    <a:r>
                      <a:rPr lang="sr-Cyrl-CS" baseline="0"/>
                      <a:t>
</a:t>
                    </a:r>
                    <a:fld id="{60A0FE6D-6123-47F6-879D-AF635A94CCB2}" type="PERCENTAGE">
                      <a:rPr lang="en-US" baseline="0"/>
                      <a:pPr/>
                      <a:t>[PERCENTAGE]</a:t>
                    </a:fld>
                    <a:endParaRPr lang="sr-Cyrl-C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FD53-444B-B7A8-03270CC4F1BF}"/>
                </c:ext>
              </c:extLst>
            </c:dLbl>
            <c:dLbl>
              <c:idx val="2"/>
              <c:layout>
                <c:manualLayout>
                  <c:x val="0.21914774492549"/>
                  <c:y val="6.90281364748907E-2"/>
                </c:manualLayout>
              </c:layout>
              <c:tx>
                <c:rich>
                  <a:bodyPr/>
                  <a:lstStyle/>
                  <a:p>
                    <a:r>
                      <a:rPr lang="sr-Cyrl-CS"/>
                      <a:t>Клима,</a:t>
                    </a:r>
                    <a:r>
                      <a:rPr lang="sr-Cyrl-CS" baseline="0"/>
                      <a:t> енергетика и мобилност 
</a:t>
                    </a:r>
                    <a:fld id="{93C91E7F-2F10-428F-939E-A7D4ABFC356A}" type="PERCENTAGE">
                      <a:rPr lang="en-US" baseline="0"/>
                      <a:pPr/>
                      <a:t>[PERCENTAGE]</a:t>
                    </a:fld>
                    <a:endParaRPr lang="sr-Cyrl-CS" baseline="0"/>
                  </a:p>
                </c:rich>
              </c:tx>
              <c:showLegendKey val="0"/>
              <c:showVal val="0"/>
              <c:showCatName val="1"/>
              <c:showSerName val="0"/>
              <c:showPercent val="1"/>
              <c:showBubbleSize val="0"/>
              <c:extLst>
                <c:ext xmlns:c15="http://schemas.microsoft.com/office/drawing/2012/chart" uri="{CE6537A1-D6FC-4f65-9D91-7224C49458BB}">
                  <c15:layout>
                    <c:manualLayout>
                      <c:w val="0.31402886834550653"/>
                      <c:h val="0.29400764980875477"/>
                    </c:manualLayout>
                  </c15:layout>
                  <c15:dlblFieldTable/>
                  <c15:showDataLabelsRange val="0"/>
                </c:ext>
                <c:ext xmlns:c16="http://schemas.microsoft.com/office/drawing/2014/chart" uri="{C3380CC4-5D6E-409C-BE32-E72D297353CC}">
                  <c16:uniqueId val="{00000005-FD53-444B-B7A8-03270CC4F1BF}"/>
                </c:ext>
              </c:extLst>
            </c:dLbl>
            <c:dLbl>
              <c:idx val="3"/>
              <c:layout>
                <c:manualLayout>
                  <c:x val="-0.22287355811689608"/>
                  <c:y val="0.19370429302322859"/>
                </c:manualLayout>
              </c:layout>
              <c:tx>
                <c:rich>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r>
                      <a:rPr lang="sr-Cyrl-CS"/>
                      <a:t>	</a:t>
                    </a:r>
                  </a:p>
                  <a:p>
                    <a:pPr>
                      <a:defRPr/>
                    </a:pPr>
                    <a:r>
                      <a:rPr lang="sr-Cyrl-CS"/>
                      <a:t>Интердисциплинарна област</a:t>
                    </a:r>
                    <a:r>
                      <a:rPr lang="sr-Cyrl-CS" baseline="0"/>
                      <a:t>
</a:t>
                    </a:r>
                    <a:fld id="{E821DCE3-C00C-4F30-B919-392BC7E0B176}" type="PERCENTAGE">
                      <a:rPr lang="en-US" baseline="0"/>
                      <a:pPr>
                        <a:defRPr/>
                      </a:pPr>
                      <a:t>[PERCENTAGE]</a:t>
                    </a:fld>
                    <a:endParaRPr lang="sr-Cyrl-CS" baseline="0"/>
                  </a:p>
                </c:rich>
              </c:tx>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showLegendKey val="0"/>
              <c:showVal val="0"/>
              <c:showCatName val="1"/>
              <c:showSerName val="0"/>
              <c:showPercent val="1"/>
              <c:showBubbleSize val="0"/>
              <c:extLst>
                <c:ext xmlns:c15="http://schemas.microsoft.com/office/drawing/2012/chart" uri="{CE6537A1-D6FC-4f65-9D91-7224C49458BB}">
                  <c15:layout>
                    <c:manualLayout>
                      <c:w val="0.2080761197493618"/>
                      <c:h val="0.20025499362515936"/>
                    </c:manualLayout>
                  </c15:layout>
                  <c15:dlblFieldTable/>
                  <c15:showDataLabelsRange val="0"/>
                </c:ext>
                <c:ext xmlns:c16="http://schemas.microsoft.com/office/drawing/2014/chart" uri="{C3380CC4-5D6E-409C-BE32-E72D297353CC}">
                  <c16:uniqueId val="{00000007-FD53-444B-B7A8-03270CC4F1BF}"/>
                </c:ext>
              </c:extLst>
            </c:dLbl>
            <c:dLbl>
              <c:idx val="4"/>
              <c:layout>
                <c:manualLayout>
                  <c:x val="-0.3004270412144428"/>
                  <c:y val="9.8319833444020094E-2"/>
                </c:manualLayout>
              </c:layout>
              <c:tx>
                <c:rich>
                  <a:bodyPr/>
                  <a:lstStyle/>
                  <a:p>
                    <a:r>
                      <a:rPr lang="sr-Cyrl-CS"/>
                      <a:t>Смањење загађења</a:t>
                    </a:r>
                    <a:r>
                      <a:rPr lang="sr-Cyrl-CS" baseline="0"/>
                      <a:t>
</a:t>
                    </a:r>
                    <a:fld id="{62E3B6F9-53C7-45A1-984E-A44889DB854F}" type="PERCENTAGE">
                      <a:rPr lang="en-US" baseline="0"/>
                      <a:pPr/>
                      <a:t>[PERCENTAGE]</a:t>
                    </a:fld>
                    <a:endParaRPr lang="sr-Cyrl-C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FD53-444B-B7A8-03270CC4F1BF}"/>
                </c:ext>
              </c:extLst>
            </c:dLbl>
            <c:dLbl>
              <c:idx val="5"/>
              <c:layout>
                <c:manualLayout>
                  <c:x val="-0.20024000378331086"/>
                  <c:y val="-4.0661121292561657E-2"/>
                </c:manualLayout>
              </c:layout>
              <c:tx>
                <c:rich>
                  <a:bodyPr rot="0" spcFirstLastPara="1" vertOverflow="ellipsis" vert="horz" wrap="square" lIns="38100" tIns="19050" rIns="38100" bIns="19050" anchor="ctr" anchorCtr="1">
                    <a:noAutofit/>
                  </a:bodyPr>
                  <a:lstStyle/>
                  <a:p>
                    <a:pPr>
                      <a:defRPr sz="900" b="0" i="0" u="none" strike="noStrike" kern="1200" baseline="0">
                        <a:solidFill>
                          <a:srgbClr val="000000"/>
                        </a:solidFill>
                        <a:latin typeface="+mn-lt"/>
                        <a:ea typeface="+mn-ea"/>
                        <a:cs typeface="+mn-cs"/>
                      </a:defRPr>
                    </a:pPr>
                    <a:r>
                      <a:rPr lang="sr-Cyrl-CS"/>
                      <a:t>Одржива пољопривреда</a:t>
                    </a:r>
                    <a:r>
                      <a:rPr lang="sr-Cyrl-CS" baseline="0"/>
                      <a:t> и производња хране 
</a:t>
                    </a:r>
                    <a:fld id="{787FA72E-115F-4D5E-9E8E-E9A844BA738A}" type="PERCENTAGE">
                      <a:rPr lang="en-US" baseline="0"/>
                      <a:pPr>
                        <a:defRPr>
                          <a:solidFill>
                            <a:srgbClr val="000000"/>
                          </a:solidFill>
                        </a:defRPr>
                      </a:pPr>
                      <a:t>[PERCENTAGE]</a:t>
                    </a:fld>
                    <a:endParaRPr lang="sr-Cyrl-C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rgbClr val="000000"/>
                      </a:solidFill>
                      <a:latin typeface="+mn-lt"/>
                      <a:ea typeface="+mn-ea"/>
                      <a:cs typeface="+mn-cs"/>
                    </a:defRPr>
                  </a:pPr>
                  <a:endParaRPr lang="sr-Latn-RS"/>
                </a:p>
              </c:txPr>
              <c:showLegendKey val="0"/>
              <c:showVal val="0"/>
              <c:showCatName val="1"/>
              <c:showSerName val="0"/>
              <c:showPercent val="1"/>
              <c:showBubbleSize val="0"/>
              <c:extLst>
                <c:ext xmlns:c15="http://schemas.microsoft.com/office/drawing/2012/chart" uri="{CE6537A1-D6FC-4f65-9D91-7224C49458BB}">
                  <c15:layout>
                    <c:manualLayout>
                      <c:w val="0.46701283961126483"/>
                      <c:h val="0.22065784937901803"/>
                    </c:manualLayout>
                  </c15:layout>
                  <c15:dlblFieldTable/>
                  <c15:showDataLabelsRange val="0"/>
                </c:ext>
                <c:ext xmlns:c16="http://schemas.microsoft.com/office/drawing/2014/chart" uri="{C3380CC4-5D6E-409C-BE32-E72D297353CC}">
                  <c16:uniqueId val="{0000000B-FD53-444B-B7A8-03270CC4F1B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rgbClr val="000000"/>
                    </a:solidFill>
                    <a:latin typeface="+mn-lt"/>
                    <a:ea typeface="+mn-ea"/>
                    <a:cs typeface="+mn-cs"/>
                  </a:defRPr>
                </a:pPr>
                <a:endParaRPr lang="sr-Latn-RS"/>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'AFD EF Summary'!$A$3:$A$9</c:f>
              <c:strCache>
                <c:ptCount val="6"/>
                <c:pt idx="0">
                  <c:v>Biodiversity</c:v>
                </c:pt>
                <c:pt idx="1">
                  <c:v>Circular economy</c:v>
                </c:pt>
                <c:pt idx="2">
                  <c:v>Climate, energy and mobility</c:v>
                </c:pt>
                <c:pt idx="3">
                  <c:v>Cross-cutting</c:v>
                </c:pt>
                <c:pt idx="4">
                  <c:v>Depollution</c:v>
                </c:pt>
                <c:pt idx="5">
                  <c:v>Sustainable agriculture and food production</c:v>
                </c:pt>
              </c:strCache>
            </c:strRef>
          </c:cat>
          <c:val>
            <c:numRef>
              <c:f>'AFD EF Summary'!$B$3:$B$9</c:f>
              <c:numCache>
                <c:formatCode>#,##0</c:formatCode>
                <c:ptCount val="6"/>
                <c:pt idx="0">
                  <c:v>1320553.5</c:v>
                </c:pt>
                <c:pt idx="1">
                  <c:v>24502657.199999999</c:v>
                </c:pt>
                <c:pt idx="2">
                  <c:v>102916962.15570001</c:v>
                </c:pt>
                <c:pt idx="3">
                  <c:v>28951755.296099998</c:v>
                </c:pt>
                <c:pt idx="4">
                  <c:v>1592604.5604000001</c:v>
                </c:pt>
                <c:pt idx="5">
                  <c:v>4345047</c:v>
                </c:pt>
              </c:numCache>
            </c:numRef>
          </c:val>
          <c:extLst>
            <c:ext xmlns:c16="http://schemas.microsoft.com/office/drawing/2014/chart" uri="{C3380CC4-5D6E-409C-BE32-E72D297353CC}">
              <c16:uniqueId val="{0000000C-FD53-444B-B7A8-03270CC4F1BF}"/>
            </c:ext>
          </c:extLst>
        </c:ser>
        <c:dLbls>
          <c:showLegendKey val="0"/>
          <c:showVal val="0"/>
          <c:showCatName val="0"/>
          <c:showSerName val="0"/>
          <c:showPercent val="0"/>
          <c:showBubbleSize val="0"/>
          <c:showLeaderLines val="1"/>
        </c:dLbls>
        <c:firstSliceAng val="0"/>
        <c:holeSize val="75"/>
      </c:doughnut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4">
    <c:autoUpdate val="0"/>
  </c:externalData>
  <c:extLst>
    <c:ext xmlns:c14="http://schemas.microsoft.com/office/drawing/2007/8/2/chart" uri="{781A3756-C4B2-4CAC-9D66-4F8BD8637D16}">
      <c14:pivotOptions>
        <c14:dropZoneFilter val="1"/>
        <c14:dropZoneData val="1"/>
        <c14:dropZoneSeries val="1"/>
        <c14:dropZonesVisible val="1"/>
      </c14:pivotOptions>
    </c:ext>
    <c:ext xmlns:c16="http://schemas.microsoft.com/office/drawing/2014/chart" uri="{E28EC0CA-F0BB-4C9C-879D-F8772B89E7AC}">
      <c16:pivotOptions16>
        <c16:showExpandCollapseFieldButtons val="1"/>
      </c16:pivotOptions16>
    </c:ext>
  </c:extLst>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pivotSource>
    <c:name>[CRS1033 - ODS PfoR VF.xlsx]AFD EF Summary!Tableau croisé dynamique6</c:name>
    <c:fmtId val="-1"/>
  </c:pivotSource>
  <c:chart>
    <c:autoTitleDeleted val="1"/>
    <c:pivotFmts>
      <c:pivotFmt>
        <c:idx val="0"/>
        <c:spPr>
          <a:solidFill>
            <a:schemeClr val="accent1"/>
          </a:solidFill>
          <a:ln>
            <a:noFill/>
          </a:ln>
          <a:effectLst/>
        </c:spPr>
        <c:marker>
          <c:symbol val="none"/>
        </c:marker>
      </c:pivotFmt>
      <c:pivotFmt>
        <c:idx val="1"/>
        <c:spPr>
          <a:solidFill>
            <a:schemeClr val="accent1"/>
          </a:solidFill>
          <a:ln>
            <a:noFill/>
          </a:ln>
          <a:effectLst/>
        </c:spPr>
        <c:marker>
          <c:symbol val="none"/>
        </c:marker>
      </c:pivotFmt>
      <c:pivotFmt>
        <c:idx val="2"/>
        <c:spPr>
          <a:solidFill>
            <a:schemeClr val="accent1"/>
          </a:solidFill>
          <a:ln>
            <a:noFill/>
          </a:ln>
          <a:effectLst/>
        </c:spPr>
        <c:marker>
          <c:symbol val="none"/>
        </c:marker>
      </c:pivotFmt>
      <c:pivotFmt>
        <c:idx val="3"/>
        <c:spPr>
          <a:solidFill>
            <a:schemeClr val="accent1"/>
          </a:solidFill>
          <a:ln>
            <a:noFill/>
          </a:ln>
          <a:effectLst/>
        </c:spPr>
        <c:marker>
          <c:symbol val="none"/>
        </c:marker>
      </c:pivotFmt>
    </c:pivotFmts>
    <c:plotArea>
      <c:layout/>
      <c:barChart>
        <c:barDir val="col"/>
        <c:grouping val="clustered"/>
        <c:varyColors val="0"/>
        <c:ser>
          <c:idx val="0"/>
          <c:order val="0"/>
          <c:tx>
            <c:strRef>
              <c:f>'AFD EF Summary'!$B$11</c:f>
              <c:strCache>
                <c:ptCount val="1"/>
                <c:pt idx="0">
                  <c:v>Total</c:v>
                </c:pt>
              </c:strCache>
            </c:strRef>
          </c:tx>
          <c:spPr>
            <a:solidFill>
              <a:schemeClr val="accent1"/>
            </a:solidFill>
            <a:ln>
              <a:noFill/>
            </a:ln>
            <a:effectLst/>
          </c:spPr>
          <c:invertIfNegative val="0"/>
          <c:cat>
            <c:multiLvlStrRef>
              <c:f>'AFD EF Summary'!$A$12:$A$32</c:f>
              <c:multiLvlStrCache>
                <c:ptCount val="12"/>
                <c:lvl>
                  <c:pt idx="0">
                    <c:v>Insfrastructure implementation</c:v>
                  </c:pt>
                  <c:pt idx="1">
                    <c:v>Transport sector regulation &amp; supervision</c:v>
                  </c:pt>
                  <c:pt idx="2">
                    <c:v>Green Agenda</c:v>
                  </c:pt>
                  <c:pt idx="3">
                    <c:v>Integrated management of waste, wastewater &amp; chemicals</c:v>
                  </c:pt>
                  <c:pt idx="4">
                    <c:v>Management of environmental protection</c:v>
                  </c:pt>
                  <c:pt idx="5">
                    <c:v>Nature protection and climate change</c:v>
                  </c:pt>
                  <c:pt idx="6">
                    <c:v>Regulation, management and supervision of the financial and fiscal system</c:v>
                  </c:pt>
                  <c:pt idx="7">
                    <c:v>Energy efficiency</c:v>
                  </c:pt>
                  <c:pt idx="8">
                    <c:v>Management of environmental protection</c:v>
                  </c:pt>
                  <c:pt idx="9">
                    <c:v>Records, management and disposal of public property</c:v>
                  </c:pt>
                  <c:pt idx="10">
                    <c:v>Development of the public policy system</c:v>
                  </c:pt>
                  <c:pt idx="11">
                    <c:v>Development of the public procurement system</c:v>
                  </c:pt>
                </c:lvl>
                <c:lvl>
                  <c:pt idx="0">
                    <c:v>MoCTI</c:v>
                  </c:pt>
                  <c:pt idx="2">
                    <c:v>MoEP</c:v>
                  </c:pt>
                  <c:pt idx="6">
                    <c:v>MoF</c:v>
                  </c:pt>
                  <c:pt idx="7">
                    <c:v>MoME</c:v>
                  </c:pt>
                  <c:pt idx="8">
                    <c:v>SEPA</c:v>
                  </c:pt>
                  <c:pt idx="9">
                    <c:v>PPD</c:v>
                  </c:pt>
                  <c:pt idx="10">
                    <c:v>PPS</c:v>
                  </c:pt>
                  <c:pt idx="11">
                    <c:v>PPO</c:v>
                  </c:pt>
                </c:lvl>
              </c:multiLvlStrCache>
            </c:multiLvlStrRef>
          </c:cat>
          <c:val>
            <c:numRef>
              <c:f>'AFD EF Summary'!$B$12:$B$32</c:f>
              <c:numCache>
                <c:formatCode>#,##0</c:formatCode>
                <c:ptCount val="12"/>
                <c:pt idx="0">
                  <c:v>95476972.256399989</c:v>
                </c:pt>
                <c:pt idx="1">
                  <c:v>1679675.8944000001</c:v>
                </c:pt>
                <c:pt idx="2">
                  <c:v>11842383</c:v>
                </c:pt>
                <c:pt idx="3">
                  <c:v>21946747.199999999</c:v>
                </c:pt>
                <c:pt idx="4">
                  <c:v>3578274</c:v>
                </c:pt>
                <c:pt idx="5">
                  <c:v>1320553.5</c:v>
                </c:pt>
                <c:pt idx="6">
                  <c:v>18501806.504999999</c:v>
                </c:pt>
                <c:pt idx="7">
                  <c:v>8119691.5652999999</c:v>
                </c:pt>
                <c:pt idx="8">
                  <c:v>941111.62110000011</c:v>
                </c:pt>
                <c:pt idx="9">
                  <c:v>141427.01999999999</c:v>
                </c:pt>
                <c:pt idx="10">
                  <c:v>68157.600000000006</c:v>
                </c:pt>
                <c:pt idx="11">
                  <c:v>12779.550000000001</c:v>
                </c:pt>
              </c:numCache>
            </c:numRef>
          </c:val>
          <c:extLst>
            <c:ext xmlns:c16="http://schemas.microsoft.com/office/drawing/2014/chart" uri="{C3380CC4-5D6E-409C-BE32-E72D297353CC}">
              <c16:uniqueId val="{00000000-470E-4AD4-A955-0B8E2AC8CB2A}"/>
            </c:ext>
          </c:extLst>
        </c:ser>
        <c:dLbls>
          <c:showLegendKey val="0"/>
          <c:showVal val="0"/>
          <c:showCatName val="0"/>
          <c:showSerName val="0"/>
          <c:showPercent val="0"/>
          <c:showBubbleSize val="0"/>
        </c:dLbls>
        <c:gapWidth val="219"/>
        <c:overlap val="-27"/>
        <c:axId val="1020886544"/>
        <c:axId val="1020886936"/>
      </c:barChart>
      <c:catAx>
        <c:axId val="10208865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020886936"/>
        <c:crosses val="autoZero"/>
        <c:auto val="1"/>
        <c:lblAlgn val="ctr"/>
        <c:lblOffset val="100"/>
        <c:noMultiLvlLbl val="0"/>
      </c:catAx>
      <c:valAx>
        <c:axId val="1020886936"/>
        <c:scaling>
          <c:orientation val="minMax"/>
          <c:max val="140000000"/>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020886544"/>
        <c:crosses val="autoZero"/>
        <c:crossBetween val="between"/>
        <c:majorUnit val="20000000"/>
        <c:dispUnits>
          <c:builtInUnit val="millions"/>
          <c:dispUnitsLbl>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sr-Latn-RS"/>
              </a:p>
            </c:txPr>
          </c:dispUnitsLbl>
        </c:dispUnits>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4">
    <c:autoUpdate val="0"/>
  </c:externalData>
  <c:extLst>
    <c:ext xmlns:c14="http://schemas.microsoft.com/office/drawing/2007/8/2/chart" uri="{781A3756-C4B2-4CAC-9D66-4F8BD8637D16}">
      <c14:pivotOptions>
        <c14:dropZoneFilter val="1"/>
        <c14:dropZoneCategories val="1"/>
        <c14:dropZoneData val="1"/>
        <c14:dropZonesVisible val="1"/>
      </c14:pivotOptions>
    </c:ext>
    <c:ext xmlns:c16="http://schemas.microsoft.com/office/drawing/2014/chart" uri="{E28EC0CA-F0BB-4C9C-879D-F8772B89E7AC}">
      <c16:pivotOptions16>
        <c16:showExpandCollapseFieldButtons val="1"/>
      </c16:pivotOptions16>
    </c:ext>
  </c:extLst>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AFD 1">
    <a:dk1>
      <a:srgbClr val="250E62"/>
    </a:dk1>
    <a:lt1>
      <a:sysClr val="window" lastClr="FFFFFF"/>
    </a:lt1>
    <a:dk2>
      <a:srgbClr val="250E62"/>
    </a:dk2>
    <a:lt2>
      <a:srgbClr val="FFFFFF"/>
    </a:lt2>
    <a:accent1>
      <a:srgbClr val="2F117D"/>
    </a:accent1>
    <a:accent2>
      <a:srgbClr val="DA291C"/>
    </a:accent2>
    <a:accent3>
      <a:srgbClr val="4D3AAC"/>
    </a:accent3>
    <a:accent4>
      <a:srgbClr val="626ED5"/>
    </a:accent4>
    <a:accent5>
      <a:srgbClr val="E6433C"/>
    </a:accent5>
    <a:accent6>
      <a:srgbClr val="F86D66"/>
    </a:accent6>
    <a:hlink>
      <a:srgbClr val="0000FF"/>
    </a:hlink>
    <a:folHlink>
      <a:srgbClr val="18A6FF"/>
    </a:folHlink>
  </a:clrScheme>
  <a:fontScheme name="Austin">
    <a:majorFont>
      <a:latin typeface="Century Gothic"/>
      <a:ea typeface=""/>
      <a:cs typeface=""/>
      <a:font script="Jpan" typeface="ＭＳ ゴシック"/>
      <a:font script="Hang" typeface="HY중고딕"/>
      <a:font script="Hans" typeface="微软雅黑"/>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微软雅黑"/>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AFD 1">
    <a:dk1>
      <a:srgbClr val="250E62"/>
    </a:dk1>
    <a:lt1>
      <a:sysClr val="window" lastClr="FFFFFF"/>
    </a:lt1>
    <a:dk2>
      <a:srgbClr val="250E62"/>
    </a:dk2>
    <a:lt2>
      <a:srgbClr val="FFFFFF"/>
    </a:lt2>
    <a:accent1>
      <a:srgbClr val="2F117D"/>
    </a:accent1>
    <a:accent2>
      <a:srgbClr val="DA291C"/>
    </a:accent2>
    <a:accent3>
      <a:srgbClr val="4D3AAC"/>
    </a:accent3>
    <a:accent4>
      <a:srgbClr val="626ED5"/>
    </a:accent4>
    <a:accent5>
      <a:srgbClr val="E6433C"/>
    </a:accent5>
    <a:accent6>
      <a:srgbClr val="F86D66"/>
    </a:accent6>
    <a:hlink>
      <a:srgbClr val="0000FF"/>
    </a:hlink>
    <a:folHlink>
      <a:srgbClr val="18A6FF"/>
    </a:folHlink>
  </a:clrScheme>
  <a:fontScheme name="Austin">
    <a:majorFont>
      <a:latin typeface="Century Gothic"/>
      <a:ea typeface=""/>
      <a:cs typeface=""/>
      <a:font script="Jpan" typeface="ＭＳ ゴシック"/>
      <a:font script="Hang" typeface="HY중고딕"/>
      <a:font script="Hans" typeface="微软雅黑"/>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微软雅黑"/>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3759AB-4D46-4E93-A27F-6A86FDF45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101</Pages>
  <Words>31463</Words>
  <Characters>179345</Characters>
  <Application>Microsoft Office Word</Application>
  <DocSecurity>0</DocSecurity>
  <Lines>1494</Lines>
  <Paragraphs>420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AFD</Company>
  <LinksUpToDate>false</LinksUpToDate>
  <CharactersWithSpaces>210388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DECHERY Come</dc:creator>
  <cp:keywords/>
  <dc:description/>
  <cp:lastModifiedBy>Ivana Vojinović</cp:lastModifiedBy>
  <cp:revision>2</cp:revision>
  <cp:lastPrinted>2023-09-21T15:38:00Z</cp:lastPrinted>
  <dcterms:created xsi:type="dcterms:W3CDTF">2023-09-22T11:15:00Z</dcterms:created>
  <dcterms:modified xsi:type="dcterms:W3CDTF">2023-09-22T11:15:00Z</dcterms:modified>
</cp:coreProperties>
</file>