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F9B" w:rsidRPr="00955B78" w:rsidRDefault="00601491" w:rsidP="00BE4F9B">
      <w:pPr>
        <w:jc w:val="center"/>
        <w:rPr>
          <w:lang w:val="sr-Cyrl-CS"/>
        </w:rPr>
      </w:pPr>
      <w:bookmarkStart w:id="0" w:name="_GoBack"/>
      <w:bookmarkEnd w:id="0"/>
      <w:r w:rsidRPr="00955B78">
        <w:rPr>
          <w:lang w:val="sr-Cyrl-CS"/>
        </w:rPr>
        <w:t>О</w:t>
      </w:r>
      <w:r w:rsidR="00A4182D" w:rsidRPr="00955B78">
        <w:rPr>
          <w:lang w:val="sr-Cyrl-CS"/>
        </w:rPr>
        <w:t xml:space="preserve"> </w:t>
      </w:r>
      <w:r w:rsidRPr="00955B78">
        <w:rPr>
          <w:lang w:val="sr-Cyrl-CS"/>
        </w:rPr>
        <w:t>Б</w:t>
      </w:r>
      <w:r w:rsidR="00A4182D" w:rsidRPr="00955B78">
        <w:rPr>
          <w:lang w:val="sr-Cyrl-CS"/>
        </w:rPr>
        <w:t xml:space="preserve"> </w:t>
      </w:r>
      <w:r w:rsidRPr="00955B78">
        <w:rPr>
          <w:lang w:val="sr-Cyrl-CS"/>
        </w:rPr>
        <w:t>Р</w:t>
      </w:r>
      <w:r w:rsidR="00A4182D" w:rsidRPr="00955B78">
        <w:rPr>
          <w:lang w:val="sr-Cyrl-CS"/>
        </w:rPr>
        <w:t xml:space="preserve"> </w:t>
      </w:r>
      <w:r w:rsidRPr="00955B78">
        <w:rPr>
          <w:lang w:val="sr-Cyrl-CS"/>
        </w:rPr>
        <w:t>А</w:t>
      </w:r>
      <w:r w:rsidR="00A4182D" w:rsidRPr="00955B78">
        <w:rPr>
          <w:lang w:val="sr-Cyrl-CS"/>
        </w:rPr>
        <w:t xml:space="preserve"> </w:t>
      </w:r>
      <w:r w:rsidRPr="00955B78">
        <w:rPr>
          <w:lang w:val="sr-Cyrl-CS"/>
        </w:rPr>
        <w:t>З</w:t>
      </w:r>
      <w:r w:rsidR="00A4182D" w:rsidRPr="00955B78">
        <w:rPr>
          <w:lang w:val="sr-Cyrl-CS"/>
        </w:rPr>
        <w:t xml:space="preserve"> </w:t>
      </w:r>
      <w:r w:rsidRPr="00955B78">
        <w:rPr>
          <w:lang w:val="sr-Cyrl-CS"/>
        </w:rPr>
        <w:t>Л</w:t>
      </w:r>
      <w:r w:rsidR="00A4182D" w:rsidRPr="00955B78">
        <w:rPr>
          <w:lang w:val="sr-Cyrl-CS"/>
        </w:rPr>
        <w:t xml:space="preserve"> </w:t>
      </w:r>
      <w:r w:rsidRPr="00955B78">
        <w:rPr>
          <w:lang w:val="sr-Cyrl-CS"/>
        </w:rPr>
        <w:t>О</w:t>
      </w:r>
      <w:r w:rsidR="00A4182D" w:rsidRPr="00955B78">
        <w:rPr>
          <w:lang w:val="sr-Cyrl-CS"/>
        </w:rPr>
        <w:t xml:space="preserve"> </w:t>
      </w:r>
      <w:r w:rsidRPr="00955B78">
        <w:rPr>
          <w:lang w:val="sr-Cyrl-CS"/>
        </w:rPr>
        <w:t>Ж</w:t>
      </w:r>
      <w:r w:rsidR="00A4182D" w:rsidRPr="00955B78">
        <w:rPr>
          <w:lang w:val="sr-Cyrl-CS"/>
        </w:rPr>
        <w:t xml:space="preserve"> </w:t>
      </w:r>
      <w:r w:rsidRPr="00955B78">
        <w:rPr>
          <w:lang w:val="sr-Cyrl-CS"/>
        </w:rPr>
        <w:t>Е</w:t>
      </w:r>
      <w:r w:rsidR="00A4182D" w:rsidRPr="00955B78">
        <w:rPr>
          <w:lang w:val="sr-Cyrl-CS"/>
        </w:rPr>
        <w:t xml:space="preserve"> </w:t>
      </w:r>
      <w:r w:rsidRPr="00955B78">
        <w:rPr>
          <w:lang w:val="sr-Cyrl-CS"/>
        </w:rPr>
        <w:t>Њ</w:t>
      </w:r>
      <w:r w:rsidR="00A4182D" w:rsidRPr="00955B78">
        <w:rPr>
          <w:lang w:val="sr-Cyrl-CS"/>
        </w:rPr>
        <w:t xml:space="preserve"> </w:t>
      </w:r>
      <w:r w:rsidRPr="00955B78">
        <w:rPr>
          <w:lang w:val="sr-Cyrl-CS"/>
        </w:rPr>
        <w:t>Е</w:t>
      </w:r>
    </w:p>
    <w:p w:rsidR="00601491" w:rsidRPr="00955B78" w:rsidRDefault="00601491" w:rsidP="00BE4F9B">
      <w:pPr>
        <w:jc w:val="center"/>
        <w:rPr>
          <w:lang w:val="sr-Cyrl-CS"/>
        </w:rPr>
      </w:pPr>
    </w:p>
    <w:p w:rsidR="00601491" w:rsidRPr="00955B78" w:rsidRDefault="00601491" w:rsidP="00A4182D">
      <w:pPr>
        <w:pStyle w:val="ListParagraph"/>
        <w:numPr>
          <w:ilvl w:val="0"/>
          <w:numId w:val="2"/>
        </w:numPr>
        <w:ind w:firstLine="131"/>
        <w:jc w:val="both"/>
        <w:rPr>
          <w:lang w:val="sr-Cyrl-CS"/>
        </w:rPr>
      </w:pPr>
      <w:r w:rsidRPr="00955B78">
        <w:rPr>
          <w:lang w:val="sr-Cyrl-CS"/>
        </w:rPr>
        <w:t>УСТАВНИ ОСНОВ ЗА ДОНОШЕЊЕ ЗАКОНА</w:t>
      </w:r>
    </w:p>
    <w:p w:rsidR="00601491" w:rsidRPr="00955B78" w:rsidRDefault="00601491" w:rsidP="00601491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601491" w:rsidRPr="00955B78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955B78">
        <w:rPr>
          <w:rFonts w:ascii="Times New Roman" w:hAnsi="Times New Roman" w:cs="Times New Roman"/>
          <w:lang w:val="sr-Cyrl-CS"/>
        </w:rPr>
        <w:t xml:space="preserve"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:rsidR="00601491" w:rsidRPr="00955B78" w:rsidRDefault="00601491" w:rsidP="00601491">
      <w:pPr>
        <w:pStyle w:val="ListParagraph"/>
        <w:jc w:val="both"/>
        <w:rPr>
          <w:lang w:val="sr-Cyrl-CS"/>
        </w:rPr>
      </w:pPr>
    </w:p>
    <w:p w:rsidR="00601491" w:rsidRPr="00955B78" w:rsidRDefault="00601491" w:rsidP="00601491">
      <w:pPr>
        <w:pStyle w:val="ListParagraph"/>
        <w:jc w:val="both"/>
        <w:rPr>
          <w:lang w:val="sr-Cyrl-CS"/>
        </w:rPr>
      </w:pPr>
    </w:p>
    <w:p w:rsidR="00601491" w:rsidRPr="00955B78" w:rsidRDefault="00601491" w:rsidP="00A4182D">
      <w:pPr>
        <w:pStyle w:val="ListParagraph"/>
        <w:numPr>
          <w:ilvl w:val="0"/>
          <w:numId w:val="2"/>
        </w:numPr>
        <w:ind w:firstLine="273"/>
        <w:jc w:val="both"/>
        <w:rPr>
          <w:lang w:val="sr-Cyrl-CS"/>
        </w:rPr>
      </w:pPr>
      <w:r w:rsidRPr="00955B78">
        <w:rPr>
          <w:lang w:val="sr-Cyrl-CS"/>
        </w:rPr>
        <w:t xml:space="preserve">РАЗЛОЗИ ЗА </w:t>
      </w:r>
      <w:r w:rsidR="00636341" w:rsidRPr="00955B78">
        <w:rPr>
          <w:lang w:val="sr-Cyrl-CS"/>
        </w:rPr>
        <w:t xml:space="preserve">ДОНОШЕЊЕ ЗАКОНА - </w:t>
      </w:r>
      <w:r w:rsidRPr="00955B78">
        <w:rPr>
          <w:lang w:val="sr-Cyrl-CS"/>
        </w:rPr>
        <w:t>ПОТВРЂ</w:t>
      </w:r>
      <w:r w:rsidR="00636341" w:rsidRPr="00955B78">
        <w:rPr>
          <w:lang w:val="sr-Cyrl-CS"/>
        </w:rPr>
        <w:t>ИВАЊЕ</w:t>
      </w:r>
    </w:p>
    <w:p w:rsidR="00601491" w:rsidRPr="00955B78" w:rsidRDefault="00601491" w:rsidP="00601491">
      <w:pPr>
        <w:jc w:val="both"/>
        <w:rPr>
          <w:lang w:val="sr-Cyrl-CS"/>
        </w:rPr>
      </w:pPr>
    </w:p>
    <w:p w:rsidR="009478A6" w:rsidRPr="00955B78" w:rsidRDefault="009478A6" w:rsidP="009478A6">
      <w:pPr>
        <w:ind w:firstLine="708"/>
        <w:jc w:val="both"/>
        <w:rPr>
          <w:lang w:val="sr-Cyrl-CS"/>
        </w:rPr>
      </w:pPr>
      <w:r w:rsidRPr="00955B78">
        <w:rPr>
          <w:lang w:val="sr-Cyrl-CS"/>
        </w:rPr>
        <w:t xml:space="preserve">Разлози за </w:t>
      </w:r>
      <w:r w:rsidR="00726C33" w:rsidRPr="00955B78">
        <w:rPr>
          <w:lang w:val="sr-Cyrl-CS"/>
        </w:rPr>
        <w:t>доношење закона о потврђивању</w:t>
      </w:r>
      <w:r w:rsidRPr="00955B78">
        <w:rPr>
          <w:lang w:val="sr-Cyrl-CS"/>
        </w:rPr>
        <w:t xml:space="preserve"> Споразума о зајму (</w:t>
      </w:r>
      <w:r w:rsidR="00726C33" w:rsidRPr="00955B78">
        <w:rPr>
          <w:lang w:val="sr-Cyrl-CS"/>
        </w:rPr>
        <w:t>Пројекат унапређења управљања јавним финансијама за зелену транзицију</w:t>
      </w:r>
      <w:r w:rsidRPr="00955B78">
        <w:rPr>
          <w:lang w:val="sr-Cyrl-CS"/>
        </w:rPr>
        <w:t>) између Републике Србије и Међународне банке за обнову и развој</w:t>
      </w:r>
      <w:r w:rsidR="00726C33" w:rsidRPr="00955B78">
        <w:rPr>
          <w:lang w:val="sr-Cyrl-CS"/>
        </w:rPr>
        <w:t>,</w:t>
      </w:r>
      <w:r w:rsidRPr="00955B78">
        <w:rPr>
          <w:lang w:val="sr-Cyrl-CS"/>
        </w:rPr>
        <w:t xml:space="preserve"> који је потписан у Београду, </w:t>
      </w:r>
      <w:r w:rsidR="0077467D" w:rsidRPr="00955B78">
        <w:rPr>
          <w:lang w:val="sr-Cyrl-CS"/>
        </w:rPr>
        <w:t>24</w:t>
      </w:r>
      <w:r w:rsidR="00A15909" w:rsidRPr="00955B78">
        <w:rPr>
          <w:lang w:val="sr-Cyrl-CS"/>
        </w:rPr>
        <w:t xml:space="preserve">. и </w:t>
      </w:r>
      <w:r w:rsidR="0077467D" w:rsidRPr="00955B78">
        <w:rPr>
          <w:lang w:val="sr-Cyrl-CS"/>
        </w:rPr>
        <w:t>30</w:t>
      </w:r>
      <w:r w:rsidR="00A15909" w:rsidRPr="00955B78">
        <w:rPr>
          <w:lang w:val="sr-Cyrl-CS"/>
        </w:rPr>
        <w:t xml:space="preserve">. </w:t>
      </w:r>
      <w:r w:rsidR="0077467D" w:rsidRPr="00955B78">
        <w:rPr>
          <w:lang w:val="sr-Cyrl-CS"/>
        </w:rPr>
        <w:t>маја</w:t>
      </w:r>
      <w:r w:rsidR="00726C33" w:rsidRPr="00955B78">
        <w:rPr>
          <w:lang w:val="sr-Cyrl-CS"/>
        </w:rPr>
        <w:t xml:space="preserve"> 2023. године </w:t>
      </w:r>
      <w:r w:rsidRPr="00955B78">
        <w:rPr>
          <w:lang w:val="sr-Cyrl-CS"/>
        </w:rPr>
        <w:t>(у даљем тексту: Споразум о зајму), садржани су у одредби члана 5. став 2. Закона о јавном дугу („Службени гласник РС”, бр. 61/05, 107/09, 78/11, 68/15, 95/18, 91/19 и 149/20), према којој Народна скупштина Републике Србије одлучује о задуживању Републике Србије и одредби члана 14. став 1. Закона о закључивању и извршавању међународних уговора („Службени гласник РС”, број 32/13), према којој Народна скупштина, између осталог, потврђује уговоре којима се стварају финансијске обавезе за Републику Србију.</w:t>
      </w:r>
    </w:p>
    <w:p w:rsidR="00726C33" w:rsidRPr="00955B78" w:rsidRDefault="00726C33" w:rsidP="00726C33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 xml:space="preserve">Законом о буџету Републике Србије за 2023. годину („Службени гласник РС”, бр. 138/22) у члану 3.Б. предвиђено је задуживање код Међународне банке за обнову и развој </w:t>
      </w:r>
      <w:r w:rsidR="004E5A87" w:rsidRPr="00955B78">
        <w:rPr>
          <w:bCs/>
          <w:color w:val="000000"/>
          <w:lang w:val="sr-Cyrl-CS"/>
        </w:rPr>
        <w:t xml:space="preserve">(у даљем тексту: Банка) </w:t>
      </w:r>
      <w:r w:rsidRPr="00955B78">
        <w:rPr>
          <w:bCs/>
          <w:color w:val="000000"/>
          <w:lang w:val="sr-Cyrl-CS"/>
        </w:rPr>
        <w:t xml:space="preserve">до износа од 75.000.000 </w:t>
      </w:r>
      <w:proofErr w:type="spellStart"/>
      <w:r w:rsidRPr="00955B78">
        <w:rPr>
          <w:bCs/>
          <w:color w:val="000000"/>
          <w:lang w:val="sr-Cyrl-CS"/>
        </w:rPr>
        <w:t>USD</w:t>
      </w:r>
      <w:proofErr w:type="spellEnd"/>
      <w:r w:rsidRPr="00955B78">
        <w:rPr>
          <w:bCs/>
          <w:color w:val="000000"/>
          <w:lang w:val="sr-Cyrl-CS"/>
        </w:rPr>
        <w:t xml:space="preserve"> за унапређење управљања јавним финансијама за пружање услуга и зелени раст, а </w:t>
      </w:r>
      <w:proofErr w:type="spellStart"/>
      <w:r w:rsidRPr="00955B78">
        <w:rPr>
          <w:bCs/>
          <w:color w:val="000000"/>
          <w:lang w:val="sr-Cyrl-CS"/>
        </w:rPr>
        <w:t>којe</w:t>
      </w:r>
      <w:proofErr w:type="spellEnd"/>
      <w:r w:rsidRPr="00955B78">
        <w:rPr>
          <w:bCs/>
          <w:color w:val="000000"/>
          <w:lang w:val="sr-Cyrl-CS"/>
        </w:rPr>
        <w:t xml:space="preserve"> се односи на </w:t>
      </w:r>
      <w:r w:rsidRPr="00955B78">
        <w:rPr>
          <w:lang w:val="sr-Cyrl-CS"/>
        </w:rPr>
        <w:t>Пројекат унапређења управљања јавним финансијама за зелену транзицију</w:t>
      </w:r>
      <w:r w:rsidRPr="00955B78">
        <w:rPr>
          <w:bCs/>
          <w:color w:val="000000"/>
          <w:lang w:val="sr-Cyrl-CS"/>
        </w:rPr>
        <w:t xml:space="preserve"> (у даљем тексту: Оперативне активности).</w:t>
      </w:r>
    </w:p>
    <w:p w:rsidR="00A52538" w:rsidRPr="00955B78" w:rsidRDefault="001C692C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>Оперативне активности подржавају Владу Србије у даљем унапређењу система управљања јавним финансијама како би се омогућио опоравак након пандемије, извршила припрема за садашње и будуће ризике и изазове и да би се кренуло у зелену транзицију Србије. Наведене операт</w:t>
      </w:r>
      <w:r w:rsidR="003F4907" w:rsidRPr="00955B78">
        <w:rPr>
          <w:bCs/>
          <w:color w:val="000000"/>
          <w:lang w:val="sr-Cyrl-CS"/>
        </w:rPr>
        <w:t>ивне активности треба да омогуће</w:t>
      </w:r>
      <w:r w:rsidRPr="00955B78">
        <w:rPr>
          <w:bCs/>
          <w:color w:val="000000"/>
          <w:lang w:val="sr-Cyrl-CS"/>
        </w:rPr>
        <w:t xml:space="preserve"> Влади да крене ка добро циљаној и ефикасној употреби јавних средстава како би се осигурала фискална одрживост и да јавни ресурси допринесу постизању </w:t>
      </w:r>
      <w:proofErr w:type="spellStart"/>
      <w:r w:rsidRPr="00955B78">
        <w:rPr>
          <w:bCs/>
          <w:color w:val="000000"/>
          <w:lang w:val="sr-Cyrl-CS"/>
        </w:rPr>
        <w:t>одрживијег</w:t>
      </w:r>
      <w:proofErr w:type="spellEnd"/>
      <w:r w:rsidRPr="00955B78">
        <w:rPr>
          <w:bCs/>
          <w:color w:val="000000"/>
          <w:lang w:val="sr-Cyrl-CS"/>
        </w:rPr>
        <w:t xml:space="preserve">, </w:t>
      </w:r>
      <w:proofErr w:type="spellStart"/>
      <w:r w:rsidRPr="00955B78">
        <w:rPr>
          <w:bCs/>
          <w:color w:val="000000"/>
          <w:lang w:val="sr-Cyrl-CS"/>
        </w:rPr>
        <w:t>зеленијег</w:t>
      </w:r>
      <w:proofErr w:type="spellEnd"/>
      <w:r w:rsidRPr="00955B78">
        <w:rPr>
          <w:bCs/>
          <w:color w:val="000000"/>
          <w:lang w:val="sr-Cyrl-CS"/>
        </w:rPr>
        <w:t xml:space="preserve"> и климатски осетљивијег раста. Оперативне активности се заснивају на два главна стратешка документа: Зелена агенда за Србију и Програм реформе управљања јавним финансијама 2021–2025. године, који се ослања на ширу Стратегију реформе јавне управе у Републици Србији за период од 2021. до 2030. године („Службени гласник РС”, бр. 42/21 и 9/22). Штавише, ове Оперативне активности су усклађене и са Програмом економских реформи (</w:t>
      </w:r>
      <w:proofErr w:type="spellStart"/>
      <w:r w:rsidRPr="00955B78">
        <w:rPr>
          <w:bCs/>
          <w:color w:val="000000"/>
          <w:lang w:val="sr-Cyrl-CS"/>
        </w:rPr>
        <w:t>Economic</w:t>
      </w:r>
      <w:proofErr w:type="spellEnd"/>
      <w:r w:rsidRPr="00955B78">
        <w:rPr>
          <w:bCs/>
          <w:color w:val="000000"/>
          <w:lang w:val="sr-Cyrl-CS"/>
        </w:rPr>
        <w:t xml:space="preserve"> </w:t>
      </w:r>
      <w:proofErr w:type="spellStart"/>
      <w:r w:rsidRPr="00955B78">
        <w:rPr>
          <w:bCs/>
          <w:color w:val="000000"/>
          <w:lang w:val="sr-Cyrl-CS"/>
        </w:rPr>
        <w:t>Reform</w:t>
      </w:r>
      <w:proofErr w:type="spellEnd"/>
      <w:r w:rsidRPr="00955B78">
        <w:rPr>
          <w:bCs/>
          <w:color w:val="000000"/>
          <w:lang w:val="sr-Cyrl-CS"/>
        </w:rPr>
        <w:t xml:space="preserve"> </w:t>
      </w:r>
      <w:proofErr w:type="spellStart"/>
      <w:r w:rsidRPr="00955B78">
        <w:rPr>
          <w:bCs/>
          <w:color w:val="000000"/>
          <w:lang w:val="sr-Cyrl-CS"/>
        </w:rPr>
        <w:t>Programme</w:t>
      </w:r>
      <w:proofErr w:type="spellEnd"/>
      <w:r w:rsidRPr="00955B78">
        <w:rPr>
          <w:bCs/>
          <w:color w:val="000000"/>
          <w:lang w:val="sr-Cyrl-CS"/>
        </w:rPr>
        <w:t xml:space="preserve">, </w:t>
      </w:r>
      <w:proofErr w:type="spellStart"/>
      <w:r w:rsidRPr="00955B78">
        <w:rPr>
          <w:bCs/>
          <w:color w:val="000000"/>
          <w:lang w:val="sr-Cyrl-CS"/>
        </w:rPr>
        <w:t>ERP</w:t>
      </w:r>
      <w:proofErr w:type="spellEnd"/>
      <w:r w:rsidRPr="00955B78">
        <w:rPr>
          <w:bCs/>
          <w:color w:val="000000"/>
          <w:lang w:val="sr-Cyrl-CS"/>
        </w:rPr>
        <w:t>) за период од 2022. до 2024. године, истичући управљање јавним финансијама и зелену транзицију као приоритетне области реформи.</w:t>
      </w:r>
    </w:p>
    <w:p w:rsidR="00A52538" w:rsidRPr="00955B78" w:rsidRDefault="00A52538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 xml:space="preserve">Предметне </w:t>
      </w:r>
      <w:r w:rsidR="00F1499F" w:rsidRPr="00955B78">
        <w:rPr>
          <w:bCs/>
          <w:color w:val="000000"/>
          <w:lang w:val="sr-Cyrl-CS"/>
        </w:rPr>
        <w:t>о</w:t>
      </w:r>
      <w:r w:rsidRPr="00955B78">
        <w:rPr>
          <w:bCs/>
          <w:color w:val="000000"/>
          <w:lang w:val="sr-Cyrl-CS"/>
        </w:rPr>
        <w:t xml:space="preserve">перативне активности </w:t>
      </w:r>
      <w:r w:rsidR="003F4907" w:rsidRPr="00955B78">
        <w:rPr>
          <w:bCs/>
          <w:color w:val="000000"/>
          <w:lang w:val="sr-Cyrl-CS"/>
        </w:rPr>
        <w:t>се састоје из два дела</w:t>
      </w:r>
      <w:r w:rsidRPr="00955B78">
        <w:rPr>
          <w:bCs/>
          <w:color w:val="000000"/>
          <w:lang w:val="sr-Cyrl-CS"/>
        </w:rPr>
        <w:t>:</w:t>
      </w:r>
    </w:p>
    <w:p w:rsidR="00A52538" w:rsidRPr="00955B78" w:rsidRDefault="00A52538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>Део 1.</w:t>
      </w:r>
      <w:r w:rsidR="00BA513D" w:rsidRPr="00955B78">
        <w:rPr>
          <w:bCs/>
          <w:color w:val="000000"/>
          <w:lang w:val="sr-Cyrl-CS"/>
        </w:rPr>
        <w:t xml:space="preserve"> представља</w:t>
      </w:r>
      <w:r w:rsidR="003F4907" w:rsidRPr="00955B78">
        <w:rPr>
          <w:bCs/>
          <w:color w:val="000000"/>
          <w:lang w:val="sr-Cyrl-CS"/>
        </w:rPr>
        <w:t xml:space="preserve"> </w:t>
      </w:r>
      <w:r w:rsidRPr="00955B78">
        <w:rPr>
          <w:bCs/>
          <w:color w:val="000000"/>
          <w:lang w:val="sr-Cyrl-CS"/>
        </w:rPr>
        <w:t>Програм</w:t>
      </w:r>
      <w:r w:rsidR="00BA513D" w:rsidRPr="00955B78">
        <w:rPr>
          <w:bCs/>
          <w:color w:val="000000"/>
          <w:lang w:val="sr-Cyrl-CS"/>
        </w:rPr>
        <w:t xml:space="preserve"> кога</w:t>
      </w:r>
      <w:r w:rsidR="003F4907" w:rsidRPr="00955B78">
        <w:rPr>
          <w:bCs/>
          <w:color w:val="000000"/>
          <w:lang w:val="sr-Cyrl-CS"/>
        </w:rPr>
        <w:t xml:space="preserve"> </w:t>
      </w:r>
      <w:r w:rsidR="00BA513D" w:rsidRPr="00955B78">
        <w:rPr>
          <w:bCs/>
          <w:color w:val="000000"/>
          <w:lang w:val="sr-Cyrl-CS"/>
        </w:rPr>
        <w:t>чине</w:t>
      </w:r>
      <w:r w:rsidRPr="00955B78">
        <w:rPr>
          <w:bCs/>
          <w:color w:val="000000"/>
          <w:lang w:val="sr-Cyrl-CS"/>
        </w:rPr>
        <w:t xml:space="preserve"> две области резултата:</w:t>
      </w:r>
    </w:p>
    <w:p w:rsidR="00A52538" w:rsidRPr="00955B78" w:rsidRDefault="00A52538" w:rsidP="00A52538">
      <w:pPr>
        <w:ind w:firstLine="720"/>
        <w:jc w:val="both"/>
        <w:rPr>
          <w:b/>
          <w:bCs/>
          <w:color w:val="000000"/>
          <w:lang w:val="sr-Cyrl-CS"/>
        </w:rPr>
      </w:pPr>
      <w:r w:rsidRPr="00955B78">
        <w:rPr>
          <w:b/>
          <w:bCs/>
          <w:color w:val="000000"/>
          <w:lang w:val="sr-Cyrl-CS"/>
        </w:rPr>
        <w:t xml:space="preserve">Област резултата 1: Јачање фискалне отпорности, транспарентности и ефективности потрошње </w:t>
      </w:r>
    </w:p>
    <w:p w:rsidR="00A52538" w:rsidRPr="00955B78" w:rsidRDefault="00A52538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 xml:space="preserve">Ова област резултата подразумева пружање подршке Министарству финансија и директним буџетским корисницима да ојачају програмско буџетирање, дефинишу кључне показатеље учинка; спроводе извештавање о учинку и усмере напоре на постизање и коришћење података рашчлањених према полу. Поред наведеног, ова област резултата обухвата пружање подршке Министарству финансија и директним буџетским корисницима да припреме предлоге јавних улагања, благовремено припреме </w:t>
      </w:r>
      <w:r w:rsidRPr="00955B78">
        <w:rPr>
          <w:bCs/>
          <w:color w:val="000000"/>
          <w:lang w:val="sr-Cyrl-CS"/>
        </w:rPr>
        <w:lastRenderedPageBreak/>
        <w:t>извештаје о напретку пројеката јавних улагања кроз Информациони систем за управљање јавним улагањима (</w:t>
      </w:r>
      <w:proofErr w:type="spellStart"/>
      <w:r w:rsidRPr="00955B78">
        <w:rPr>
          <w:bCs/>
          <w:color w:val="000000"/>
          <w:lang w:val="sr-Cyrl-CS"/>
        </w:rPr>
        <w:t>ПИМИС</w:t>
      </w:r>
      <w:proofErr w:type="spellEnd"/>
      <w:r w:rsidRPr="00955B78">
        <w:rPr>
          <w:bCs/>
          <w:color w:val="000000"/>
          <w:lang w:val="sr-Cyrl-CS"/>
        </w:rPr>
        <w:t xml:space="preserve">) и припреме и усвоје план процене вредности имовине ради унапређења регистра имовине. Такође, у области резултата </w:t>
      </w:r>
      <w:proofErr w:type="spellStart"/>
      <w:r w:rsidRPr="00955B78">
        <w:rPr>
          <w:bCs/>
          <w:color w:val="000000"/>
          <w:lang w:val="sr-Cyrl-CS"/>
        </w:rPr>
        <w:t>бр.1</w:t>
      </w:r>
      <w:proofErr w:type="spellEnd"/>
      <w:r w:rsidRPr="00955B78">
        <w:rPr>
          <w:bCs/>
          <w:color w:val="000000"/>
          <w:lang w:val="sr-Cyrl-CS"/>
        </w:rPr>
        <w:t xml:space="preserve"> је предвиђено да се побољша капацитет Министарства финансија да прати и извештава о фискалним ризицима и користи податке о ризицима у процесима доношења одлука.</w:t>
      </w:r>
    </w:p>
    <w:p w:rsidR="00A52538" w:rsidRPr="00955B78" w:rsidRDefault="00A52538" w:rsidP="00A52538">
      <w:pPr>
        <w:ind w:firstLine="720"/>
        <w:jc w:val="both"/>
        <w:rPr>
          <w:b/>
          <w:bCs/>
          <w:color w:val="000000"/>
          <w:lang w:val="sr-Cyrl-CS"/>
        </w:rPr>
      </w:pPr>
      <w:r w:rsidRPr="00955B78">
        <w:rPr>
          <w:b/>
          <w:bCs/>
          <w:color w:val="000000"/>
          <w:lang w:val="sr-Cyrl-CS"/>
        </w:rPr>
        <w:t>Област резултата 2: Озелењавање циклуса расхода и праћење емисија гасова са ефектом стаклене баште у циљу постизања зелене транзиције</w:t>
      </w:r>
    </w:p>
    <w:p w:rsidR="00A52538" w:rsidRPr="00955B78" w:rsidRDefault="00A52538" w:rsidP="00A73610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 xml:space="preserve">Ова област има за циљ увођење зелених аспеката у све елементе циклуса планирања и буџетирања у Србији, као кључног стуба развоја институционалних капацитета за спровођење Зелене агенде. </w:t>
      </w:r>
      <w:r w:rsidR="004F13CF" w:rsidRPr="00955B78">
        <w:rPr>
          <w:bCs/>
          <w:color w:val="000000"/>
          <w:lang w:val="sr-Cyrl-CS"/>
        </w:rPr>
        <w:t>Постизањем ових резултата</w:t>
      </w:r>
      <w:r w:rsidRPr="00955B78">
        <w:rPr>
          <w:bCs/>
          <w:color w:val="000000"/>
          <w:lang w:val="sr-Cyrl-CS"/>
        </w:rPr>
        <w:t xml:space="preserve"> </w:t>
      </w:r>
      <w:r w:rsidR="00332FD1" w:rsidRPr="00955B78">
        <w:rPr>
          <w:bCs/>
          <w:color w:val="000000"/>
          <w:lang w:val="sr-Cyrl-CS"/>
        </w:rPr>
        <w:t>омогућиће се</w:t>
      </w:r>
      <w:r w:rsidR="004F13CF" w:rsidRPr="00955B78">
        <w:rPr>
          <w:bCs/>
          <w:color w:val="000000"/>
          <w:lang w:val="sr-Cyrl-CS"/>
        </w:rPr>
        <w:t xml:space="preserve">, између осталог, </w:t>
      </w:r>
      <w:r w:rsidRPr="00955B78">
        <w:rPr>
          <w:bCs/>
          <w:color w:val="000000"/>
          <w:lang w:val="sr-Cyrl-CS"/>
        </w:rPr>
        <w:t>побољшање капацитета Републичког секретаријата за јавне политике да обезбеди смернице и подршку директним буџетским корисницима у јачањ</w:t>
      </w:r>
      <w:r w:rsidR="0075316B" w:rsidRPr="00955B78">
        <w:rPr>
          <w:bCs/>
          <w:color w:val="000000"/>
          <w:lang w:val="sr-Cyrl-CS"/>
        </w:rPr>
        <w:t>у обрачуна трошкова докумената јавних политика</w:t>
      </w:r>
      <w:r w:rsidRPr="00955B78">
        <w:rPr>
          <w:bCs/>
          <w:color w:val="000000"/>
          <w:lang w:val="sr-Cyrl-CS"/>
        </w:rPr>
        <w:t xml:space="preserve"> и увођењу зелених аспеката </w:t>
      </w:r>
      <w:r w:rsidR="008A66E1" w:rsidRPr="00955B78">
        <w:rPr>
          <w:bCs/>
          <w:color w:val="000000"/>
          <w:lang w:val="sr-Cyrl-CS"/>
        </w:rPr>
        <w:t>у документ</w:t>
      </w:r>
      <w:r w:rsidR="0075316B" w:rsidRPr="00955B78">
        <w:rPr>
          <w:bCs/>
          <w:color w:val="000000"/>
          <w:lang w:val="sr-Cyrl-CS"/>
        </w:rPr>
        <w:t>а јавних политика</w:t>
      </w:r>
      <w:r w:rsidR="008A66E1" w:rsidRPr="00955B78">
        <w:rPr>
          <w:bCs/>
          <w:color w:val="000000"/>
          <w:lang w:val="sr-Cyrl-CS"/>
        </w:rPr>
        <w:t xml:space="preserve">. Исто тако, </w:t>
      </w:r>
      <w:r w:rsidRPr="00955B78">
        <w:rPr>
          <w:bCs/>
          <w:color w:val="000000"/>
          <w:lang w:val="sr-Cyrl-CS"/>
        </w:rPr>
        <w:t>пруж</w:t>
      </w:r>
      <w:r w:rsidR="008A66E1" w:rsidRPr="00955B78">
        <w:rPr>
          <w:bCs/>
          <w:color w:val="000000"/>
          <w:lang w:val="sr-Cyrl-CS"/>
        </w:rPr>
        <w:t>иће се подршка</w:t>
      </w:r>
      <w:r w:rsidRPr="00955B78">
        <w:rPr>
          <w:bCs/>
          <w:color w:val="000000"/>
          <w:lang w:val="sr-Cyrl-CS"/>
        </w:rPr>
        <w:t xml:space="preserve"> Министарству финансија и другим министарствима и институцијама у </w:t>
      </w:r>
      <w:proofErr w:type="spellStart"/>
      <w:r w:rsidRPr="00955B78">
        <w:rPr>
          <w:bCs/>
          <w:color w:val="000000"/>
          <w:lang w:val="sr-Cyrl-CS"/>
        </w:rPr>
        <w:t>Међуресорној</w:t>
      </w:r>
      <w:proofErr w:type="spellEnd"/>
      <w:r w:rsidRPr="00955B78">
        <w:rPr>
          <w:bCs/>
          <w:color w:val="000000"/>
          <w:lang w:val="sr-Cyrl-CS"/>
        </w:rPr>
        <w:t xml:space="preserve"> радној групи </w:t>
      </w:r>
      <w:r w:rsidR="00332FD1" w:rsidRPr="00955B78">
        <w:rPr>
          <w:bCs/>
          <w:color w:val="000000"/>
          <w:lang w:val="sr-Cyrl-CS"/>
        </w:rPr>
        <w:t>д</w:t>
      </w:r>
      <w:r w:rsidR="00430F22" w:rsidRPr="00955B78">
        <w:rPr>
          <w:bCs/>
          <w:color w:val="000000"/>
          <w:lang w:val="sr-Cyrl-CS"/>
        </w:rPr>
        <w:t>а</w:t>
      </w:r>
      <w:r w:rsidR="008A66E1" w:rsidRPr="00955B78">
        <w:rPr>
          <w:bCs/>
          <w:color w:val="000000"/>
          <w:lang w:val="sr-Cyrl-CS"/>
        </w:rPr>
        <w:t xml:space="preserve"> </w:t>
      </w:r>
      <w:proofErr w:type="spellStart"/>
      <w:r w:rsidR="00A73610" w:rsidRPr="00955B78">
        <w:rPr>
          <w:bCs/>
          <w:color w:val="000000"/>
          <w:lang w:val="sr-Cyrl-CS"/>
        </w:rPr>
        <w:t>финализирају</w:t>
      </w:r>
      <w:proofErr w:type="spellEnd"/>
      <w:r w:rsidR="00A73610" w:rsidRPr="00955B78">
        <w:rPr>
          <w:bCs/>
          <w:color w:val="000000"/>
          <w:lang w:val="sr-Cyrl-CS"/>
        </w:rPr>
        <w:t xml:space="preserve"> методологију идентификације зелених расхода, спроведу њихово означавање, </w:t>
      </w:r>
      <w:r w:rsidR="008A66E1" w:rsidRPr="00955B78">
        <w:rPr>
          <w:bCs/>
          <w:color w:val="000000"/>
          <w:lang w:val="sr-Cyrl-CS"/>
        </w:rPr>
        <w:t>кори</w:t>
      </w:r>
      <w:r w:rsidR="00332FD1" w:rsidRPr="00955B78">
        <w:rPr>
          <w:bCs/>
          <w:color w:val="000000"/>
          <w:lang w:val="sr-Cyrl-CS"/>
        </w:rPr>
        <w:t>сте</w:t>
      </w:r>
      <w:r w:rsidR="008A66E1" w:rsidRPr="00955B78">
        <w:rPr>
          <w:bCs/>
          <w:color w:val="000000"/>
          <w:lang w:val="sr-Cyrl-CS"/>
        </w:rPr>
        <w:t xml:space="preserve"> </w:t>
      </w:r>
      <w:r w:rsidR="00430F22" w:rsidRPr="00955B78">
        <w:rPr>
          <w:bCs/>
          <w:color w:val="000000"/>
          <w:lang w:val="sr-Cyrl-CS"/>
        </w:rPr>
        <w:t>прикупљен</w:t>
      </w:r>
      <w:r w:rsidR="00332FD1" w:rsidRPr="00955B78">
        <w:rPr>
          <w:bCs/>
          <w:color w:val="000000"/>
          <w:lang w:val="sr-Cyrl-CS"/>
        </w:rPr>
        <w:t>е</w:t>
      </w:r>
      <w:r w:rsidR="008A66E1" w:rsidRPr="00955B78">
        <w:rPr>
          <w:bCs/>
          <w:color w:val="000000"/>
          <w:lang w:val="sr-Cyrl-CS"/>
        </w:rPr>
        <w:t xml:space="preserve"> </w:t>
      </w:r>
      <w:r w:rsidR="00430F22" w:rsidRPr="00955B78">
        <w:rPr>
          <w:bCs/>
          <w:color w:val="000000"/>
          <w:lang w:val="sr-Cyrl-CS"/>
        </w:rPr>
        <w:t>информациј</w:t>
      </w:r>
      <w:r w:rsidR="00332FD1" w:rsidRPr="00955B78">
        <w:rPr>
          <w:bCs/>
          <w:color w:val="000000"/>
          <w:lang w:val="sr-Cyrl-CS"/>
        </w:rPr>
        <w:t>е</w:t>
      </w:r>
      <w:r w:rsidR="008A66E1" w:rsidRPr="00955B78">
        <w:rPr>
          <w:bCs/>
          <w:color w:val="000000"/>
          <w:lang w:val="sr-Cyrl-CS"/>
        </w:rPr>
        <w:t xml:space="preserve"> о зеленим расходима</w:t>
      </w:r>
      <w:r w:rsidRPr="00955B78">
        <w:rPr>
          <w:bCs/>
          <w:color w:val="000000"/>
          <w:lang w:val="sr-Cyrl-CS"/>
        </w:rPr>
        <w:t xml:space="preserve"> </w:t>
      </w:r>
      <w:r w:rsidR="008A66E1" w:rsidRPr="00955B78">
        <w:rPr>
          <w:bCs/>
          <w:color w:val="000000"/>
          <w:lang w:val="sr-Cyrl-CS"/>
        </w:rPr>
        <w:t>у поступку доношења одлука</w:t>
      </w:r>
      <w:r w:rsidR="000D3C41" w:rsidRPr="00955B78">
        <w:rPr>
          <w:bCs/>
          <w:color w:val="000000"/>
          <w:lang w:val="sr-Cyrl-CS"/>
        </w:rPr>
        <w:t xml:space="preserve"> и </w:t>
      </w:r>
      <w:r w:rsidR="00332FD1" w:rsidRPr="00955B78">
        <w:rPr>
          <w:bCs/>
          <w:color w:val="000000"/>
          <w:lang w:val="sr-Cyrl-CS"/>
        </w:rPr>
        <w:t xml:space="preserve">да </w:t>
      </w:r>
      <w:r w:rsidR="000D3C41" w:rsidRPr="00955B78">
        <w:rPr>
          <w:bCs/>
          <w:color w:val="000000"/>
          <w:lang w:val="sr-Cyrl-CS"/>
        </w:rPr>
        <w:t>развија</w:t>
      </w:r>
      <w:r w:rsidR="00332FD1" w:rsidRPr="00955B78">
        <w:rPr>
          <w:bCs/>
          <w:color w:val="000000"/>
          <w:lang w:val="sr-Cyrl-CS"/>
        </w:rPr>
        <w:t>ју</w:t>
      </w:r>
      <w:r w:rsidR="000D3C41" w:rsidRPr="00955B78">
        <w:rPr>
          <w:bCs/>
          <w:color w:val="000000"/>
          <w:lang w:val="sr-Cyrl-CS"/>
        </w:rPr>
        <w:t xml:space="preserve"> и кори</w:t>
      </w:r>
      <w:r w:rsidR="00332FD1" w:rsidRPr="00955B78">
        <w:rPr>
          <w:bCs/>
          <w:color w:val="000000"/>
          <w:lang w:val="sr-Cyrl-CS"/>
        </w:rPr>
        <w:t>сте</w:t>
      </w:r>
      <w:r w:rsidR="000D3C41" w:rsidRPr="00955B78">
        <w:rPr>
          <w:bCs/>
          <w:color w:val="000000"/>
          <w:lang w:val="sr-Cyrl-CS"/>
        </w:rPr>
        <w:t xml:space="preserve"> зелен</w:t>
      </w:r>
      <w:r w:rsidR="00332FD1" w:rsidRPr="00955B78">
        <w:rPr>
          <w:bCs/>
          <w:color w:val="000000"/>
          <w:lang w:val="sr-Cyrl-CS"/>
        </w:rPr>
        <w:t>е</w:t>
      </w:r>
      <w:r w:rsidRPr="00955B78">
        <w:rPr>
          <w:bCs/>
          <w:color w:val="000000"/>
          <w:lang w:val="sr-Cyrl-CS"/>
        </w:rPr>
        <w:t xml:space="preserve"> аспек</w:t>
      </w:r>
      <w:r w:rsidR="00332FD1" w:rsidRPr="00955B78">
        <w:rPr>
          <w:bCs/>
          <w:color w:val="000000"/>
          <w:lang w:val="sr-Cyrl-CS"/>
        </w:rPr>
        <w:t>те</w:t>
      </w:r>
      <w:r w:rsidR="000D3C41" w:rsidRPr="00955B78">
        <w:rPr>
          <w:bCs/>
          <w:color w:val="000000"/>
          <w:lang w:val="sr-Cyrl-CS"/>
        </w:rPr>
        <w:t xml:space="preserve"> и климатски осетљив</w:t>
      </w:r>
      <w:r w:rsidR="00332FD1" w:rsidRPr="00955B78">
        <w:rPr>
          <w:bCs/>
          <w:color w:val="000000"/>
          <w:lang w:val="sr-Cyrl-CS"/>
        </w:rPr>
        <w:t>е</w:t>
      </w:r>
      <w:r w:rsidR="000D3C41" w:rsidRPr="00955B78">
        <w:rPr>
          <w:bCs/>
          <w:color w:val="000000"/>
          <w:lang w:val="sr-Cyrl-CS"/>
        </w:rPr>
        <w:t xml:space="preserve"> критериј</w:t>
      </w:r>
      <w:r w:rsidR="00332FD1" w:rsidRPr="00955B78">
        <w:rPr>
          <w:bCs/>
          <w:color w:val="000000"/>
          <w:lang w:val="sr-Cyrl-CS"/>
        </w:rPr>
        <w:t>е</w:t>
      </w:r>
      <w:r w:rsidRPr="00955B78">
        <w:rPr>
          <w:bCs/>
          <w:color w:val="000000"/>
          <w:lang w:val="sr-Cyrl-CS"/>
        </w:rPr>
        <w:t xml:space="preserve"> као део активнос</w:t>
      </w:r>
      <w:r w:rsidR="000D3C41" w:rsidRPr="00955B78">
        <w:rPr>
          <w:bCs/>
          <w:color w:val="000000"/>
          <w:lang w:val="sr-Cyrl-CS"/>
        </w:rPr>
        <w:t xml:space="preserve">ти у управљању јавним улагањима. Додатно, Министарству заштите животне средине и Агенцији за заштиту животне средине Србије ће се пружити подршка у имплементацији </w:t>
      </w:r>
      <w:proofErr w:type="spellStart"/>
      <w:r w:rsidR="000D3C41" w:rsidRPr="00955B78">
        <w:rPr>
          <w:bCs/>
          <w:color w:val="000000"/>
          <w:lang w:val="sr-Cyrl-CS"/>
        </w:rPr>
        <w:t>МРВ</w:t>
      </w:r>
      <w:proofErr w:type="spellEnd"/>
      <w:r w:rsidR="000D3C41" w:rsidRPr="00955B78">
        <w:rPr>
          <w:bCs/>
          <w:color w:val="000000"/>
          <w:lang w:val="sr-Cyrl-CS"/>
        </w:rPr>
        <w:t xml:space="preserve"> система о емисији гасова са ефектом стаклене баште у складу са стандардима Европске уније (у даљем тексту: </w:t>
      </w:r>
      <w:proofErr w:type="spellStart"/>
      <w:r w:rsidR="000D3C41" w:rsidRPr="00955B78">
        <w:rPr>
          <w:bCs/>
          <w:color w:val="000000"/>
          <w:lang w:val="sr-Cyrl-CS"/>
        </w:rPr>
        <w:t>ЕУ</w:t>
      </w:r>
      <w:proofErr w:type="spellEnd"/>
      <w:r w:rsidR="000D3C41" w:rsidRPr="00955B78">
        <w:rPr>
          <w:bCs/>
          <w:color w:val="000000"/>
          <w:lang w:val="sr-Cyrl-CS"/>
        </w:rPr>
        <w:t>) и међународним стандардима.</w:t>
      </w:r>
      <w:r w:rsidR="00021504" w:rsidRPr="00955B78">
        <w:rPr>
          <w:bCs/>
          <w:color w:val="000000"/>
          <w:lang w:val="sr-Cyrl-CS"/>
        </w:rPr>
        <w:t xml:space="preserve"> Такође,</w:t>
      </w:r>
      <w:r w:rsidR="00894F72" w:rsidRPr="00955B78">
        <w:rPr>
          <w:bCs/>
          <w:color w:val="000000"/>
          <w:lang w:val="sr-Cyrl-CS"/>
        </w:rPr>
        <w:t xml:space="preserve"> </w:t>
      </w:r>
      <w:r w:rsidR="00021504" w:rsidRPr="00955B78">
        <w:rPr>
          <w:bCs/>
          <w:color w:val="000000"/>
          <w:lang w:val="sr-Cyrl-CS"/>
        </w:rPr>
        <w:t xml:space="preserve">обезбедиће се </w:t>
      </w:r>
      <w:r w:rsidR="00894F72" w:rsidRPr="00955B78">
        <w:rPr>
          <w:bCs/>
          <w:color w:val="000000"/>
          <w:lang w:val="sr-Cyrl-CS"/>
        </w:rPr>
        <w:t xml:space="preserve">спровођење </w:t>
      </w:r>
      <w:r w:rsidRPr="00955B78">
        <w:rPr>
          <w:bCs/>
          <w:color w:val="000000"/>
          <w:lang w:val="sr-Cyrl-CS"/>
        </w:rPr>
        <w:t>Смерница за зелене јавне набавке</w:t>
      </w:r>
      <w:r w:rsidR="00894F72" w:rsidRPr="00955B78">
        <w:rPr>
          <w:bCs/>
          <w:color w:val="000000"/>
          <w:lang w:val="sr-Cyrl-CS"/>
        </w:rPr>
        <w:t xml:space="preserve"> којима ће се смањити негативни ефекти на животну средину и омогућити одрживо коришћење добара, услуга и радова.</w:t>
      </w:r>
      <w:r w:rsidRPr="00955B78">
        <w:rPr>
          <w:bCs/>
          <w:color w:val="000000"/>
          <w:lang w:val="sr-Cyrl-CS"/>
        </w:rPr>
        <w:t xml:space="preserve"> </w:t>
      </w:r>
    </w:p>
    <w:p w:rsidR="00A52538" w:rsidRPr="00955B78" w:rsidRDefault="00A52538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>Део 2.</w:t>
      </w:r>
      <w:r w:rsidRPr="00955B78">
        <w:rPr>
          <w:bCs/>
          <w:color w:val="000000"/>
          <w:lang w:val="sr-Cyrl-CS"/>
        </w:rPr>
        <w:tab/>
      </w:r>
      <w:r w:rsidR="00BA513D" w:rsidRPr="00955B78">
        <w:rPr>
          <w:bCs/>
          <w:color w:val="000000"/>
          <w:lang w:val="sr-Cyrl-CS"/>
        </w:rPr>
        <w:t>представља</w:t>
      </w:r>
      <w:r w:rsidR="003F4907" w:rsidRPr="00955B78">
        <w:rPr>
          <w:bCs/>
          <w:color w:val="000000"/>
          <w:lang w:val="sr-Cyrl-CS"/>
        </w:rPr>
        <w:t xml:space="preserve"> </w:t>
      </w:r>
      <w:r w:rsidRPr="00955B78">
        <w:rPr>
          <w:bCs/>
          <w:color w:val="000000"/>
          <w:lang w:val="sr-Cyrl-CS"/>
        </w:rPr>
        <w:t xml:space="preserve">Пројекат </w:t>
      </w:r>
      <w:r w:rsidR="003F4907" w:rsidRPr="00955B78">
        <w:rPr>
          <w:bCs/>
          <w:color w:val="000000"/>
          <w:lang w:val="sr-Cyrl-CS"/>
        </w:rPr>
        <w:t>који се</w:t>
      </w:r>
      <w:r w:rsidRPr="00955B78">
        <w:rPr>
          <w:bCs/>
          <w:color w:val="000000"/>
          <w:lang w:val="sr-Cyrl-CS"/>
        </w:rPr>
        <w:t>, између осталог, састоји од следећих активности за помоћ у имплементацији Програма:</w:t>
      </w:r>
    </w:p>
    <w:p w:rsidR="00A52538" w:rsidRPr="00955B78" w:rsidRDefault="00A52538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>(а) обе</w:t>
      </w:r>
      <w:r w:rsidR="0075316B" w:rsidRPr="00955B78">
        <w:rPr>
          <w:bCs/>
          <w:color w:val="000000"/>
          <w:lang w:val="sr-Cyrl-CS"/>
        </w:rPr>
        <w:t>збеђивање техничке помоћи, обуке</w:t>
      </w:r>
      <w:r w:rsidRPr="00955B78">
        <w:rPr>
          <w:bCs/>
          <w:color w:val="000000"/>
          <w:lang w:val="sr-Cyrl-CS"/>
        </w:rPr>
        <w:t xml:space="preserve"> и оперативних трошкова Министарству финансија, Републичком секретаријату за јавне политике, Министарству заштите животне средине, Републичкој дирекцији за имовину Републике Србије и Канцеларији за јавне набавке за упра</w:t>
      </w:r>
      <w:r w:rsidR="0075316B" w:rsidRPr="00955B78">
        <w:rPr>
          <w:bCs/>
          <w:color w:val="000000"/>
          <w:lang w:val="sr-Cyrl-CS"/>
        </w:rPr>
        <w:t xml:space="preserve">вљање, имплементацију, праћење и </w:t>
      </w:r>
      <w:proofErr w:type="spellStart"/>
      <w:r w:rsidR="0075316B" w:rsidRPr="00955B78">
        <w:rPr>
          <w:bCs/>
          <w:color w:val="000000"/>
          <w:lang w:val="sr-Cyrl-CS"/>
        </w:rPr>
        <w:t>евалуацију</w:t>
      </w:r>
      <w:proofErr w:type="spellEnd"/>
      <w:r w:rsidR="0075316B" w:rsidRPr="00955B78">
        <w:rPr>
          <w:bCs/>
          <w:color w:val="000000"/>
          <w:lang w:val="sr-Cyrl-CS"/>
        </w:rPr>
        <w:t xml:space="preserve"> Оперативних активности</w:t>
      </w:r>
      <w:r w:rsidRPr="00955B78">
        <w:rPr>
          <w:bCs/>
          <w:color w:val="000000"/>
          <w:lang w:val="sr-Cyrl-CS"/>
        </w:rPr>
        <w:t>, укључујући трошкове за Агента за верификацију;</w:t>
      </w:r>
    </w:p>
    <w:p w:rsidR="00A52538" w:rsidRPr="00955B78" w:rsidRDefault="00A52538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>(б) припрема приручника и материјала за обуку;</w:t>
      </w:r>
    </w:p>
    <w:p w:rsidR="00A52538" w:rsidRPr="00955B78" w:rsidRDefault="00A52538" w:rsidP="0075316B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>(ц</w:t>
      </w:r>
      <w:r w:rsidR="00753F32" w:rsidRPr="00955B78">
        <w:rPr>
          <w:bCs/>
          <w:color w:val="000000"/>
          <w:lang w:val="sr-Cyrl-CS"/>
        </w:rPr>
        <w:t>) циљане активности за изградњу капацитета ради спровођење активности;</w:t>
      </w:r>
    </w:p>
    <w:p w:rsidR="00A52538" w:rsidRPr="00955B78" w:rsidRDefault="00A52538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 xml:space="preserve">(д) набавка два софтвера: један за унапређење </w:t>
      </w:r>
      <w:proofErr w:type="spellStart"/>
      <w:r w:rsidRPr="00955B78">
        <w:rPr>
          <w:bCs/>
          <w:color w:val="000000"/>
          <w:lang w:val="sr-Cyrl-CS"/>
        </w:rPr>
        <w:t>информационо-технолошких</w:t>
      </w:r>
      <w:proofErr w:type="spellEnd"/>
      <w:r w:rsidRPr="00955B78">
        <w:rPr>
          <w:bCs/>
          <w:color w:val="000000"/>
          <w:lang w:val="sr-Cyrl-CS"/>
        </w:rPr>
        <w:t xml:space="preserve"> решења за </w:t>
      </w:r>
      <w:proofErr w:type="spellStart"/>
      <w:r w:rsidRPr="00955B78">
        <w:rPr>
          <w:bCs/>
          <w:color w:val="000000"/>
          <w:lang w:val="sr-Cyrl-CS"/>
        </w:rPr>
        <w:t>МРВ</w:t>
      </w:r>
      <w:proofErr w:type="spellEnd"/>
      <w:r w:rsidRPr="00955B78">
        <w:rPr>
          <w:bCs/>
          <w:color w:val="000000"/>
          <w:lang w:val="sr-Cyrl-CS"/>
        </w:rPr>
        <w:t xml:space="preserve"> систем за праћење, извештавање и верификацију о емисијама гасова са ефектом стаклене баште и д</w:t>
      </w:r>
      <w:r w:rsidR="0075316B" w:rsidRPr="00955B78">
        <w:rPr>
          <w:bCs/>
          <w:color w:val="000000"/>
          <w:lang w:val="sr-Cyrl-CS"/>
        </w:rPr>
        <w:t>р</w:t>
      </w:r>
      <w:r w:rsidR="00A41EA9" w:rsidRPr="00955B78">
        <w:rPr>
          <w:bCs/>
          <w:color w:val="000000"/>
          <w:lang w:val="sr-Cyrl-CS"/>
        </w:rPr>
        <w:t>уги</w:t>
      </w:r>
      <w:r w:rsidRPr="00955B78">
        <w:rPr>
          <w:bCs/>
          <w:color w:val="000000"/>
          <w:lang w:val="sr-Cyrl-CS"/>
        </w:rPr>
        <w:t xml:space="preserve"> за израчунавање трошкова за потребе докумената јавних политика;</w:t>
      </w:r>
    </w:p>
    <w:p w:rsidR="00A52538" w:rsidRPr="00955B78" w:rsidRDefault="00A52538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>(е) активности у области управљања променама и понашањем;</w:t>
      </w:r>
    </w:p>
    <w:p w:rsidR="00A52538" w:rsidRPr="00955B78" w:rsidRDefault="00A52538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>(ф) комуникација, активности на терену и подизање свести; и</w:t>
      </w:r>
    </w:p>
    <w:p w:rsidR="00A52538" w:rsidRPr="00955B78" w:rsidRDefault="00A52538" w:rsidP="00A52538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>(г) идентификовање искустава и најбољих пракси у другим земљама које могу бити релевантне за Србију.</w:t>
      </w:r>
    </w:p>
    <w:p w:rsidR="00A52538" w:rsidRPr="00955B78" w:rsidRDefault="005C4BD4" w:rsidP="003F4907">
      <w:pPr>
        <w:ind w:firstLine="720"/>
        <w:jc w:val="both"/>
        <w:rPr>
          <w:lang w:val="sr-Cyrl-CS"/>
        </w:rPr>
      </w:pPr>
      <w:r w:rsidRPr="00955B78">
        <w:rPr>
          <w:lang w:val="sr-Cyrl-CS"/>
        </w:rPr>
        <w:t xml:space="preserve">Како би се спровеле наведене активности и постигли предвиђени резултати </w:t>
      </w:r>
      <w:r w:rsidR="00A52538" w:rsidRPr="00955B78">
        <w:rPr>
          <w:lang w:val="sr-Cyrl-CS"/>
        </w:rPr>
        <w:t>(средства ће се повлачити тек након достигнутих резултата у остварењу</w:t>
      </w:r>
      <w:r w:rsidRPr="00955B78">
        <w:rPr>
          <w:lang w:val="sr-Cyrl-CS"/>
        </w:rPr>
        <w:t xml:space="preserve"> договорених циљева), дефинисани су </w:t>
      </w:r>
      <w:r w:rsidR="007355FB" w:rsidRPr="00955B78">
        <w:rPr>
          <w:b/>
          <w:bCs/>
          <w:lang w:val="sr-Cyrl-CS"/>
        </w:rPr>
        <w:t xml:space="preserve">показатељи </w:t>
      </w:r>
      <w:r w:rsidR="007355FB" w:rsidRPr="00955B78">
        <w:rPr>
          <w:bCs/>
          <w:lang w:val="sr-Cyrl-CS"/>
        </w:rPr>
        <w:t>везани за</w:t>
      </w:r>
      <w:r w:rsidR="00A52538" w:rsidRPr="00955B78">
        <w:rPr>
          <w:b/>
          <w:bCs/>
          <w:lang w:val="sr-Cyrl-CS"/>
        </w:rPr>
        <w:t xml:space="preserve"> </w:t>
      </w:r>
      <w:r w:rsidR="007355FB" w:rsidRPr="00955B78">
        <w:rPr>
          <w:bCs/>
          <w:lang w:val="sr-Cyrl-CS"/>
        </w:rPr>
        <w:t>повлачење</w:t>
      </w:r>
      <w:r w:rsidR="00A52538" w:rsidRPr="00955B78">
        <w:rPr>
          <w:bCs/>
          <w:lang w:val="sr-Cyrl-CS"/>
        </w:rPr>
        <w:t xml:space="preserve"> средстава </w:t>
      </w:r>
      <w:r w:rsidR="00A52538" w:rsidRPr="00955B78">
        <w:rPr>
          <w:lang w:val="sr-Cyrl-CS"/>
        </w:rPr>
        <w:t>(</w:t>
      </w:r>
      <w:proofErr w:type="spellStart"/>
      <w:r w:rsidR="00A52538" w:rsidRPr="00955B78">
        <w:rPr>
          <w:lang w:val="sr-Cyrl-CS"/>
        </w:rPr>
        <w:t>Disbursement-Linked</w:t>
      </w:r>
      <w:proofErr w:type="spellEnd"/>
      <w:r w:rsidR="00A52538" w:rsidRPr="00955B78">
        <w:rPr>
          <w:lang w:val="sr-Cyrl-CS"/>
        </w:rPr>
        <w:t xml:space="preserve"> </w:t>
      </w:r>
      <w:proofErr w:type="spellStart"/>
      <w:r w:rsidR="00A52538" w:rsidRPr="00955B78">
        <w:rPr>
          <w:lang w:val="sr-Cyrl-CS"/>
        </w:rPr>
        <w:t>Indicators-DLI</w:t>
      </w:r>
      <w:proofErr w:type="spellEnd"/>
      <w:r w:rsidR="00A52538" w:rsidRPr="00955B78">
        <w:rPr>
          <w:lang w:val="sr-Cyrl-CS"/>
        </w:rPr>
        <w:t xml:space="preserve">) и </w:t>
      </w:r>
      <w:r w:rsidR="007355FB" w:rsidRPr="00955B78">
        <w:rPr>
          <w:b/>
          <w:lang w:val="sr-Cyrl-CS"/>
        </w:rPr>
        <w:t xml:space="preserve">показатељи </w:t>
      </w:r>
      <w:r w:rsidR="007355FB" w:rsidRPr="00955B78">
        <w:rPr>
          <w:lang w:val="sr-Cyrl-CS"/>
        </w:rPr>
        <w:t>везани за</w:t>
      </w:r>
      <w:r w:rsidR="00A52538" w:rsidRPr="00955B78">
        <w:rPr>
          <w:lang w:val="sr-Cyrl-CS"/>
        </w:rPr>
        <w:t xml:space="preserve"> </w:t>
      </w:r>
      <w:r w:rsidR="007355FB" w:rsidRPr="00955B78">
        <w:rPr>
          <w:lang w:val="sr-Cyrl-CS"/>
        </w:rPr>
        <w:t>резултате</w:t>
      </w:r>
      <w:r w:rsidR="00A52538" w:rsidRPr="00955B78">
        <w:rPr>
          <w:bCs/>
          <w:lang w:val="sr-Cyrl-CS"/>
        </w:rPr>
        <w:t xml:space="preserve"> </w:t>
      </w:r>
      <w:r w:rsidR="00A52538" w:rsidRPr="00955B78">
        <w:rPr>
          <w:lang w:val="sr-Cyrl-CS"/>
        </w:rPr>
        <w:t>(</w:t>
      </w:r>
      <w:proofErr w:type="spellStart"/>
      <w:r w:rsidR="00A52538" w:rsidRPr="00955B78">
        <w:rPr>
          <w:lang w:val="sr-Cyrl-CS"/>
        </w:rPr>
        <w:t>Disbursement-Linked</w:t>
      </w:r>
      <w:proofErr w:type="spellEnd"/>
      <w:r w:rsidR="00A52538" w:rsidRPr="00955B78">
        <w:rPr>
          <w:lang w:val="sr-Cyrl-CS"/>
        </w:rPr>
        <w:t xml:space="preserve"> </w:t>
      </w:r>
      <w:proofErr w:type="spellStart"/>
      <w:r w:rsidR="00A52538" w:rsidRPr="00955B78">
        <w:rPr>
          <w:lang w:val="sr-Cyrl-CS"/>
        </w:rPr>
        <w:t>Results-DLR</w:t>
      </w:r>
      <w:proofErr w:type="spellEnd"/>
      <w:r w:rsidR="00A52538" w:rsidRPr="00955B78">
        <w:rPr>
          <w:lang w:val="sr-Cyrl-CS"/>
        </w:rPr>
        <w:t xml:space="preserve">) које Републички секретаријат за јавне политике, Канцеларија за јавне набавке, </w:t>
      </w:r>
      <w:proofErr w:type="spellStart"/>
      <w:r w:rsidR="00A52538" w:rsidRPr="00955B78">
        <w:rPr>
          <w:lang w:val="sr-Cyrl-CS"/>
        </w:rPr>
        <w:t>Републичкa</w:t>
      </w:r>
      <w:proofErr w:type="spellEnd"/>
      <w:r w:rsidR="00A52538" w:rsidRPr="00955B78">
        <w:rPr>
          <w:lang w:val="sr-Cyrl-CS"/>
        </w:rPr>
        <w:t xml:space="preserve"> дирекције за имовину Републике Србије, Министарство заштите животне средине, </w:t>
      </w:r>
      <w:proofErr w:type="spellStart"/>
      <w:r w:rsidR="00A52538" w:rsidRPr="00955B78">
        <w:rPr>
          <w:bCs/>
          <w:color w:val="000000"/>
          <w:lang w:val="sr-Cyrl-CS"/>
        </w:rPr>
        <w:t>Министарствo</w:t>
      </w:r>
      <w:proofErr w:type="spellEnd"/>
      <w:r w:rsidR="00A52538" w:rsidRPr="00955B78">
        <w:rPr>
          <w:bCs/>
          <w:color w:val="000000"/>
          <w:lang w:val="sr-Cyrl-CS"/>
        </w:rPr>
        <w:t xml:space="preserve"> рударства и енергетике, </w:t>
      </w:r>
      <w:proofErr w:type="spellStart"/>
      <w:r w:rsidR="00A52538" w:rsidRPr="00955B78">
        <w:rPr>
          <w:lang w:val="sr-Cyrl-CS"/>
        </w:rPr>
        <w:t>Министарствo</w:t>
      </w:r>
      <w:proofErr w:type="spellEnd"/>
      <w:r w:rsidR="00A52538" w:rsidRPr="00955B78">
        <w:rPr>
          <w:lang w:val="sr-Cyrl-CS"/>
        </w:rPr>
        <w:t xml:space="preserve"> грађевинарства, саобраћаја и инфраструктуре, </w:t>
      </w:r>
      <w:proofErr w:type="spellStart"/>
      <w:r w:rsidR="00A52538" w:rsidRPr="00955B78">
        <w:rPr>
          <w:lang w:val="sr-Cyrl-CS"/>
        </w:rPr>
        <w:t>Министарствo</w:t>
      </w:r>
      <w:proofErr w:type="spellEnd"/>
      <w:r w:rsidR="00A52538" w:rsidRPr="00955B78">
        <w:rPr>
          <w:lang w:val="sr-Cyrl-CS"/>
        </w:rPr>
        <w:t xml:space="preserve"> за јавна улагања, као извршиоци </w:t>
      </w:r>
      <w:r w:rsidR="00A73610" w:rsidRPr="00955B78">
        <w:rPr>
          <w:lang w:val="sr-Cyrl-CS"/>
        </w:rPr>
        <w:t xml:space="preserve">Оперативних активности </w:t>
      </w:r>
      <w:r w:rsidR="00A52538" w:rsidRPr="00955B78">
        <w:rPr>
          <w:lang w:val="sr-Cyrl-CS"/>
        </w:rPr>
        <w:t>и носиоци договорених активности, треба да достигну да би се опред</w:t>
      </w:r>
      <w:r w:rsidR="003F4907" w:rsidRPr="00955B78">
        <w:rPr>
          <w:lang w:val="sr-Cyrl-CS"/>
        </w:rPr>
        <w:t>ељена средства могла исплатити.</w:t>
      </w:r>
    </w:p>
    <w:p w:rsidR="00A73610" w:rsidRPr="00955B78" w:rsidRDefault="00A73610" w:rsidP="003F4907">
      <w:pPr>
        <w:ind w:firstLine="720"/>
        <w:jc w:val="both"/>
        <w:rPr>
          <w:lang w:val="sr-Cyrl-CS"/>
        </w:rPr>
      </w:pPr>
    </w:p>
    <w:p w:rsidR="00C010F2" w:rsidRPr="00955B78" w:rsidRDefault="00C010F2" w:rsidP="00C010F2">
      <w:pPr>
        <w:ind w:firstLine="720"/>
        <w:jc w:val="both"/>
        <w:rPr>
          <w:bCs/>
          <w:color w:val="000000"/>
          <w:lang w:val="sr-Cyrl-CS"/>
        </w:rPr>
      </w:pPr>
      <w:r w:rsidRPr="00955B78">
        <w:rPr>
          <w:bCs/>
          <w:color w:val="000000"/>
          <w:lang w:val="sr-Cyrl-CS"/>
        </w:rPr>
        <w:t>Циљ Оперативних активности је побољшање кључних функција у управљању јавним финансијама и институционалних способности потребних за фискалну отпорност и зелену транзицију.</w:t>
      </w:r>
    </w:p>
    <w:p w:rsidR="00AF1807" w:rsidRPr="00955B78" w:rsidRDefault="00AF1807" w:rsidP="00AF1807">
      <w:pPr>
        <w:ind w:firstLine="720"/>
        <w:jc w:val="both"/>
        <w:rPr>
          <w:bCs/>
          <w:lang w:val="sr-Cyrl-CS"/>
        </w:rPr>
      </w:pPr>
      <w:r w:rsidRPr="00955B78">
        <w:rPr>
          <w:bCs/>
          <w:lang w:val="sr-Cyrl-CS"/>
        </w:rPr>
        <w:t xml:space="preserve">Укупна вредност </w:t>
      </w:r>
      <w:r w:rsidRPr="00955B78">
        <w:rPr>
          <w:bCs/>
          <w:color w:val="000000"/>
          <w:lang w:val="sr-Cyrl-CS"/>
        </w:rPr>
        <w:t xml:space="preserve">Оперативних активности </w:t>
      </w:r>
      <w:r w:rsidRPr="00955B78">
        <w:rPr>
          <w:bCs/>
          <w:lang w:val="sr-Cyrl-CS"/>
        </w:rPr>
        <w:t xml:space="preserve">износи 138.600.000 </w:t>
      </w:r>
      <w:proofErr w:type="spellStart"/>
      <w:r w:rsidRPr="00955B78">
        <w:rPr>
          <w:lang w:val="sr-Cyrl-CS"/>
        </w:rPr>
        <w:t>EUR</w:t>
      </w:r>
      <w:proofErr w:type="spellEnd"/>
      <w:r w:rsidRPr="00955B78">
        <w:rPr>
          <w:bCs/>
          <w:lang w:val="sr-Cyrl-CS"/>
        </w:rPr>
        <w:t xml:space="preserve"> (150.000.000 </w:t>
      </w:r>
      <w:proofErr w:type="spellStart"/>
      <w:r w:rsidRPr="00955B78">
        <w:rPr>
          <w:lang w:val="sr-Cyrl-CS"/>
        </w:rPr>
        <w:t>USD</w:t>
      </w:r>
      <w:proofErr w:type="spellEnd"/>
      <w:r w:rsidRPr="00955B78">
        <w:rPr>
          <w:lang w:val="sr-Cyrl-CS"/>
        </w:rPr>
        <w:t xml:space="preserve"> </w:t>
      </w:r>
      <w:r w:rsidRPr="00955B78">
        <w:rPr>
          <w:bCs/>
          <w:lang w:val="sr-Cyrl-CS"/>
        </w:rPr>
        <w:t xml:space="preserve">изражено у </w:t>
      </w:r>
      <w:proofErr w:type="spellStart"/>
      <w:r w:rsidRPr="00955B78">
        <w:rPr>
          <w:bCs/>
          <w:lang w:val="sr-Cyrl-CS"/>
        </w:rPr>
        <w:t>европротиввредности</w:t>
      </w:r>
      <w:proofErr w:type="spellEnd"/>
      <w:r w:rsidRPr="00955B78">
        <w:rPr>
          <w:bCs/>
          <w:lang w:val="sr-Cyrl-CS"/>
        </w:rPr>
        <w:t xml:space="preserve"> у складу са примењеним курсом договореним на преговорима) </w:t>
      </w:r>
      <w:r w:rsidRPr="00955B78">
        <w:rPr>
          <w:lang w:val="sr-Cyrl-CS"/>
        </w:rPr>
        <w:t xml:space="preserve">и биће </w:t>
      </w:r>
      <w:proofErr w:type="spellStart"/>
      <w:r w:rsidRPr="00955B78">
        <w:rPr>
          <w:lang w:val="sr-Cyrl-CS"/>
        </w:rPr>
        <w:t>кофинансиран</w:t>
      </w:r>
      <w:proofErr w:type="spellEnd"/>
      <w:r w:rsidRPr="00955B78">
        <w:rPr>
          <w:lang w:val="sr-Cyrl-CS"/>
        </w:rPr>
        <w:t xml:space="preserve"> средствима зајма одобреног од стране Француске агенције за развој, у износу </w:t>
      </w:r>
      <w:r w:rsidR="008D049D" w:rsidRPr="00955B78">
        <w:rPr>
          <w:lang w:val="sr-Cyrl-CS"/>
        </w:rPr>
        <w:t>до</w:t>
      </w:r>
      <w:r w:rsidRPr="00955B78">
        <w:rPr>
          <w:lang w:val="sr-Cyrl-CS"/>
        </w:rPr>
        <w:t xml:space="preserve"> 69.300.000 </w:t>
      </w:r>
      <w:proofErr w:type="spellStart"/>
      <w:r w:rsidRPr="00955B78">
        <w:rPr>
          <w:lang w:val="sr-Cyrl-CS"/>
        </w:rPr>
        <w:t>EUR</w:t>
      </w:r>
      <w:proofErr w:type="spellEnd"/>
      <w:r w:rsidRPr="00955B78">
        <w:rPr>
          <w:bCs/>
          <w:lang w:val="sr-Cyrl-CS"/>
        </w:rPr>
        <w:t>.</w:t>
      </w:r>
    </w:p>
    <w:p w:rsidR="008D049D" w:rsidRPr="00955B78" w:rsidRDefault="008D049D" w:rsidP="008D049D">
      <w:pPr>
        <w:tabs>
          <w:tab w:val="left" w:pos="709"/>
        </w:tabs>
        <w:ind w:firstLine="720"/>
        <w:jc w:val="both"/>
        <w:rPr>
          <w:lang w:val="sr-Cyrl-CS"/>
        </w:rPr>
      </w:pPr>
      <w:r w:rsidRPr="00955B78">
        <w:rPr>
          <w:bCs/>
          <w:color w:val="000000"/>
          <w:lang w:val="sr-Cyrl-CS"/>
        </w:rPr>
        <w:t>Француска агенција за развој</w:t>
      </w:r>
      <w:r w:rsidRPr="00955B78">
        <w:rPr>
          <w:lang w:val="sr-Cyrl-CS"/>
        </w:rPr>
        <w:t xml:space="preserve"> и Банка ће пратити статус реализације Оперативних активности посредством надзорних мисија и праћењем показатеља резултата. Показатељи резултата ће се пратити на основу економских података и информација о усвојеним прописима и спровођењу реформи које ће обезбедити одговарајући државни органи и комисије и који ће бити објављени у званичним изворима.</w:t>
      </w:r>
    </w:p>
    <w:p w:rsidR="00287F90" w:rsidRPr="00955B78" w:rsidRDefault="00287F90" w:rsidP="00287F90">
      <w:pPr>
        <w:ind w:firstLine="720"/>
        <w:jc w:val="both"/>
        <w:rPr>
          <w:lang w:val="sr-Cyrl-CS"/>
        </w:rPr>
      </w:pPr>
      <w:r w:rsidRPr="00955B78">
        <w:rPr>
          <w:lang w:val="sr-Cyrl-CS"/>
        </w:rPr>
        <w:t xml:space="preserve">У складу са Закључком Владе 05 Број: </w:t>
      </w:r>
      <w:r w:rsidR="001C692C" w:rsidRPr="00955B78">
        <w:rPr>
          <w:lang w:val="sr-Cyrl-CS"/>
        </w:rPr>
        <w:t>48-394/2023 од 19. јануара 2023. године</w:t>
      </w:r>
      <w:r w:rsidRPr="00955B78">
        <w:rPr>
          <w:lang w:val="sr-Cyrl-CS"/>
        </w:rPr>
        <w:t xml:space="preserve">, </w:t>
      </w:r>
      <w:r w:rsidR="00B47FD9" w:rsidRPr="00955B78">
        <w:rPr>
          <w:lang w:val="sr-Cyrl-CS"/>
        </w:rPr>
        <w:t>којим је утврђена</w:t>
      </w:r>
      <w:r w:rsidRPr="00955B78">
        <w:rPr>
          <w:lang w:val="sr-Cyrl-CS"/>
        </w:rPr>
        <w:t xml:space="preserve"> Основа за преговоре са Међународном банком за обнову и развој </w:t>
      </w:r>
      <w:r w:rsidR="001C692C" w:rsidRPr="00955B78">
        <w:rPr>
          <w:lang w:val="sr-Cyrl-CS"/>
        </w:rPr>
        <w:t>у вези са одобравањем Програмског зајма за унапређење управљања јавним финансијама за пружање услуга и зелени раст и одређен преговарачки тим Републике Србије</w:t>
      </w:r>
      <w:r w:rsidR="00B54D19" w:rsidRPr="00955B78">
        <w:rPr>
          <w:lang w:val="sr-Cyrl-CS"/>
        </w:rPr>
        <w:t>.</w:t>
      </w:r>
      <w:r w:rsidR="003F4907" w:rsidRPr="00955B78">
        <w:rPr>
          <w:lang w:val="sr-Cyrl-CS"/>
        </w:rPr>
        <w:t xml:space="preserve"> </w:t>
      </w:r>
      <w:r w:rsidR="00B54D19" w:rsidRPr="00955B78">
        <w:rPr>
          <w:lang w:val="sr-Cyrl-CS"/>
        </w:rPr>
        <w:t>На п</w:t>
      </w:r>
      <w:r w:rsidR="003F4907" w:rsidRPr="00955B78">
        <w:rPr>
          <w:lang w:val="sr-Cyrl-CS"/>
        </w:rPr>
        <w:t>реговори</w:t>
      </w:r>
      <w:r w:rsidR="00B54D19" w:rsidRPr="00955B78">
        <w:rPr>
          <w:lang w:val="sr-Cyrl-CS"/>
        </w:rPr>
        <w:t xml:space="preserve">ма одржаним </w:t>
      </w:r>
      <w:r w:rsidR="001C692C" w:rsidRPr="00955B78">
        <w:rPr>
          <w:lang w:val="sr-Cyrl-CS"/>
        </w:rPr>
        <w:t xml:space="preserve">од 1. до 3. фебруара 2023. године са представницима </w:t>
      </w:r>
      <w:r w:rsidR="004E5A87" w:rsidRPr="00955B78">
        <w:rPr>
          <w:lang w:val="sr-Cyrl-CS"/>
        </w:rPr>
        <w:t>Банке</w:t>
      </w:r>
      <w:r w:rsidR="001C692C" w:rsidRPr="00955B78">
        <w:rPr>
          <w:lang w:val="sr-Cyrl-CS"/>
        </w:rPr>
        <w:t xml:space="preserve"> прецизиране су улоге ресорних министарстава и извршилаца </w:t>
      </w:r>
      <w:r w:rsidR="0063580F" w:rsidRPr="00955B78">
        <w:rPr>
          <w:lang w:val="sr-Cyrl-CS"/>
        </w:rPr>
        <w:t>Оперативних активности</w:t>
      </w:r>
      <w:r w:rsidR="001C692C" w:rsidRPr="00955B78">
        <w:rPr>
          <w:lang w:val="sr-Cyrl-CS"/>
        </w:rPr>
        <w:t>, очекивани резултати повез</w:t>
      </w:r>
      <w:r w:rsidR="0063580F" w:rsidRPr="00955B78">
        <w:rPr>
          <w:lang w:val="sr-Cyrl-CS"/>
        </w:rPr>
        <w:t>ани са исплатом средстава зајма</w:t>
      </w:r>
      <w:r w:rsidR="001C692C" w:rsidRPr="00955B78">
        <w:rPr>
          <w:lang w:val="sr-Cyrl-CS"/>
        </w:rPr>
        <w:t xml:space="preserve"> које треба достићи, показатељи успешности остварених резултата, начин њиховог мерења, финансијски услови и план отплате зајма и друга програмска, институционална и </w:t>
      </w:r>
      <w:proofErr w:type="spellStart"/>
      <w:r w:rsidR="001C692C" w:rsidRPr="00955B78">
        <w:rPr>
          <w:lang w:val="sr-Cyrl-CS"/>
        </w:rPr>
        <w:t>имплементациона</w:t>
      </w:r>
      <w:proofErr w:type="spellEnd"/>
      <w:r w:rsidR="001C692C" w:rsidRPr="00955B78">
        <w:rPr>
          <w:lang w:val="sr-Cyrl-CS"/>
        </w:rPr>
        <w:t xml:space="preserve"> решења, као и питања у вези са праћењем, извештавањем и оценом активности у оквиру Програма и Пројекта</w:t>
      </w:r>
      <w:r w:rsidR="0063580F" w:rsidRPr="00955B78">
        <w:rPr>
          <w:lang w:val="sr-Cyrl-CS"/>
        </w:rPr>
        <w:t>.</w:t>
      </w:r>
    </w:p>
    <w:p w:rsidR="00440427" w:rsidRPr="00955B78" w:rsidRDefault="00C010F2" w:rsidP="00440427">
      <w:pPr>
        <w:ind w:firstLine="720"/>
        <w:jc w:val="both"/>
        <w:rPr>
          <w:lang w:val="sr-Cyrl-CS"/>
        </w:rPr>
      </w:pPr>
      <w:r w:rsidRPr="00955B78">
        <w:rPr>
          <w:lang w:val="sr-Cyrl-CS"/>
        </w:rPr>
        <w:t xml:space="preserve">Након успешно завршених преговора Влада је Закључком </w:t>
      </w:r>
      <w:r w:rsidR="00440427" w:rsidRPr="00955B78">
        <w:rPr>
          <w:lang w:val="sr-Cyrl-CS"/>
        </w:rPr>
        <w:t>05 Број: 48-1</w:t>
      </w:r>
      <w:r w:rsidR="00B54D19" w:rsidRPr="00955B78">
        <w:rPr>
          <w:lang w:val="sr-Cyrl-CS"/>
        </w:rPr>
        <w:t>117/2023-1</w:t>
      </w:r>
      <w:r w:rsidR="00440427" w:rsidRPr="00955B78">
        <w:rPr>
          <w:lang w:val="sr-Cyrl-CS"/>
        </w:rPr>
        <w:t xml:space="preserve"> од </w:t>
      </w:r>
      <w:r w:rsidR="00B54D19" w:rsidRPr="00955B78">
        <w:rPr>
          <w:lang w:val="sr-Cyrl-CS"/>
        </w:rPr>
        <w:t>9</w:t>
      </w:r>
      <w:r w:rsidR="00440427" w:rsidRPr="00955B78">
        <w:rPr>
          <w:lang w:val="sr-Cyrl-CS"/>
        </w:rPr>
        <w:t>. фебруара</w:t>
      </w:r>
      <w:r w:rsidR="00B54D19" w:rsidRPr="00955B78">
        <w:rPr>
          <w:lang w:val="sr-Cyrl-CS"/>
        </w:rPr>
        <w:t xml:space="preserve"> 2023</w:t>
      </w:r>
      <w:r w:rsidR="00440427" w:rsidRPr="00955B78">
        <w:rPr>
          <w:lang w:val="sr-Cyrl-CS"/>
        </w:rPr>
        <w:t>. године,</w:t>
      </w:r>
      <w:r w:rsidR="00AF1807" w:rsidRPr="00955B78">
        <w:rPr>
          <w:lang w:val="sr-Cyrl-CS"/>
        </w:rPr>
        <w:t xml:space="preserve"> прихватила И</w:t>
      </w:r>
      <w:r w:rsidRPr="00955B78">
        <w:rPr>
          <w:lang w:val="sr-Cyrl-CS"/>
        </w:rPr>
        <w:t xml:space="preserve">звештај са преговора са </w:t>
      </w:r>
      <w:r w:rsidR="00AF1807" w:rsidRPr="00955B78">
        <w:rPr>
          <w:lang w:val="sr-Cyrl-CS"/>
        </w:rPr>
        <w:t xml:space="preserve">Међународном банком за обнову и развој </w:t>
      </w:r>
      <w:r w:rsidRPr="00955B78">
        <w:rPr>
          <w:lang w:val="sr-Cyrl-CS"/>
        </w:rPr>
        <w:t xml:space="preserve">и </w:t>
      </w:r>
      <w:r w:rsidR="00B47FD9" w:rsidRPr="00955B78">
        <w:rPr>
          <w:lang w:val="sr-Cyrl-CS"/>
        </w:rPr>
        <w:t xml:space="preserve">истовремено </w:t>
      </w:r>
      <w:r w:rsidRPr="00955B78">
        <w:rPr>
          <w:lang w:val="sr-Cyrl-CS"/>
        </w:rPr>
        <w:t>усвојила</w:t>
      </w:r>
      <w:r w:rsidR="00440427" w:rsidRPr="00955B78">
        <w:rPr>
          <w:lang w:val="sr-Cyrl-CS"/>
        </w:rPr>
        <w:t xml:space="preserve"> Нацрт споразума о зајму (</w:t>
      </w:r>
      <w:r w:rsidR="00B54D19" w:rsidRPr="00955B78">
        <w:rPr>
          <w:lang w:val="sr-Cyrl-CS"/>
        </w:rPr>
        <w:t>Пројекат унапређења управљања јавним финансијама за зелену транзицију</w:t>
      </w:r>
      <w:r w:rsidR="00440427" w:rsidRPr="00955B78">
        <w:rPr>
          <w:lang w:val="sr-Cyrl-CS"/>
        </w:rPr>
        <w:t>) између Републике Србије и Међународне банке за обнову и развој и овла</w:t>
      </w:r>
      <w:r w:rsidRPr="00955B78">
        <w:rPr>
          <w:lang w:val="sr-Cyrl-CS"/>
        </w:rPr>
        <w:t>стила</w:t>
      </w:r>
      <w:r w:rsidR="00440427" w:rsidRPr="00955B78">
        <w:rPr>
          <w:lang w:val="sr-Cyrl-CS"/>
        </w:rPr>
        <w:t xml:space="preserve"> </w:t>
      </w:r>
      <w:r w:rsidRPr="00955B78">
        <w:rPr>
          <w:lang w:val="sr-Cyrl-CS"/>
        </w:rPr>
        <w:t>Синишу Малог</w:t>
      </w:r>
      <w:r w:rsidR="00440427" w:rsidRPr="00955B78">
        <w:rPr>
          <w:lang w:val="sr-Cyrl-CS"/>
        </w:rPr>
        <w:t xml:space="preserve">, </w:t>
      </w:r>
      <w:r w:rsidR="00B54D19" w:rsidRPr="00955B78">
        <w:rPr>
          <w:lang w:val="sr-Cyrl-CS"/>
        </w:rPr>
        <w:t>потпредседник</w:t>
      </w:r>
      <w:r w:rsidRPr="00955B78">
        <w:rPr>
          <w:lang w:val="sr-Cyrl-CS"/>
        </w:rPr>
        <w:t>а</w:t>
      </w:r>
      <w:r w:rsidR="00B54D19" w:rsidRPr="00955B78">
        <w:rPr>
          <w:lang w:val="sr-Cyrl-CS"/>
        </w:rPr>
        <w:t xml:space="preserve"> Владе и </w:t>
      </w:r>
      <w:r w:rsidR="00440427" w:rsidRPr="00955B78">
        <w:rPr>
          <w:lang w:val="sr-Cyrl-CS"/>
        </w:rPr>
        <w:t>минист</w:t>
      </w:r>
      <w:r w:rsidRPr="00955B78">
        <w:rPr>
          <w:lang w:val="sr-Cyrl-CS"/>
        </w:rPr>
        <w:t>ра</w:t>
      </w:r>
      <w:r w:rsidR="00440427" w:rsidRPr="00955B78">
        <w:rPr>
          <w:lang w:val="sr-Cyrl-CS"/>
        </w:rPr>
        <w:t xml:space="preserve"> финансија, да у име Владе, као заступника Републике Србије, потпише наведени споразум. </w:t>
      </w:r>
    </w:p>
    <w:p w:rsidR="0097695C" w:rsidRPr="00955B78" w:rsidRDefault="00AF1807" w:rsidP="0097695C">
      <w:pPr>
        <w:ind w:firstLine="720"/>
        <w:jc w:val="both"/>
        <w:rPr>
          <w:lang w:val="sr-Cyrl-CS"/>
        </w:rPr>
      </w:pPr>
      <w:r w:rsidRPr="00955B78">
        <w:rPr>
          <w:lang w:val="sr-Cyrl-CS"/>
        </w:rPr>
        <w:t>У</w:t>
      </w:r>
      <w:r w:rsidR="0097695C" w:rsidRPr="00955B78">
        <w:rPr>
          <w:lang w:val="sr-Cyrl-CS"/>
        </w:rPr>
        <w:t xml:space="preserve"> складу са Општим условима </w:t>
      </w:r>
      <w:r w:rsidR="004E5A87" w:rsidRPr="00955B78">
        <w:rPr>
          <w:lang w:val="sr-Cyrl-CS"/>
        </w:rPr>
        <w:t>Банке</w:t>
      </w:r>
      <w:r w:rsidR="00295FC5" w:rsidRPr="00955B78">
        <w:rPr>
          <w:lang w:val="sr-Cyrl-CS"/>
        </w:rPr>
        <w:t xml:space="preserve"> </w:t>
      </w:r>
      <w:r w:rsidR="0097695C" w:rsidRPr="00955B78">
        <w:rPr>
          <w:lang w:val="sr-Cyrl-CS"/>
        </w:rPr>
        <w:t>од 14. децембра 2018. године (са изменама и допунама од 1. августа 2020. год</w:t>
      </w:r>
      <w:r w:rsidR="0077467D" w:rsidRPr="00955B78">
        <w:rPr>
          <w:lang w:val="sr-Cyrl-CS"/>
        </w:rPr>
        <w:t>ине, 21. децембра 2020. године,</w:t>
      </w:r>
      <w:r w:rsidR="0097695C" w:rsidRPr="00955B78">
        <w:rPr>
          <w:lang w:val="sr-Cyrl-CS"/>
        </w:rPr>
        <w:t xml:space="preserve"> 1. априла 2021. године</w:t>
      </w:r>
      <w:r w:rsidR="0077467D" w:rsidRPr="00955B78">
        <w:rPr>
          <w:lang w:val="sr-Cyrl-CS"/>
        </w:rPr>
        <w:t xml:space="preserve"> и 1. јануара 2022. године</w:t>
      </w:r>
      <w:r w:rsidR="0097695C" w:rsidRPr="00955B78">
        <w:rPr>
          <w:lang w:val="sr-Cyrl-CS"/>
        </w:rPr>
        <w:t>)</w:t>
      </w:r>
      <w:r w:rsidR="00491089" w:rsidRPr="00955B78">
        <w:rPr>
          <w:lang w:val="sr-Cyrl-CS"/>
        </w:rPr>
        <w:t xml:space="preserve"> и стандардном политиком, коју Б</w:t>
      </w:r>
      <w:r w:rsidR="0097695C" w:rsidRPr="00955B78">
        <w:rPr>
          <w:lang w:val="sr-Cyrl-CS"/>
        </w:rPr>
        <w:t xml:space="preserve">анка примењује </w:t>
      </w:r>
      <w:r w:rsidR="00843140" w:rsidRPr="00955B78">
        <w:rPr>
          <w:lang w:val="sr-Cyrl-CS"/>
        </w:rPr>
        <w:t xml:space="preserve">код одобравања </w:t>
      </w:r>
      <w:r w:rsidR="0063580F" w:rsidRPr="00955B78">
        <w:rPr>
          <w:lang w:val="sr-Cyrl-CS"/>
        </w:rPr>
        <w:t xml:space="preserve">ове врсте </w:t>
      </w:r>
      <w:r w:rsidR="00843140" w:rsidRPr="00955B78">
        <w:rPr>
          <w:lang w:val="sr-Cyrl-CS"/>
        </w:rPr>
        <w:t>зајмова</w:t>
      </w:r>
      <w:r w:rsidR="0097695C" w:rsidRPr="00955B78">
        <w:rPr>
          <w:lang w:val="sr-Cyrl-CS"/>
        </w:rPr>
        <w:t xml:space="preserve"> и начин на који ће се средства овог зајма користити и отплаћивати</w:t>
      </w:r>
      <w:r w:rsidRPr="00955B78">
        <w:rPr>
          <w:lang w:val="sr-Cyrl-CS"/>
        </w:rPr>
        <w:t>, договорени су следећи финансијски услови:</w:t>
      </w:r>
    </w:p>
    <w:p w:rsidR="0063580F" w:rsidRPr="00955B78" w:rsidRDefault="0063580F" w:rsidP="00A4182D">
      <w:pPr>
        <w:pStyle w:val="ListParagraph"/>
        <w:numPr>
          <w:ilvl w:val="0"/>
          <w:numId w:val="1"/>
        </w:numPr>
        <w:tabs>
          <w:tab w:val="left" w:pos="993"/>
        </w:tabs>
        <w:ind w:left="0" w:right="-34" w:firstLine="720"/>
        <w:jc w:val="both"/>
        <w:rPr>
          <w:lang w:val="sr-Cyrl-CS"/>
        </w:rPr>
      </w:pPr>
      <w:r w:rsidRPr="00955B78">
        <w:rPr>
          <w:lang w:val="sr-Cyrl-CS"/>
        </w:rPr>
        <w:t xml:space="preserve">директно задужење Републике Србије: до 69.300.000 </w:t>
      </w:r>
      <w:proofErr w:type="spellStart"/>
      <w:r w:rsidRPr="00955B78">
        <w:rPr>
          <w:lang w:val="sr-Cyrl-CS"/>
        </w:rPr>
        <w:t>EUR</w:t>
      </w:r>
      <w:proofErr w:type="spellEnd"/>
      <w:r w:rsidRPr="00955B78">
        <w:rPr>
          <w:lang w:val="sr-Cyrl-CS"/>
        </w:rPr>
        <w:t xml:space="preserve">, што представља планирани износ одобрен од стране Банке од 75.000.000 </w:t>
      </w:r>
      <w:proofErr w:type="spellStart"/>
      <w:r w:rsidRPr="00955B78">
        <w:rPr>
          <w:lang w:val="sr-Cyrl-CS"/>
        </w:rPr>
        <w:t>USD</w:t>
      </w:r>
      <w:proofErr w:type="spellEnd"/>
      <w:r w:rsidRPr="00955B78">
        <w:rPr>
          <w:lang w:val="sr-Cyrl-CS"/>
        </w:rPr>
        <w:t xml:space="preserve"> прерачунат у </w:t>
      </w:r>
      <w:proofErr w:type="spellStart"/>
      <w:r w:rsidR="008D049D" w:rsidRPr="00955B78">
        <w:rPr>
          <w:lang w:val="sr-Cyrl-CS"/>
        </w:rPr>
        <w:t>EUR</w:t>
      </w:r>
      <w:proofErr w:type="spellEnd"/>
      <w:r w:rsidRPr="00955B78">
        <w:rPr>
          <w:lang w:val="sr-Cyrl-CS"/>
        </w:rPr>
        <w:t xml:space="preserve">, применом курса 0.9228 </w:t>
      </w:r>
      <w:proofErr w:type="spellStart"/>
      <w:r w:rsidRPr="00955B78">
        <w:rPr>
          <w:lang w:val="sr-Cyrl-CS"/>
        </w:rPr>
        <w:t>USD:1</w:t>
      </w:r>
      <w:proofErr w:type="spellEnd"/>
      <w:r w:rsidRPr="00955B78">
        <w:rPr>
          <w:lang w:val="sr-Cyrl-CS"/>
        </w:rPr>
        <w:t xml:space="preserve"> </w:t>
      </w:r>
      <w:proofErr w:type="spellStart"/>
      <w:r w:rsidRPr="00955B78">
        <w:rPr>
          <w:lang w:val="sr-Cyrl-CS"/>
        </w:rPr>
        <w:t>EUR</w:t>
      </w:r>
      <w:proofErr w:type="spellEnd"/>
      <w:r w:rsidRPr="00955B78">
        <w:rPr>
          <w:lang w:val="sr-Cyrl-CS"/>
        </w:rPr>
        <w:t xml:space="preserve"> на дан 31. јануар 2023. године;</w:t>
      </w:r>
    </w:p>
    <w:p w:rsidR="0063580F" w:rsidRPr="00955B78" w:rsidRDefault="0063580F" w:rsidP="00A4182D">
      <w:pPr>
        <w:pStyle w:val="ListParagraph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lang w:val="sr-Cyrl-CS"/>
        </w:rPr>
      </w:pPr>
      <w:r w:rsidRPr="00955B78">
        <w:rPr>
          <w:lang w:val="sr-Cyrl-CS"/>
        </w:rPr>
        <w:t>полугодишња отплата зајма, 15. априла и 15. октобра сваке године;</w:t>
      </w:r>
    </w:p>
    <w:p w:rsidR="0063580F" w:rsidRPr="00955B78" w:rsidRDefault="0063580F" w:rsidP="00A4182D">
      <w:pPr>
        <w:pStyle w:val="ListParagraph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lang w:val="sr-Cyrl-CS"/>
        </w:rPr>
      </w:pPr>
      <w:r w:rsidRPr="00955B78">
        <w:rPr>
          <w:lang w:val="sr-Cyrl-CS"/>
        </w:rPr>
        <w:t xml:space="preserve">рок доспећа: 12 година, укључујући период почека од </w:t>
      </w:r>
      <w:r w:rsidR="00C010F2" w:rsidRPr="00955B78">
        <w:rPr>
          <w:lang w:val="sr-Cyrl-CS"/>
        </w:rPr>
        <w:t>четири</w:t>
      </w:r>
      <w:r w:rsidRPr="00955B78">
        <w:rPr>
          <w:lang w:val="sr-Cyrl-CS"/>
        </w:rPr>
        <w:t xml:space="preserve"> године, уз отплату главнице у једнаким ратама, од којих прва доспева 15. априла 2027. године, а последња 15. октобра 2034. године;</w:t>
      </w:r>
    </w:p>
    <w:p w:rsidR="0063580F" w:rsidRPr="00955B78" w:rsidRDefault="0063580F" w:rsidP="00A4182D">
      <w:pPr>
        <w:pStyle w:val="ListParagraph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lang w:val="sr-Cyrl-CS"/>
        </w:rPr>
      </w:pPr>
      <w:r w:rsidRPr="00955B78">
        <w:rPr>
          <w:lang w:val="sr-Cyrl-CS"/>
        </w:rPr>
        <w:t xml:space="preserve">приступна накнада: 0,25% на укупну главницу (173.250 </w:t>
      </w:r>
      <w:proofErr w:type="spellStart"/>
      <w:r w:rsidR="008D049D" w:rsidRPr="00955B78">
        <w:rPr>
          <w:lang w:val="sr-Cyrl-CS"/>
        </w:rPr>
        <w:t>EUR</w:t>
      </w:r>
      <w:proofErr w:type="spellEnd"/>
      <w:r w:rsidRPr="00955B78">
        <w:rPr>
          <w:lang w:val="sr-Cyrl-CS"/>
        </w:rPr>
        <w:t>) и плаћа се из средстава зајма;</w:t>
      </w:r>
    </w:p>
    <w:p w:rsidR="0063580F" w:rsidRPr="00955B78" w:rsidRDefault="0063580F" w:rsidP="00A4182D">
      <w:pPr>
        <w:pStyle w:val="ListParagraph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lang w:val="sr-Cyrl-CS"/>
        </w:rPr>
      </w:pPr>
      <w:r w:rsidRPr="00955B78">
        <w:rPr>
          <w:lang w:val="sr-Cyrl-CS"/>
        </w:rPr>
        <w:t xml:space="preserve">накнада на </w:t>
      </w:r>
      <w:proofErr w:type="spellStart"/>
      <w:r w:rsidRPr="00955B78">
        <w:rPr>
          <w:lang w:val="sr-Cyrl-CS"/>
        </w:rPr>
        <w:t>неповучена</w:t>
      </w:r>
      <w:proofErr w:type="spellEnd"/>
      <w:r w:rsidRPr="00955B78">
        <w:rPr>
          <w:lang w:val="sr-Cyrl-CS"/>
        </w:rPr>
        <w:t xml:space="preserve"> средства износи 0,25% на годишњем нивоу;</w:t>
      </w:r>
    </w:p>
    <w:p w:rsidR="0063580F" w:rsidRPr="00955B78" w:rsidRDefault="0063580F" w:rsidP="00A4182D">
      <w:pPr>
        <w:pStyle w:val="ListParagraph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lang w:val="sr-Cyrl-CS"/>
        </w:rPr>
      </w:pPr>
      <w:r w:rsidRPr="00955B78">
        <w:rPr>
          <w:lang w:val="sr-Cyrl-CS"/>
        </w:rPr>
        <w:t xml:space="preserve">каматна стопа: Референтна стопа (шестомесечни </w:t>
      </w:r>
      <w:proofErr w:type="spellStart"/>
      <w:r w:rsidRPr="00955B78">
        <w:rPr>
          <w:lang w:val="sr-Cyrl-CS"/>
        </w:rPr>
        <w:t>EURIBOR</w:t>
      </w:r>
      <w:proofErr w:type="spellEnd"/>
      <w:r w:rsidRPr="00955B78">
        <w:rPr>
          <w:lang w:val="sr-Cyrl-CS"/>
        </w:rPr>
        <w:t xml:space="preserve">) + варијабилна маржа, која тренутно износи 0,48% за зајмове ове рочности у </w:t>
      </w:r>
      <w:proofErr w:type="spellStart"/>
      <w:r w:rsidR="008D049D" w:rsidRPr="00955B78">
        <w:rPr>
          <w:lang w:val="sr-Cyrl-CS"/>
        </w:rPr>
        <w:t>EUR</w:t>
      </w:r>
      <w:proofErr w:type="spellEnd"/>
      <w:r w:rsidRPr="00955B78">
        <w:rPr>
          <w:lang w:val="sr-Cyrl-CS"/>
        </w:rPr>
        <w:t xml:space="preserve"> валути, уз могућност различитих врста конверзије, ако се процени да је повољније са становишта управљања јавним дугом;</w:t>
      </w:r>
    </w:p>
    <w:p w:rsidR="0063580F" w:rsidRPr="00955B78" w:rsidRDefault="0063580F" w:rsidP="00A4182D">
      <w:pPr>
        <w:pStyle w:val="ListParagraph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lang w:val="sr-Cyrl-CS"/>
        </w:rPr>
      </w:pPr>
      <w:r w:rsidRPr="00955B78">
        <w:rPr>
          <w:lang w:val="sr-Cyrl-CS"/>
        </w:rPr>
        <w:lastRenderedPageBreak/>
        <w:t>рок расположивости зајма: средства зајма се могу повлачити 6 месеци након датума завршетка Оперативних активности који је дефинисан као 31. март 2027. године.</w:t>
      </w:r>
    </w:p>
    <w:p w:rsidR="00B47FD9" w:rsidRPr="00955B78" w:rsidRDefault="00B47FD9" w:rsidP="00A4182D">
      <w:pPr>
        <w:tabs>
          <w:tab w:val="left" w:pos="993"/>
        </w:tabs>
        <w:ind w:firstLine="720"/>
        <w:jc w:val="both"/>
        <w:rPr>
          <w:lang w:val="sr-Cyrl-CS"/>
        </w:rPr>
      </w:pPr>
      <w:r w:rsidRPr="00955B78">
        <w:rPr>
          <w:lang w:val="sr-Cyrl-CS"/>
        </w:rPr>
        <w:t xml:space="preserve">Након што је </w:t>
      </w:r>
      <w:r w:rsidR="00AD2101" w:rsidRPr="00955B78">
        <w:rPr>
          <w:lang w:val="sr-Cyrl-CS"/>
        </w:rPr>
        <w:t>Банка</w:t>
      </w:r>
      <w:r w:rsidRPr="00955B78">
        <w:rPr>
          <w:lang w:val="sr-Cyrl-CS"/>
        </w:rPr>
        <w:t xml:space="preserve"> спровела своју процедуру одобрења од стране Одбора извршних директора, Споразум о зајму је потписан </w:t>
      </w:r>
      <w:r w:rsidR="00342C25" w:rsidRPr="00955B78">
        <w:rPr>
          <w:lang w:val="sr-Cyrl-CS"/>
        </w:rPr>
        <w:t>у Београду</w:t>
      </w:r>
      <w:r w:rsidR="00BD2868" w:rsidRPr="00955B78">
        <w:rPr>
          <w:lang w:val="sr-Cyrl-CS"/>
        </w:rPr>
        <w:t>,</w:t>
      </w:r>
      <w:r w:rsidR="00342C25" w:rsidRPr="00955B78">
        <w:rPr>
          <w:lang w:val="sr-Cyrl-CS"/>
        </w:rPr>
        <w:t xml:space="preserve"> </w:t>
      </w:r>
      <w:r w:rsidR="0077467D" w:rsidRPr="00955B78">
        <w:rPr>
          <w:lang w:val="sr-Cyrl-CS"/>
        </w:rPr>
        <w:t>24</w:t>
      </w:r>
      <w:r w:rsidR="00342C25" w:rsidRPr="00955B78">
        <w:rPr>
          <w:lang w:val="sr-Cyrl-CS"/>
        </w:rPr>
        <w:t xml:space="preserve">. и </w:t>
      </w:r>
      <w:r w:rsidR="0077467D" w:rsidRPr="00955B78">
        <w:rPr>
          <w:lang w:val="sr-Cyrl-CS"/>
        </w:rPr>
        <w:t>30</w:t>
      </w:r>
      <w:r w:rsidR="00342C25" w:rsidRPr="00955B78">
        <w:rPr>
          <w:lang w:val="sr-Cyrl-CS"/>
        </w:rPr>
        <w:t xml:space="preserve">. </w:t>
      </w:r>
      <w:r w:rsidR="0077467D" w:rsidRPr="00955B78">
        <w:rPr>
          <w:lang w:val="sr-Cyrl-CS"/>
        </w:rPr>
        <w:t>маја 2023</w:t>
      </w:r>
      <w:r w:rsidRPr="00955B78">
        <w:rPr>
          <w:lang w:val="sr-Cyrl-CS"/>
        </w:rPr>
        <w:t>. године.</w:t>
      </w:r>
    </w:p>
    <w:p w:rsidR="009A295B" w:rsidRPr="00955B78" w:rsidRDefault="009A295B" w:rsidP="009A295B">
      <w:pPr>
        <w:ind w:firstLine="720"/>
        <w:jc w:val="both"/>
        <w:rPr>
          <w:lang w:val="sr-Cyrl-CS"/>
        </w:rPr>
      </w:pPr>
    </w:p>
    <w:p w:rsidR="00601491" w:rsidRPr="00955B78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proofErr w:type="spellStart"/>
      <w:r w:rsidRPr="00955B78">
        <w:rPr>
          <w:rFonts w:ascii="Times New Roman" w:hAnsi="Times New Roman" w:cs="Times New Roman"/>
          <w:color w:val="auto"/>
          <w:lang w:val="sr-Cyrl-CS"/>
        </w:rPr>
        <w:t>III</w:t>
      </w:r>
      <w:proofErr w:type="spellEnd"/>
      <w:r w:rsidR="00A4182D" w:rsidRPr="00955B78">
        <w:rPr>
          <w:rFonts w:ascii="Times New Roman" w:hAnsi="Times New Roman" w:cs="Times New Roman"/>
          <w:color w:val="auto"/>
          <w:lang w:val="sr-Cyrl-CS"/>
        </w:rPr>
        <w:t>.</w:t>
      </w:r>
      <w:r w:rsidRPr="00955B78">
        <w:rPr>
          <w:rFonts w:ascii="Times New Roman" w:hAnsi="Times New Roman" w:cs="Times New Roman"/>
          <w:color w:val="auto"/>
          <w:lang w:val="sr-Cyrl-CS"/>
        </w:rPr>
        <w:t xml:space="preserve"> ОБЈАШЊЕЊЕ ОСНОВНИХ ПРАВНИХ ИНСТИТУТА И ПОЈЕДИНАЧНИХ РЕШЕЊА </w:t>
      </w:r>
    </w:p>
    <w:p w:rsidR="00601491" w:rsidRPr="00955B78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</w:p>
    <w:p w:rsidR="00601491" w:rsidRPr="00955B78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955B78">
        <w:rPr>
          <w:rFonts w:ascii="Times New Roman" w:hAnsi="Times New Roman" w:cs="Times New Roman"/>
          <w:color w:val="auto"/>
          <w:lang w:val="sr-Cyrl-CS"/>
        </w:rPr>
        <w:t xml:space="preserve">Одредбом члана 1. овог закона предвиђа се потврђивање </w:t>
      </w:r>
      <w:r w:rsidR="00287F90" w:rsidRPr="00955B78">
        <w:rPr>
          <w:rFonts w:ascii="Times New Roman" w:hAnsi="Times New Roman" w:cs="Times New Roman"/>
          <w:color w:val="auto"/>
          <w:lang w:val="sr-Cyrl-CS"/>
        </w:rPr>
        <w:t>Споразума о зајму</w:t>
      </w:r>
      <w:r w:rsidRPr="00955B78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777B3C" w:rsidRPr="00955B78">
        <w:rPr>
          <w:rFonts w:ascii="Times New Roman" w:hAnsi="Times New Roman" w:cs="Times New Roman"/>
          <w:color w:val="auto"/>
          <w:lang w:val="sr-Cyrl-CS"/>
        </w:rPr>
        <w:t>(</w:t>
      </w:r>
      <w:r w:rsidR="00D07420" w:rsidRPr="00955B78">
        <w:rPr>
          <w:rFonts w:ascii="Times New Roman" w:hAnsi="Times New Roman" w:cs="Times New Roman"/>
          <w:color w:val="auto"/>
          <w:lang w:val="sr-Cyrl-CS"/>
        </w:rPr>
        <w:t xml:space="preserve">Пројекат унапређења управљања јавним финансијама за зелену транзицију) између Републике Србије и Међународне банке за обнову и развој, који је потписан у Београду, </w:t>
      </w:r>
      <w:r w:rsidR="0077467D" w:rsidRPr="00955B78">
        <w:rPr>
          <w:rFonts w:ascii="Times New Roman" w:hAnsi="Times New Roman" w:cs="Times New Roman"/>
          <w:color w:val="auto"/>
          <w:lang w:val="sr-Cyrl-CS"/>
        </w:rPr>
        <w:t>24</w:t>
      </w:r>
      <w:r w:rsidR="00D07420" w:rsidRPr="00955B78">
        <w:rPr>
          <w:rFonts w:ascii="Times New Roman" w:hAnsi="Times New Roman" w:cs="Times New Roman"/>
          <w:color w:val="auto"/>
          <w:lang w:val="sr-Cyrl-CS"/>
        </w:rPr>
        <w:t xml:space="preserve">. и </w:t>
      </w:r>
      <w:r w:rsidR="0077467D" w:rsidRPr="00955B78">
        <w:rPr>
          <w:rFonts w:ascii="Times New Roman" w:hAnsi="Times New Roman" w:cs="Times New Roman"/>
          <w:color w:val="auto"/>
          <w:lang w:val="sr-Cyrl-CS"/>
        </w:rPr>
        <w:t>30</w:t>
      </w:r>
      <w:r w:rsidR="00D07420" w:rsidRPr="00955B78">
        <w:rPr>
          <w:rFonts w:ascii="Times New Roman" w:hAnsi="Times New Roman" w:cs="Times New Roman"/>
          <w:color w:val="auto"/>
          <w:lang w:val="sr-Cyrl-CS"/>
        </w:rPr>
        <w:t xml:space="preserve">. </w:t>
      </w:r>
      <w:r w:rsidR="0077467D" w:rsidRPr="00955B78">
        <w:rPr>
          <w:rFonts w:ascii="Times New Roman" w:hAnsi="Times New Roman" w:cs="Times New Roman"/>
          <w:color w:val="auto"/>
          <w:lang w:val="sr-Cyrl-CS"/>
        </w:rPr>
        <w:t>маја</w:t>
      </w:r>
      <w:r w:rsidR="00D07420" w:rsidRPr="00955B78">
        <w:rPr>
          <w:rFonts w:ascii="Times New Roman" w:hAnsi="Times New Roman" w:cs="Times New Roman"/>
          <w:color w:val="auto"/>
          <w:lang w:val="sr-Cyrl-CS"/>
        </w:rPr>
        <w:t xml:space="preserve"> 2023. године</w:t>
      </w:r>
      <w:r w:rsidR="00BD2868" w:rsidRPr="00955B78">
        <w:rPr>
          <w:rFonts w:ascii="Times New Roman" w:hAnsi="Times New Roman" w:cs="Times New Roman"/>
          <w:color w:val="auto"/>
          <w:lang w:val="sr-Cyrl-CS"/>
        </w:rPr>
        <w:t>,</w:t>
      </w:r>
      <w:r w:rsidRPr="00955B78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55B78">
        <w:rPr>
          <w:rFonts w:ascii="Times New Roman" w:hAnsi="Times New Roman" w:cs="Times New Roman"/>
          <w:lang w:val="sr-Cyrl-CS"/>
        </w:rPr>
        <w:t xml:space="preserve">у оригиналу на енглеском језику. </w:t>
      </w:r>
    </w:p>
    <w:p w:rsidR="00601491" w:rsidRPr="00955B78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955B78">
        <w:rPr>
          <w:rFonts w:ascii="Times New Roman" w:hAnsi="Times New Roman" w:cs="Times New Roman"/>
          <w:color w:val="auto"/>
          <w:lang w:val="sr-Cyrl-CS"/>
        </w:rPr>
        <w:t xml:space="preserve">Одредба члана 2. овог закона садржи текст </w:t>
      </w:r>
      <w:r w:rsidR="006E238E" w:rsidRPr="00955B78">
        <w:rPr>
          <w:rFonts w:ascii="Times New Roman" w:hAnsi="Times New Roman" w:cs="Times New Roman"/>
          <w:color w:val="auto"/>
          <w:lang w:val="sr-Cyrl-CS"/>
        </w:rPr>
        <w:t>Споразума о зајму (</w:t>
      </w:r>
      <w:r w:rsidR="00D07420" w:rsidRPr="00955B78">
        <w:rPr>
          <w:rFonts w:ascii="Times New Roman" w:hAnsi="Times New Roman" w:cs="Times New Roman"/>
          <w:color w:val="auto"/>
          <w:lang w:val="sr-Cyrl-CS"/>
        </w:rPr>
        <w:t>Пројекат унапређења управљања јавним финансијама за зелену транзицију) између Републике Србије и Међународне банке за обнову и развој</w:t>
      </w:r>
      <w:r w:rsidRPr="00955B78">
        <w:rPr>
          <w:rFonts w:ascii="Times New Roman" w:hAnsi="Times New Roman" w:cs="Times New Roman"/>
          <w:color w:val="auto"/>
          <w:lang w:val="sr-Cyrl-CS"/>
        </w:rPr>
        <w:t xml:space="preserve">, у оригиналу на енглеском </w:t>
      </w:r>
      <w:r w:rsidR="00726C33" w:rsidRPr="00955B78">
        <w:rPr>
          <w:rFonts w:ascii="Times New Roman" w:hAnsi="Times New Roman" w:cs="Times New Roman"/>
          <w:color w:val="auto"/>
          <w:lang w:val="sr-Cyrl-CS"/>
        </w:rPr>
        <w:t xml:space="preserve">језику </w:t>
      </w:r>
      <w:r w:rsidRPr="00955B78">
        <w:rPr>
          <w:rFonts w:ascii="Times New Roman" w:hAnsi="Times New Roman" w:cs="Times New Roman"/>
          <w:color w:val="auto"/>
          <w:lang w:val="sr-Cyrl-CS"/>
        </w:rPr>
        <w:t xml:space="preserve">и преводу на српски језик. </w:t>
      </w:r>
    </w:p>
    <w:p w:rsidR="00601491" w:rsidRPr="00955B78" w:rsidRDefault="0063634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955B78">
        <w:rPr>
          <w:rFonts w:ascii="Times New Roman" w:hAnsi="Times New Roman" w:cs="Times New Roman"/>
          <w:color w:val="auto"/>
          <w:lang w:val="sr-Cyrl-CS"/>
        </w:rPr>
        <w:t>О</w:t>
      </w:r>
      <w:r w:rsidR="00601491" w:rsidRPr="00955B78">
        <w:rPr>
          <w:rFonts w:ascii="Times New Roman" w:hAnsi="Times New Roman" w:cs="Times New Roman"/>
          <w:color w:val="auto"/>
          <w:lang w:val="sr-Cyrl-CS"/>
        </w:rPr>
        <w:t>дредб</w:t>
      </w:r>
      <w:r w:rsidRPr="00955B78">
        <w:rPr>
          <w:rFonts w:ascii="Times New Roman" w:hAnsi="Times New Roman" w:cs="Times New Roman"/>
          <w:color w:val="auto"/>
          <w:lang w:val="sr-Cyrl-CS"/>
        </w:rPr>
        <w:t xml:space="preserve">ом </w:t>
      </w:r>
      <w:r w:rsidR="00601491" w:rsidRPr="00955B78">
        <w:rPr>
          <w:rFonts w:ascii="Times New Roman" w:hAnsi="Times New Roman" w:cs="Times New Roman"/>
          <w:color w:val="auto"/>
          <w:lang w:val="sr-Cyrl-CS"/>
        </w:rPr>
        <w:t xml:space="preserve">члана 3. уређује се ступање на снагу овог закона. </w:t>
      </w:r>
    </w:p>
    <w:p w:rsidR="00601491" w:rsidRPr="00955B78" w:rsidRDefault="00601491" w:rsidP="00601491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</w:p>
    <w:p w:rsidR="00601491" w:rsidRPr="00955B78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proofErr w:type="spellStart"/>
      <w:r w:rsidRPr="00955B78">
        <w:rPr>
          <w:rFonts w:ascii="Times New Roman" w:hAnsi="Times New Roman" w:cs="Times New Roman"/>
          <w:color w:val="auto"/>
          <w:lang w:val="sr-Cyrl-CS"/>
        </w:rPr>
        <w:t>IV</w:t>
      </w:r>
      <w:proofErr w:type="spellEnd"/>
      <w:r w:rsidR="00A4182D" w:rsidRPr="00955B78">
        <w:rPr>
          <w:rFonts w:ascii="Times New Roman" w:hAnsi="Times New Roman" w:cs="Times New Roman"/>
          <w:color w:val="auto"/>
          <w:lang w:val="sr-Cyrl-CS"/>
        </w:rPr>
        <w:t>.</w:t>
      </w:r>
      <w:r w:rsidRPr="00955B78">
        <w:rPr>
          <w:rFonts w:ascii="Times New Roman" w:hAnsi="Times New Roman" w:cs="Times New Roman"/>
          <w:color w:val="auto"/>
          <w:lang w:val="sr-Cyrl-CS"/>
        </w:rPr>
        <w:t xml:space="preserve"> ФИНАНСИЈСКЕ ОБАВЕЗЕ И ПРОЦЕНА ФИНАНСИЈСКИХ СРЕДСТАВА КОЈА НАСТАЈУ ИЗВРШАВАЊЕМ ЗАКОНА</w:t>
      </w:r>
    </w:p>
    <w:p w:rsidR="00601491" w:rsidRPr="00955B78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955B78">
        <w:rPr>
          <w:rFonts w:ascii="Times New Roman" w:hAnsi="Times New Roman" w:cs="Times New Roman"/>
          <w:color w:val="auto"/>
          <w:lang w:val="sr-Cyrl-CS"/>
        </w:rPr>
        <w:t xml:space="preserve"> </w:t>
      </w:r>
    </w:p>
    <w:p w:rsidR="00601491" w:rsidRPr="00955B78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955B78">
        <w:rPr>
          <w:rFonts w:ascii="Times New Roman" w:hAnsi="Times New Roman" w:cs="Times New Roman"/>
          <w:color w:val="auto"/>
          <w:lang w:val="sr-Cyrl-CS"/>
        </w:rPr>
        <w:t xml:space="preserve">За спровођење овог закона обезбеђиваће се средства у буџету Републике Србије. </w:t>
      </w:r>
    </w:p>
    <w:p w:rsidR="002C4BCD" w:rsidRPr="00955B78" w:rsidRDefault="008901FA">
      <w:pPr>
        <w:rPr>
          <w:lang w:val="sr-Cyrl-CS"/>
        </w:rPr>
      </w:pPr>
    </w:p>
    <w:sectPr w:rsidR="002C4BCD" w:rsidRPr="00955B78" w:rsidSect="00F63EFE">
      <w:footerReference w:type="default" r:id="rId7"/>
      <w:pgSz w:w="11906" w:h="16838"/>
      <w:pgMar w:top="1260" w:right="1440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1FA" w:rsidRDefault="008901FA" w:rsidP="00F63EFE">
      <w:r>
        <w:separator/>
      </w:r>
    </w:p>
  </w:endnote>
  <w:endnote w:type="continuationSeparator" w:id="0">
    <w:p w:rsidR="008901FA" w:rsidRDefault="008901FA" w:rsidP="00F6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34654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EFE" w:rsidRDefault="00F63E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3EFE" w:rsidRDefault="00F63E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1FA" w:rsidRDefault="008901FA" w:rsidP="00F63EFE">
      <w:r>
        <w:separator/>
      </w:r>
    </w:p>
  </w:footnote>
  <w:footnote w:type="continuationSeparator" w:id="0">
    <w:p w:rsidR="008901FA" w:rsidRDefault="008901FA" w:rsidP="00F63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419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851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923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9955" w:hanging="360"/>
      </w:pPr>
      <w:rPr>
        <w:rFonts w:ascii="Wingdings" w:hAnsi="Wingdings" w:hint="default"/>
      </w:rPr>
    </w:lvl>
  </w:abstractNum>
  <w:abstractNum w:abstractNumId="1" w15:restartNumberingAfterBreak="0">
    <w:nsid w:val="669E75C2"/>
    <w:multiLevelType w:val="hybridMultilevel"/>
    <w:tmpl w:val="D3E807E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9B"/>
    <w:rsid w:val="00021504"/>
    <w:rsid w:val="00042FA0"/>
    <w:rsid w:val="0004558D"/>
    <w:rsid w:val="00045DDC"/>
    <w:rsid w:val="0006446C"/>
    <w:rsid w:val="000D3C41"/>
    <w:rsid w:val="00117C14"/>
    <w:rsid w:val="00135BBB"/>
    <w:rsid w:val="00145269"/>
    <w:rsid w:val="0016024B"/>
    <w:rsid w:val="001610A3"/>
    <w:rsid w:val="00165B38"/>
    <w:rsid w:val="001A32FA"/>
    <w:rsid w:val="001A37EA"/>
    <w:rsid w:val="001C692C"/>
    <w:rsid w:val="001D0D87"/>
    <w:rsid w:val="001D14DA"/>
    <w:rsid w:val="002537C4"/>
    <w:rsid w:val="002773F1"/>
    <w:rsid w:val="00287F90"/>
    <w:rsid w:val="00295FC5"/>
    <w:rsid w:val="002A40E8"/>
    <w:rsid w:val="002B2B6A"/>
    <w:rsid w:val="002E468E"/>
    <w:rsid w:val="002F5225"/>
    <w:rsid w:val="00332FD1"/>
    <w:rsid w:val="00340C91"/>
    <w:rsid w:val="00342C25"/>
    <w:rsid w:val="00346D5B"/>
    <w:rsid w:val="00362890"/>
    <w:rsid w:val="00372A01"/>
    <w:rsid w:val="00390847"/>
    <w:rsid w:val="003C1029"/>
    <w:rsid w:val="003F4907"/>
    <w:rsid w:val="003F5DC9"/>
    <w:rsid w:val="00421B5A"/>
    <w:rsid w:val="00426994"/>
    <w:rsid w:val="00430F22"/>
    <w:rsid w:val="0043259B"/>
    <w:rsid w:val="00440427"/>
    <w:rsid w:val="00446B32"/>
    <w:rsid w:val="0045187F"/>
    <w:rsid w:val="0047703B"/>
    <w:rsid w:val="00491089"/>
    <w:rsid w:val="004C3F45"/>
    <w:rsid w:val="004E0AF1"/>
    <w:rsid w:val="004E5A87"/>
    <w:rsid w:val="004F13CF"/>
    <w:rsid w:val="004F29E3"/>
    <w:rsid w:val="00524960"/>
    <w:rsid w:val="00526622"/>
    <w:rsid w:val="00561396"/>
    <w:rsid w:val="00575761"/>
    <w:rsid w:val="005803BC"/>
    <w:rsid w:val="005A349F"/>
    <w:rsid w:val="005B26BC"/>
    <w:rsid w:val="005B4328"/>
    <w:rsid w:val="005C4BD4"/>
    <w:rsid w:val="005D4A7A"/>
    <w:rsid w:val="005E18DE"/>
    <w:rsid w:val="00601491"/>
    <w:rsid w:val="00617C82"/>
    <w:rsid w:val="0063580F"/>
    <w:rsid w:val="00636341"/>
    <w:rsid w:val="00640EC7"/>
    <w:rsid w:val="006468BC"/>
    <w:rsid w:val="00657FC3"/>
    <w:rsid w:val="00664B3F"/>
    <w:rsid w:val="006E238E"/>
    <w:rsid w:val="0070423B"/>
    <w:rsid w:val="00707D31"/>
    <w:rsid w:val="00711766"/>
    <w:rsid w:val="00726C33"/>
    <w:rsid w:val="00734BD9"/>
    <w:rsid w:val="007355FB"/>
    <w:rsid w:val="00745406"/>
    <w:rsid w:val="007459BA"/>
    <w:rsid w:val="0075316B"/>
    <w:rsid w:val="00753F32"/>
    <w:rsid w:val="00767BEC"/>
    <w:rsid w:val="007737D6"/>
    <w:rsid w:val="00774662"/>
    <w:rsid w:val="0077467D"/>
    <w:rsid w:val="00777B3C"/>
    <w:rsid w:val="007A4CA2"/>
    <w:rsid w:val="007A5F55"/>
    <w:rsid w:val="007B329B"/>
    <w:rsid w:val="007B3391"/>
    <w:rsid w:val="007C3D51"/>
    <w:rsid w:val="007C61FD"/>
    <w:rsid w:val="007F068E"/>
    <w:rsid w:val="007F57F0"/>
    <w:rsid w:val="007F72BE"/>
    <w:rsid w:val="00804972"/>
    <w:rsid w:val="00843140"/>
    <w:rsid w:val="008466F9"/>
    <w:rsid w:val="00853530"/>
    <w:rsid w:val="00853F08"/>
    <w:rsid w:val="00872944"/>
    <w:rsid w:val="008901FA"/>
    <w:rsid w:val="00894F72"/>
    <w:rsid w:val="008A66E1"/>
    <w:rsid w:val="008D049D"/>
    <w:rsid w:val="008E2CBE"/>
    <w:rsid w:val="008F19EA"/>
    <w:rsid w:val="008F6C2D"/>
    <w:rsid w:val="00901075"/>
    <w:rsid w:val="00902C52"/>
    <w:rsid w:val="00907539"/>
    <w:rsid w:val="00934336"/>
    <w:rsid w:val="009478A6"/>
    <w:rsid w:val="00955B78"/>
    <w:rsid w:val="009618EF"/>
    <w:rsid w:val="0097695C"/>
    <w:rsid w:val="009A295B"/>
    <w:rsid w:val="009A6500"/>
    <w:rsid w:val="009C0D5C"/>
    <w:rsid w:val="00A07225"/>
    <w:rsid w:val="00A14BA4"/>
    <w:rsid w:val="00A15909"/>
    <w:rsid w:val="00A2387E"/>
    <w:rsid w:val="00A25E09"/>
    <w:rsid w:val="00A27F64"/>
    <w:rsid w:val="00A4182D"/>
    <w:rsid w:val="00A41A26"/>
    <w:rsid w:val="00A41EA9"/>
    <w:rsid w:val="00A52538"/>
    <w:rsid w:val="00A55E2D"/>
    <w:rsid w:val="00A64798"/>
    <w:rsid w:val="00A7060B"/>
    <w:rsid w:val="00A73610"/>
    <w:rsid w:val="00A8566E"/>
    <w:rsid w:val="00A9434B"/>
    <w:rsid w:val="00AD2101"/>
    <w:rsid w:val="00AD5418"/>
    <w:rsid w:val="00AE3437"/>
    <w:rsid w:val="00AF1807"/>
    <w:rsid w:val="00B36CAE"/>
    <w:rsid w:val="00B47FD9"/>
    <w:rsid w:val="00B54D19"/>
    <w:rsid w:val="00BA513D"/>
    <w:rsid w:val="00BC0973"/>
    <w:rsid w:val="00BD2868"/>
    <w:rsid w:val="00BE4F9B"/>
    <w:rsid w:val="00C010F2"/>
    <w:rsid w:val="00C65FD0"/>
    <w:rsid w:val="00C7600E"/>
    <w:rsid w:val="00C844EB"/>
    <w:rsid w:val="00C85D3A"/>
    <w:rsid w:val="00CC057E"/>
    <w:rsid w:val="00CC0B5E"/>
    <w:rsid w:val="00CD73B8"/>
    <w:rsid w:val="00CF0172"/>
    <w:rsid w:val="00D07420"/>
    <w:rsid w:val="00D23C6D"/>
    <w:rsid w:val="00D278F6"/>
    <w:rsid w:val="00D45589"/>
    <w:rsid w:val="00D91C8D"/>
    <w:rsid w:val="00D92F80"/>
    <w:rsid w:val="00DD2132"/>
    <w:rsid w:val="00DF44D2"/>
    <w:rsid w:val="00E31F5C"/>
    <w:rsid w:val="00E3456C"/>
    <w:rsid w:val="00E42A9A"/>
    <w:rsid w:val="00E56089"/>
    <w:rsid w:val="00E612DE"/>
    <w:rsid w:val="00E627AF"/>
    <w:rsid w:val="00E7495D"/>
    <w:rsid w:val="00E813A8"/>
    <w:rsid w:val="00EE5E97"/>
    <w:rsid w:val="00F1499F"/>
    <w:rsid w:val="00F61A07"/>
    <w:rsid w:val="00F63EFE"/>
    <w:rsid w:val="00FA0AA2"/>
    <w:rsid w:val="00FC6B4B"/>
    <w:rsid w:val="00FE610B"/>
    <w:rsid w:val="00FE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A9F922-E4D2-4D8F-86EB-96C65E0AF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Main numbered paragraph,123 List Paragraph,Numbered Paragraph,References,Numbered List Paragraph,Bullets,List Paragraph (numbered (a)),List Paragraph nowy,Liste 1,List_Paragraph,Multilevel para_II,List Paragraph1,Bullet paras,Bullet,lp1"/>
    <w:basedOn w:val="Normal"/>
    <w:link w:val="ListParagraphChar"/>
    <w:uiPriority w:val="34"/>
    <w:qFormat/>
    <w:rsid w:val="00BE4F9B"/>
    <w:pPr>
      <w:ind w:left="720"/>
      <w:contextualSpacing/>
    </w:pPr>
  </w:style>
  <w:style w:type="character" w:customStyle="1" w:styleId="ListParagraphChar">
    <w:name w:val="List Paragraph Char"/>
    <w:aliases w:val="Main numbered paragraph Char,123 List Paragraph Char,Numbered Paragraph Char,References Char,Numbered List Paragraph Char,Bullets Char,List Paragraph (numbered (a)) Char,List Paragraph nowy Char,Liste 1 Char,List_Paragraph Char"/>
    <w:link w:val="ListParagraph"/>
    <w:uiPriority w:val="34"/>
    <w:qFormat/>
    <w:locked/>
    <w:rsid w:val="00BE4F9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9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9E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6014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63E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3E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3E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3EF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3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DraganaD</dc:creator>
  <cp:keywords/>
  <dc:description/>
  <cp:lastModifiedBy>Andjelka Opacic</cp:lastModifiedBy>
  <cp:revision>5</cp:revision>
  <cp:lastPrinted>2022-02-02T09:56:00Z</cp:lastPrinted>
  <dcterms:created xsi:type="dcterms:W3CDTF">2023-06-13T11:42:00Z</dcterms:created>
  <dcterms:modified xsi:type="dcterms:W3CDTF">2023-06-23T06:34:00Z</dcterms:modified>
</cp:coreProperties>
</file>