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F9B" w:rsidRPr="0052490D" w:rsidRDefault="00601491" w:rsidP="00BE4F9B">
      <w:pPr>
        <w:jc w:val="center"/>
        <w:rPr>
          <w:lang w:val="sr-Cyrl-CS"/>
        </w:rPr>
      </w:pPr>
      <w:r w:rsidRPr="0052490D">
        <w:rPr>
          <w:lang w:val="sr-Cyrl-CS"/>
        </w:rPr>
        <w:t>О</w:t>
      </w:r>
      <w:r w:rsidR="00A464B4" w:rsidRPr="0052490D">
        <w:rPr>
          <w:lang w:val="sr-Cyrl-CS"/>
        </w:rPr>
        <w:t xml:space="preserve"> </w:t>
      </w:r>
      <w:r w:rsidRPr="0052490D">
        <w:rPr>
          <w:lang w:val="sr-Cyrl-CS"/>
        </w:rPr>
        <w:t>Б</w:t>
      </w:r>
      <w:r w:rsidR="00A464B4" w:rsidRPr="0052490D">
        <w:rPr>
          <w:lang w:val="sr-Cyrl-CS"/>
        </w:rPr>
        <w:t xml:space="preserve"> </w:t>
      </w:r>
      <w:r w:rsidRPr="0052490D">
        <w:rPr>
          <w:lang w:val="sr-Cyrl-CS"/>
        </w:rPr>
        <w:t>Р</w:t>
      </w:r>
      <w:r w:rsidR="00A464B4" w:rsidRPr="0052490D">
        <w:rPr>
          <w:lang w:val="sr-Cyrl-CS"/>
        </w:rPr>
        <w:t xml:space="preserve"> </w:t>
      </w:r>
      <w:r w:rsidRPr="0052490D">
        <w:rPr>
          <w:lang w:val="sr-Cyrl-CS"/>
        </w:rPr>
        <w:t>А</w:t>
      </w:r>
      <w:r w:rsidR="00A464B4" w:rsidRPr="0052490D">
        <w:rPr>
          <w:lang w:val="sr-Cyrl-CS"/>
        </w:rPr>
        <w:t xml:space="preserve"> </w:t>
      </w:r>
      <w:r w:rsidRPr="0052490D">
        <w:rPr>
          <w:lang w:val="sr-Cyrl-CS"/>
        </w:rPr>
        <w:t>З</w:t>
      </w:r>
      <w:r w:rsidR="00A464B4" w:rsidRPr="0052490D">
        <w:rPr>
          <w:lang w:val="sr-Cyrl-CS"/>
        </w:rPr>
        <w:t xml:space="preserve"> </w:t>
      </w:r>
      <w:r w:rsidRPr="0052490D">
        <w:rPr>
          <w:lang w:val="sr-Cyrl-CS"/>
        </w:rPr>
        <w:t>Л</w:t>
      </w:r>
      <w:r w:rsidR="00A464B4" w:rsidRPr="0052490D">
        <w:rPr>
          <w:lang w:val="sr-Cyrl-CS"/>
        </w:rPr>
        <w:t xml:space="preserve"> </w:t>
      </w:r>
      <w:r w:rsidRPr="0052490D">
        <w:rPr>
          <w:lang w:val="sr-Cyrl-CS"/>
        </w:rPr>
        <w:t>О</w:t>
      </w:r>
      <w:r w:rsidR="00A464B4" w:rsidRPr="0052490D">
        <w:rPr>
          <w:lang w:val="sr-Cyrl-CS"/>
        </w:rPr>
        <w:t xml:space="preserve"> </w:t>
      </w:r>
      <w:r w:rsidRPr="0052490D">
        <w:rPr>
          <w:lang w:val="sr-Cyrl-CS"/>
        </w:rPr>
        <w:t>Ж</w:t>
      </w:r>
      <w:r w:rsidR="00A464B4" w:rsidRPr="0052490D">
        <w:rPr>
          <w:lang w:val="sr-Cyrl-CS"/>
        </w:rPr>
        <w:t xml:space="preserve"> </w:t>
      </w:r>
      <w:r w:rsidRPr="0052490D">
        <w:rPr>
          <w:lang w:val="sr-Cyrl-CS"/>
        </w:rPr>
        <w:t>Е</w:t>
      </w:r>
      <w:r w:rsidR="00A464B4" w:rsidRPr="0052490D">
        <w:rPr>
          <w:lang w:val="sr-Cyrl-CS"/>
        </w:rPr>
        <w:t xml:space="preserve"> </w:t>
      </w:r>
      <w:r w:rsidRPr="0052490D">
        <w:rPr>
          <w:lang w:val="sr-Cyrl-CS"/>
        </w:rPr>
        <w:t>Њ</w:t>
      </w:r>
      <w:r w:rsidR="00A464B4" w:rsidRPr="0052490D">
        <w:rPr>
          <w:lang w:val="sr-Cyrl-CS"/>
        </w:rPr>
        <w:t xml:space="preserve"> </w:t>
      </w:r>
      <w:r w:rsidRPr="0052490D">
        <w:rPr>
          <w:lang w:val="sr-Cyrl-CS"/>
        </w:rPr>
        <w:t>Е</w:t>
      </w:r>
    </w:p>
    <w:p w:rsidR="00601491" w:rsidRPr="0052490D" w:rsidRDefault="00601491" w:rsidP="00BE4F9B">
      <w:pPr>
        <w:jc w:val="center"/>
        <w:rPr>
          <w:lang w:val="sr-Cyrl-CS"/>
        </w:rPr>
      </w:pPr>
    </w:p>
    <w:p w:rsidR="00601491" w:rsidRPr="0052490D" w:rsidRDefault="00601491" w:rsidP="00A464B4">
      <w:pPr>
        <w:pStyle w:val="ListParagraph"/>
        <w:numPr>
          <w:ilvl w:val="0"/>
          <w:numId w:val="2"/>
        </w:numPr>
        <w:tabs>
          <w:tab w:val="left" w:pos="1134"/>
          <w:tab w:val="left" w:pos="1276"/>
        </w:tabs>
        <w:ind w:firstLine="131"/>
        <w:jc w:val="both"/>
        <w:rPr>
          <w:lang w:val="sr-Cyrl-CS"/>
        </w:rPr>
      </w:pPr>
      <w:r w:rsidRPr="0052490D">
        <w:rPr>
          <w:lang w:val="sr-Cyrl-CS"/>
        </w:rPr>
        <w:t>УСТАВНИ ОСНОВ ЗА ДОНОШЕЊЕ ЗАКОНА</w:t>
      </w:r>
    </w:p>
    <w:p w:rsidR="00601491" w:rsidRPr="0052490D" w:rsidRDefault="00601491" w:rsidP="00601491">
      <w:pPr>
        <w:pStyle w:val="Default"/>
        <w:jc w:val="both"/>
        <w:rPr>
          <w:rFonts w:ascii="Times New Roman" w:hAnsi="Times New Roman" w:cs="Times New Roman"/>
          <w:lang w:val="sr-Cyrl-CS"/>
        </w:rPr>
      </w:pPr>
    </w:p>
    <w:p w:rsidR="00601491" w:rsidRPr="0052490D" w:rsidRDefault="00601491" w:rsidP="00601491">
      <w:pPr>
        <w:pStyle w:val="Default"/>
        <w:ind w:firstLine="720"/>
        <w:jc w:val="both"/>
        <w:rPr>
          <w:rFonts w:ascii="Times New Roman" w:hAnsi="Times New Roman" w:cs="Times New Roman"/>
          <w:lang w:val="sr-Cyrl-CS"/>
        </w:rPr>
      </w:pPr>
      <w:r w:rsidRPr="0052490D">
        <w:rPr>
          <w:rFonts w:ascii="Times New Roman" w:hAnsi="Times New Roman" w:cs="Times New Roman"/>
          <w:lang w:val="sr-Cyrl-CS"/>
        </w:rPr>
        <w:t xml:space="preserve">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rsidR="00601491" w:rsidRPr="0052490D" w:rsidRDefault="00601491" w:rsidP="00601491">
      <w:pPr>
        <w:pStyle w:val="ListParagraph"/>
        <w:jc w:val="both"/>
        <w:rPr>
          <w:lang w:val="sr-Cyrl-CS"/>
        </w:rPr>
      </w:pPr>
    </w:p>
    <w:p w:rsidR="00601491" w:rsidRPr="0052490D" w:rsidRDefault="00601491" w:rsidP="00601491">
      <w:pPr>
        <w:pStyle w:val="ListParagraph"/>
        <w:jc w:val="both"/>
        <w:rPr>
          <w:lang w:val="sr-Cyrl-CS"/>
        </w:rPr>
      </w:pPr>
    </w:p>
    <w:p w:rsidR="00601491" w:rsidRPr="0052490D" w:rsidRDefault="00601491" w:rsidP="00A464B4">
      <w:pPr>
        <w:pStyle w:val="ListParagraph"/>
        <w:numPr>
          <w:ilvl w:val="0"/>
          <w:numId w:val="2"/>
        </w:numPr>
        <w:tabs>
          <w:tab w:val="left" w:pos="1134"/>
        </w:tabs>
        <w:ind w:firstLine="273"/>
        <w:jc w:val="both"/>
        <w:rPr>
          <w:lang w:val="sr-Cyrl-CS"/>
        </w:rPr>
      </w:pPr>
      <w:r w:rsidRPr="0052490D">
        <w:rPr>
          <w:lang w:val="sr-Cyrl-CS"/>
        </w:rPr>
        <w:t xml:space="preserve">РАЗЛОЗИ ЗА </w:t>
      </w:r>
      <w:r w:rsidR="00636341" w:rsidRPr="0052490D">
        <w:rPr>
          <w:lang w:val="sr-Cyrl-CS"/>
        </w:rPr>
        <w:t xml:space="preserve">ДОНОШЕЊЕ ЗАКОНА - </w:t>
      </w:r>
      <w:r w:rsidRPr="0052490D">
        <w:rPr>
          <w:lang w:val="sr-Cyrl-CS"/>
        </w:rPr>
        <w:t>ПОТВРЂ</w:t>
      </w:r>
      <w:r w:rsidR="00636341" w:rsidRPr="0052490D">
        <w:rPr>
          <w:lang w:val="sr-Cyrl-CS"/>
        </w:rPr>
        <w:t>ИВАЊЕ</w:t>
      </w:r>
    </w:p>
    <w:p w:rsidR="00601491" w:rsidRPr="0052490D" w:rsidRDefault="00601491" w:rsidP="00601491">
      <w:pPr>
        <w:jc w:val="both"/>
        <w:rPr>
          <w:lang w:val="sr-Cyrl-CS"/>
        </w:rPr>
      </w:pPr>
    </w:p>
    <w:p w:rsidR="009478A6" w:rsidRPr="0052490D" w:rsidRDefault="009478A6" w:rsidP="009478A6">
      <w:pPr>
        <w:ind w:firstLine="708"/>
        <w:jc w:val="both"/>
        <w:rPr>
          <w:lang w:val="sr-Cyrl-CS"/>
        </w:rPr>
      </w:pPr>
      <w:r w:rsidRPr="0052490D">
        <w:rPr>
          <w:lang w:val="sr-Cyrl-CS"/>
        </w:rPr>
        <w:t xml:space="preserve">Разлози за </w:t>
      </w:r>
      <w:r w:rsidR="00726C33" w:rsidRPr="0052490D">
        <w:rPr>
          <w:lang w:val="sr-Cyrl-CS"/>
        </w:rPr>
        <w:t>доношење закона о потврђивању</w:t>
      </w:r>
      <w:r w:rsidRPr="0052490D">
        <w:rPr>
          <w:lang w:val="sr-Cyrl-CS"/>
        </w:rPr>
        <w:t xml:space="preserve"> Споразума о зајму (</w:t>
      </w:r>
      <w:r w:rsidR="00373401" w:rsidRPr="0052490D">
        <w:rPr>
          <w:szCs w:val="22"/>
          <w:lang w:val="sr-Cyrl-CS"/>
        </w:rPr>
        <w:t>Први зајам за развојну политику зеленог раста у Републици Србији</w:t>
      </w:r>
      <w:r w:rsidRPr="0052490D">
        <w:rPr>
          <w:lang w:val="sr-Cyrl-CS"/>
        </w:rPr>
        <w:t>) између Републике Србије и Међународне банке за обнову и развој</w:t>
      </w:r>
      <w:r w:rsidR="00726C33" w:rsidRPr="0052490D">
        <w:rPr>
          <w:lang w:val="sr-Cyrl-CS"/>
        </w:rPr>
        <w:t>,</w:t>
      </w:r>
      <w:r w:rsidRPr="0052490D">
        <w:rPr>
          <w:lang w:val="sr-Cyrl-CS"/>
        </w:rPr>
        <w:t xml:space="preserve"> који је потписан у Београду, </w:t>
      </w:r>
      <w:r w:rsidR="00373401" w:rsidRPr="0052490D">
        <w:rPr>
          <w:lang w:val="sr-Cyrl-CS"/>
        </w:rPr>
        <w:t>2</w:t>
      </w:r>
      <w:r w:rsidR="00A15909" w:rsidRPr="0052490D">
        <w:rPr>
          <w:lang w:val="sr-Cyrl-CS"/>
        </w:rPr>
        <w:t xml:space="preserve">3. и </w:t>
      </w:r>
      <w:r w:rsidR="00373401" w:rsidRPr="0052490D">
        <w:rPr>
          <w:lang w:val="sr-Cyrl-CS"/>
        </w:rPr>
        <w:t>30</w:t>
      </w:r>
      <w:r w:rsidR="00A15909" w:rsidRPr="0052490D">
        <w:rPr>
          <w:lang w:val="sr-Cyrl-CS"/>
        </w:rPr>
        <w:t xml:space="preserve">. </w:t>
      </w:r>
      <w:r w:rsidR="00373401" w:rsidRPr="0052490D">
        <w:rPr>
          <w:lang w:val="sr-Cyrl-CS"/>
        </w:rPr>
        <w:t>маја</w:t>
      </w:r>
      <w:r w:rsidR="00726C33" w:rsidRPr="0052490D">
        <w:rPr>
          <w:lang w:val="sr-Cyrl-CS"/>
        </w:rPr>
        <w:t xml:space="preserve"> 2023. године </w:t>
      </w:r>
      <w:r w:rsidRPr="0052490D">
        <w:rPr>
          <w:lang w:val="sr-Cyrl-CS"/>
        </w:rPr>
        <w:t>(у даљем тексту: Споразум о зајму), садржани су у одредби члана 5. став 2. Закона о јавном дугу („Службени гласник РС”, бр. 61/05, 107/09, 78/11, 68/15, 95/18, 91/19 и 149/20), према којој Народна скупштина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373401" w:rsidRPr="0052490D" w:rsidRDefault="00373401" w:rsidP="00373401">
      <w:pPr>
        <w:ind w:firstLine="720"/>
        <w:jc w:val="both"/>
        <w:rPr>
          <w:bCs/>
          <w:color w:val="000000"/>
          <w:lang w:val="sr-Cyrl-CS"/>
        </w:rPr>
      </w:pPr>
      <w:r w:rsidRPr="0052490D">
        <w:rPr>
          <w:bCs/>
          <w:color w:val="000000"/>
          <w:lang w:val="sr-Cyrl-CS"/>
        </w:rPr>
        <w:t xml:space="preserve">Законом о буџету Републике Србије за 2023. годину („Службени гласник РС”, бр. 138/22)  у члану 3.Б. предвиђено је задуживање код Међународне банке за обнову и развој до износа од 160.000.000 USD за ДПЛ зајам за развојну политику зеленог раста, а који се односи на </w:t>
      </w:r>
      <w:r w:rsidRPr="0052490D">
        <w:rPr>
          <w:bCs/>
          <w:lang w:val="sr-Cyrl-CS"/>
        </w:rPr>
        <w:t>Први зајам за развојну политику зеленог раста у Републици Србији</w:t>
      </w:r>
      <w:r w:rsidRPr="0052490D">
        <w:rPr>
          <w:bCs/>
          <w:color w:val="000000"/>
          <w:lang w:val="sr-Cyrl-CS"/>
        </w:rPr>
        <w:t xml:space="preserve"> (у даљем тексту: Програм).</w:t>
      </w:r>
    </w:p>
    <w:p w:rsidR="00373401" w:rsidRPr="0052490D" w:rsidRDefault="00373401" w:rsidP="00373401">
      <w:pPr>
        <w:ind w:firstLine="720"/>
        <w:jc w:val="both"/>
        <w:rPr>
          <w:bCs/>
          <w:color w:val="000000"/>
          <w:lang w:val="sr-Cyrl-CS"/>
        </w:rPr>
      </w:pPr>
      <w:r w:rsidRPr="0052490D">
        <w:rPr>
          <w:bCs/>
          <w:color w:val="000000"/>
          <w:lang w:val="sr-Cyrl-CS"/>
        </w:rPr>
        <w:t xml:space="preserve">Циљ Програма је подршка зеленој транзицији ради подстицања институционалних реформи и реформи јавних политика у циљу </w:t>
      </w:r>
      <w:r w:rsidRPr="0052490D">
        <w:rPr>
          <w:lang w:val="sr-Cyrl-CS"/>
        </w:rPr>
        <w:t>„озелењавања</w:t>
      </w:r>
      <w:r w:rsidRPr="0052490D">
        <w:rPr>
          <w:bCs/>
          <w:color w:val="000000"/>
          <w:lang w:val="sr-Cyrl-CS"/>
        </w:rPr>
        <w:t>”</w:t>
      </w:r>
      <w:r w:rsidRPr="0052490D">
        <w:rPr>
          <w:lang w:val="sr-Cyrl-CS"/>
        </w:rPr>
        <w:t xml:space="preserve"> макроекономског и фискалног оквира, повећања отпорности Србије на негативне утицаје климатских промена, јачања еколошке одрживости и модернизације енергетског сектора Републике Србије. Одабране реформе које су предвиђене овим зајмом представљају кључне активности јавних политика и институционалне активности из програма Владе усмереног на остваривању климатске неутралности.</w:t>
      </w:r>
    </w:p>
    <w:p w:rsidR="00373401" w:rsidRPr="0052490D" w:rsidRDefault="00373401" w:rsidP="00373401">
      <w:pPr>
        <w:ind w:firstLine="720"/>
        <w:jc w:val="both"/>
        <w:rPr>
          <w:lang w:val="sr-Cyrl-CS"/>
        </w:rPr>
      </w:pPr>
      <w:r w:rsidRPr="0052490D">
        <w:rPr>
          <w:lang w:val="sr-Cyrl-CS"/>
        </w:rPr>
        <w:t>Програм реформи који ће се подржати овим зајмом подељен је на три стуба, и то:</w:t>
      </w:r>
    </w:p>
    <w:p w:rsidR="00373401" w:rsidRPr="0052490D" w:rsidRDefault="00373401" w:rsidP="00373401">
      <w:pPr>
        <w:ind w:firstLine="720"/>
        <w:jc w:val="both"/>
        <w:rPr>
          <w:lang w:val="sr-Cyrl-CS"/>
        </w:rPr>
      </w:pPr>
      <w:r w:rsidRPr="0052490D">
        <w:rPr>
          <w:lang w:val="sr-Cyrl-CS"/>
        </w:rPr>
        <w:t>Стуб 1: „Ближе усаглашавање фискалног управљања са климатским плановима</w:t>
      </w:r>
      <w:r w:rsidRPr="0052490D">
        <w:rPr>
          <w:bCs/>
          <w:color w:val="000000"/>
          <w:lang w:val="sr-Cyrl-CS"/>
        </w:rPr>
        <w:t>”</w:t>
      </w:r>
      <w:r w:rsidRPr="0052490D">
        <w:rPr>
          <w:lang w:val="sr-Cyrl-CS"/>
        </w:rPr>
        <w:t>;</w:t>
      </w:r>
    </w:p>
    <w:p w:rsidR="00373401" w:rsidRPr="0052490D" w:rsidRDefault="00373401" w:rsidP="00373401">
      <w:pPr>
        <w:ind w:firstLine="720"/>
        <w:jc w:val="both"/>
        <w:rPr>
          <w:lang w:val="sr-Cyrl-CS"/>
        </w:rPr>
      </w:pPr>
      <w:r w:rsidRPr="0052490D">
        <w:rPr>
          <w:lang w:val="sr-Cyrl-CS"/>
        </w:rPr>
        <w:t>Стуб 2: „Убрзавање транзиције ка чистим изворима енергије</w:t>
      </w:r>
      <w:r w:rsidRPr="0052490D">
        <w:rPr>
          <w:bCs/>
          <w:color w:val="000000"/>
          <w:lang w:val="sr-Cyrl-CS"/>
        </w:rPr>
        <w:t>”</w:t>
      </w:r>
      <w:r w:rsidRPr="0052490D">
        <w:rPr>
          <w:lang w:val="sr-Cyrl-CS"/>
        </w:rPr>
        <w:t xml:space="preserve">; и </w:t>
      </w:r>
    </w:p>
    <w:p w:rsidR="00373401" w:rsidRPr="0052490D" w:rsidRDefault="00373401" w:rsidP="00373401">
      <w:pPr>
        <w:ind w:firstLine="720"/>
        <w:jc w:val="both"/>
        <w:rPr>
          <w:lang w:val="sr-Cyrl-CS"/>
        </w:rPr>
      </w:pPr>
      <w:r w:rsidRPr="0052490D">
        <w:rPr>
          <w:lang w:val="sr-Cyrl-CS"/>
        </w:rPr>
        <w:t>Стуб 3: „Усаглашавање са стандардима Европске уније о заштити животне средине и климатској акцији</w:t>
      </w:r>
      <w:r w:rsidRPr="0052490D">
        <w:rPr>
          <w:bCs/>
          <w:color w:val="000000"/>
          <w:lang w:val="sr-Cyrl-CS"/>
        </w:rPr>
        <w:t>”</w:t>
      </w:r>
      <w:r w:rsidRPr="0052490D">
        <w:rPr>
          <w:lang w:val="sr-Cyrl-CS"/>
        </w:rPr>
        <w:t>.</w:t>
      </w:r>
    </w:p>
    <w:p w:rsidR="00373401" w:rsidRPr="0052490D" w:rsidRDefault="00373401" w:rsidP="00373401">
      <w:pPr>
        <w:ind w:firstLine="720"/>
        <w:jc w:val="both"/>
        <w:rPr>
          <w:lang w:val="sr-Cyrl-CS"/>
        </w:rPr>
      </w:pPr>
      <w:r w:rsidRPr="0052490D">
        <w:rPr>
          <w:lang w:val="sr-Cyrl-CS"/>
        </w:rPr>
        <w:t>Реформе подржане у оквиру првог стуба ове операције обухватају реформе везане за  увођење унутаргодишњег извештавања о извршењу буџета уз употребу исте буџетске класификације која се користи за припрему годишњег буџета; унапређење управљања фискалним ризицима како би се у обзир узео потенцијални утицај природних непогода на јавне финансије и увело посебно извештавање о ризицима везаним за климатске промене; и реформе система управљања јавним улагањима како би се он препознао климатских критеријума приликом избора пројеката за финансирање.</w:t>
      </w:r>
    </w:p>
    <w:p w:rsidR="00396F5C" w:rsidRPr="0052490D" w:rsidRDefault="00396F5C" w:rsidP="00396F5C">
      <w:pPr>
        <w:ind w:firstLine="720"/>
        <w:jc w:val="both"/>
        <w:rPr>
          <w:lang w:val="sr-Cyrl-CS"/>
        </w:rPr>
      </w:pPr>
      <w:r w:rsidRPr="0052490D">
        <w:rPr>
          <w:lang w:val="sr-Cyrl-CS"/>
        </w:rPr>
        <w:t xml:space="preserve">Реформе обухваћене другим стубом подразумевају реформе везане за: спровођење аукција за капацитете за производњу електричне енергије из обновљивих извора и дефинисање оквира јавне политике у вези са обновљивим водоником. Поред наведеног, реформама у оквиру другог стуба омогућиће се стварање институционалног оквира за унапређење енергетске ефикасности стамбених објеката успостављањем Управе за енергетску ефикасност у саставу Министарства рударства и енергетике; обезбедиће се иновације у области чистих извора енергије и нових пословних модела у </w:t>
      </w:r>
      <w:r w:rsidRPr="0052490D">
        <w:rPr>
          <w:lang w:val="sr-Cyrl-CS"/>
        </w:rPr>
        <w:lastRenderedPageBreak/>
        <w:t>дистрибутивној мрежи реализованим раздвајањем оп</w:t>
      </w:r>
      <w:r w:rsidR="00D12CFE">
        <w:rPr>
          <w:lang w:val="sr-Cyrl-CS"/>
        </w:rPr>
        <w:t>ератера дистрибутивног система Електродистрибуција Србије</w:t>
      </w:r>
      <w:r w:rsidRPr="0052490D">
        <w:rPr>
          <w:lang w:val="sr-Cyrl-CS"/>
        </w:rPr>
        <w:t xml:space="preserve"> </w:t>
      </w:r>
      <w:proofErr w:type="spellStart"/>
      <w:r w:rsidRPr="0052490D">
        <w:rPr>
          <w:lang w:val="sr-Cyrl-CS"/>
        </w:rPr>
        <w:t>д.о.о</w:t>
      </w:r>
      <w:proofErr w:type="spellEnd"/>
      <w:r w:rsidRPr="0052490D">
        <w:rPr>
          <w:lang w:val="sr-Cyrl-CS"/>
        </w:rPr>
        <w:t xml:space="preserve">. од ЈП „Електропривреда Србије” (ЕПС); и обезбедиће се финансијска одрживост ЕПС-а путем повећања тарифа за електричну енергију, при чему ће се и енергетски угрожени купци заштити од утицаја раста цена кроз проширење обима субвенција за енергетски угрожене купце. Напомињемо да је правна форма </w:t>
      </w:r>
      <w:proofErr w:type="spellStart"/>
      <w:r w:rsidRPr="0052490D">
        <w:rPr>
          <w:lang w:val="sr-Cyrl-CS"/>
        </w:rPr>
        <w:t>ЈП</w:t>
      </w:r>
      <w:proofErr w:type="spellEnd"/>
      <w:r w:rsidRPr="0052490D">
        <w:rPr>
          <w:lang w:val="sr-Cyrl-CS"/>
        </w:rPr>
        <w:t xml:space="preserve"> „Електроприв</w:t>
      </w:r>
      <w:r w:rsidR="00D12CFE">
        <w:rPr>
          <w:lang w:val="sr-Cyrl-CS"/>
        </w:rPr>
        <w:t>реда Србије” (</w:t>
      </w:r>
      <w:proofErr w:type="spellStart"/>
      <w:r w:rsidR="00D12CFE">
        <w:rPr>
          <w:lang w:val="sr-Cyrl-CS"/>
        </w:rPr>
        <w:t>ЕПС</w:t>
      </w:r>
      <w:proofErr w:type="spellEnd"/>
      <w:r w:rsidR="00D12CFE">
        <w:rPr>
          <w:lang w:val="sr-Cyrl-CS"/>
        </w:rPr>
        <w:t xml:space="preserve">) промењена у </w:t>
      </w:r>
      <w:r w:rsidR="00D12CFE">
        <w:t>A</w:t>
      </w:r>
      <w:proofErr w:type="spellStart"/>
      <w:r w:rsidRPr="0052490D">
        <w:rPr>
          <w:lang w:val="sr-Cyrl-CS"/>
        </w:rPr>
        <w:t>кционарско</w:t>
      </w:r>
      <w:proofErr w:type="spellEnd"/>
      <w:r w:rsidRPr="0052490D">
        <w:rPr>
          <w:lang w:val="sr-Cyrl-CS"/>
        </w:rPr>
        <w:t xml:space="preserve"> друштво „Електропривреда Србије” у априлу 2023. године.</w:t>
      </w:r>
    </w:p>
    <w:p w:rsidR="00373401" w:rsidRPr="0052490D" w:rsidRDefault="00373401" w:rsidP="00373401">
      <w:pPr>
        <w:ind w:firstLine="720"/>
        <w:jc w:val="both"/>
        <w:rPr>
          <w:lang w:val="sr-Cyrl-CS"/>
        </w:rPr>
      </w:pPr>
      <w:r w:rsidRPr="0052490D">
        <w:rPr>
          <w:lang w:val="sr-Cyrl-CS"/>
        </w:rPr>
        <w:t>Последњи Стуб 3 „Усаглашавање са стандардима Европске уније о заштити животне средине и климатској акцији</w:t>
      </w:r>
      <w:r w:rsidRPr="0052490D">
        <w:rPr>
          <w:bCs/>
          <w:color w:val="000000"/>
          <w:lang w:val="sr-Cyrl-CS"/>
        </w:rPr>
        <w:t>”</w:t>
      </w:r>
      <w:r w:rsidRPr="0052490D">
        <w:rPr>
          <w:lang w:val="sr-Cyrl-CS"/>
        </w:rPr>
        <w:t xml:space="preserve"> подразумева реформе које се односе на усвајање подзаконских аката који ће омогућити управљање емисијама гасова са ефектом стаклене баште (GHG) у складу са Законом о климатским променама </w:t>
      </w:r>
      <w:r w:rsidRPr="0052490D">
        <w:rPr>
          <w:bCs/>
          <w:color w:val="000000"/>
          <w:lang w:val="sr-Cyrl-CS"/>
        </w:rPr>
        <w:t xml:space="preserve">(„Службени гласник РС”, број </w:t>
      </w:r>
      <w:r w:rsidRPr="0052490D">
        <w:rPr>
          <w:lang w:val="sr-Cyrl-CS"/>
        </w:rPr>
        <w:t>26/2021</w:t>
      </w:r>
      <w:r w:rsidRPr="0052490D">
        <w:rPr>
          <w:bCs/>
          <w:color w:val="000000"/>
          <w:lang w:val="sr-Cyrl-CS"/>
        </w:rPr>
        <w:t>)</w:t>
      </w:r>
      <w:r w:rsidRPr="0052490D">
        <w:rPr>
          <w:lang w:val="sr-Cyrl-CS"/>
        </w:rPr>
        <w:t>; јачање система за управљање комуналним отпадом кроз усвајање акционог плана за приоритетне интервенције чије ће се спровођење додатно подстаћи усвајањем измена и допуна Закона о управљању отпадом, као и унапређење управљања квалитетом ваздуха кроз усвајање Националног програма заштите ваздуха који ће служити као свеобухватни оквир вишесекторских интервенција усклађен са Пакетом јавних политика за чист ваздух Европске уније (у даљем тексту: ЕУ).</w:t>
      </w:r>
    </w:p>
    <w:p w:rsidR="00373401" w:rsidRPr="0052490D" w:rsidRDefault="00373401" w:rsidP="00373401">
      <w:pPr>
        <w:ind w:firstLine="720"/>
        <w:jc w:val="both"/>
        <w:rPr>
          <w:bCs/>
          <w:color w:val="000000"/>
          <w:lang w:val="sr-Cyrl-CS"/>
        </w:rPr>
      </w:pPr>
      <w:r w:rsidRPr="0052490D">
        <w:rPr>
          <w:bCs/>
          <w:color w:val="000000"/>
          <w:lang w:val="sr-Cyrl-CS"/>
        </w:rPr>
        <w:t>Министарство финансија ће бити надлежно за свеукупни надзор над спровођењем Програма и оцену имплементације предложене реформске агенде, као и координацију активности с другим надлежним министарствима и институцијама. Поред Министарства финансија, кључну улогу у спровођењу предметног програма ће имати Министарство рударства и енергетике и Министарство заштите животне средине.</w:t>
      </w:r>
    </w:p>
    <w:p w:rsidR="009F64CC" w:rsidRPr="0052490D" w:rsidRDefault="00373401" w:rsidP="00373401">
      <w:pPr>
        <w:ind w:firstLine="720"/>
        <w:jc w:val="both"/>
        <w:rPr>
          <w:bCs/>
          <w:color w:val="000000"/>
          <w:lang w:val="sr-Cyrl-CS"/>
        </w:rPr>
      </w:pPr>
      <w:r w:rsidRPr="0052490D">
        <w:rPr>
          <w:bCs/>
          <w:color w:val="000000"/>
          <w:lang w:val="sr-Cyrl-CS"/>
        </w:rPr>
        <w:t xml:space="preserve">Наведени Програм подржава спровођење стратешких циљева у контексту процеса приступања Србије ЕУ, као и усклађивање са новим европским зеленим споразумом ЕУ и обезбеђује синергију са иницијативама различитих развојних партнера. </w:t>
      </w:r>
    </w:p>
    <w:p w:rsidR="00373401" w:rsidRPr="0052490D" w:rsidRDefault="00373401" w:rsidP="00373401">
      <w:pPr>
        <w:ind w:firstLine="720"/>
        <w:jc w:val="both"/>
        <w:rPr>
          <w:lang w:val="sr-Cyrl-CS"/>
        </w:rPr>
      </w:pPr>
      <w:r w:rsidRPr="0052490D">
        <w:rPr>
          <w:lang w:val="sr-Cyrl-CS"/>
        </w:rPr>
        <w:t>Закључком Владе 05 Број: 48-393/2023 од 19. јануара 2023. године, утврђена је Oснова за вођење преговора са Међународном банком за обнову и развој у вези са одобравањем Програмског зајма за развојне политике за подршку зеленој транзицији – ДПЛ, који се односи на Први зајам за развојну политику зеленог раста у Републици Србији и одређен преговарачки тим Републике Србије.</w:t>
      </w:r>
    </w:p>
    <w:p w:rsidR="00373401" w:rsidRPr="0052490D" w:rsidRDefault="00373401" w:rsidP="00373401">
      <w:pPr>
        <w:ind w:firstLine="720"/>
        <w:jc w:val="both"/>
        <w:rPr>
          <w:lang w:val="sr-Cyrl-CS"/>
        </w:rPr>
      </w:pPr>
      <w:r w:rsidRPr="0052490D">
        <w:rPr>
          <w:lang w:val="sr-Cyrl-CS"/>
        </w:rPr>
        <w:t xml:space="preserve"> На преговорима, вођеним од 23. до 26. јануара 2023. године, представници Министарства финансија и ресорних министарстава и Међународне банке за обнову и развој, прецизирали су улоге у спровођењу Програма, договорили финансијске услове и начин коришћења зајма у износу од 149.900.000 </w:t>
      </w:r>
      <w:r w:rsidR="00A464B4" w:rsidRPr="0052490D">
        <w:rPr>
          <w:lang w:val="sr-Cyrl-CS"/>
        </w:rPr>
        <w:t>EUR</w:t>
      </w:r>
      <w:r w:rsidRPr="0052490D">
        <w:rPr>
          <w:lang w:val="sr-Cyrl-CS"/>
        </w:rPr>
        <w:t xml:space="preserve">, који представља износ од 160.000.000 </w:t>
      </w:r>
      <w:r w:rsidR="00A464B4" w:rsidRPr="0052490D">
        <w:rPr>
          <w:lang w:val="sr-Cyrl-CS"/>
        </w:rPr>
        <w:t>USD</w:t>
      </w:r>
      <w:r w:rsidRPr="0052490D">
        <w:rPr>
          <w:lang w:val="sr-Cyrl-CS"/>
        </w:rPr>
        <w:t xml:space="preserve"> изражен у противвредности </w:t>
      </w:r>
      <w:r w:rsidR="00A464B4" w:rsidRPr="0052490D">
        <w:rPr>
          <w:lang w:val="sr-Cyrl-CS"/>
        </w:rPr>
        <w:t>EUR</w:t>
      </w:r>
      <w:r w:rsidRPr="0052490D">
        <w:rPr>
          <w:lang w:val="sr-Cyrl-CS"/>
        </w:rPr>
        <w:t>, обрач</w:t>
      </w:r>
      <w:r w:rsidR="0052490D">
        <w:rPr>
          <w:lang w:val="sr-Cyrl-CS"/>
        </w:rPr>
        <w:t>у</w:t>
      </w:r>
      <w:r w:rsidRPr="0052490D">
        <w:rPr>
          <w:lang w:val="sr-Cyrl-CS"/>
        </w:rPr>
        <w:t xml:space="preserve">нат у складу са курсом </w:t>
      </w:r>
      <w:r w:rsidR="00A464B4" w:rsidRPr="0052490D">
        <w:rPr>
          <w:lang w:val="sr-Cyrl-CS"/>
        </w:rPr>
        <w:t>USD</w:t>
      </w:r>
      <w:r w:rsidRPr="0052490D">
        <w:rPr>
          <w:lang w:val="sr-Cyrl-CS"/>
        </w:rPr>
        <w:t xml:space="preserve"> према </w:t>
      </w:r>
      <w:r w:rsidR="00A464B4" w:rsidRPr="0052490D">
        <w:rPr>
          <w:lang w:val="sr-Cyrl-CS"/>
        </w:rPr>
        <w:t>EUR</w:t>
      </w:r>
      <w:r w:rsidRPr="0052490D">
        <w:rPr>
          <w:lang w:val="sr-Cyrl-CS"/>
        </w:rPr>
        <w:t xml:space="preserve">, који користи Банка на последњи дан месеца који претходи месецу одржавања преговора,  и усагласили одредбе Споразума о зајму. </w:t>
      </w:r>
    </w:p>
    <w:p w:rsidR="00373401" w:rsidRPr="0052490D" w:rsidRDefault="00373401" w:rsidP="00373401">
      <w:pPr>
        <w:ind w:firstLine="720"/>
        <w:jc w:val="both"/>
        <w:rPr>
          <w:lang w:val="sr-Cyrl-CS"/>
        </w:rPr>
      </w:pPr>
      <w:r w:rsidRPr="0052490D">
        <w:rPr>
          <w:lang w:val="sr-Cyrl-CS"/>
        </w:rPr>
        <w:t>Резултат преговора је усаглашени текст Нацрта споразума о зајму (</w:t>
      </w:r>
      <w:r w:rsidRPr="0052490D">
        <w:rPr>
          <w:szCs w:val="22"/>
          <w:lang w:val="sr-Cyrl-CS"/>
        </w:rPr>
        <w:t>Први зајам за развојну политику зеленог раста у Републици Србији</w:t>
      </w:r>
      <w:r w:rsidRPr="0052490D">
        <w:rPr>
          <w:lang w:val="sr-Cyrl-CS"/>
        </w:rPr>
        <w:t>) између Републике Србије и Међународне банке за обнову и развој, који се предлаже Влади за усвајање у тачки 2. овог закључка.</w:t>
      </w:r>
    </w:p>
    <w:p w:rsidR="00440427" w:rsidRDefault="00C010F2" w:rsidP="00440427">
      <w:pPr>
        <w:ind w:firstLine="720"/>
        <w:jc w:val="both"/>
        <w:rPr>
          <w:lang w:val="sr-Cyrl-CS"/>
        </w:rPr>
      </w:pPr>
      <w:r w:rsidRPr="0052490D">
        <w:rPr>
          <w:lang w:val="sr-Cyrl-CS"/>
        </w:rPr>
        <w:t xml:space="preserve">Након успешно завршених преговора Влада је Закључком </w:t>
      </w:r>
      <w:r w:rsidR="00440427" w:rsidRPr="0052490D">
        <w:rPr>
          <w:lang w:val="sr-Cyrl-CS"/>
        </w:rPr>
        <w:t>05 Број: 48-</w:t>
      </w:r>
      <w:r w:rsidR="00373401" w:rsidRPr="0052490D">
        <w:rPr>
          <w:lang w:val="sr-Cyrl-CS"/>
        </w:rPr>
        <w:t>831</w:t>
      </w:r>
      <w:r w:rsidR="00B54D19" w:rsidRPr="0052490D">
        <w:rPr>
          <w:lang w:val="sr-Cyrl-CS"/>
        </w:rPr>
        <w:t>/2023-1</w:t>
      </w:r>
      <w:r w:rsidR="00440427" w:rsidRPr="0052490D">
        <w:rPr>
          <w:lang w:val="sr-Cyrl-CS"/>
        </w:rPr>
        <w:t xml:space="preserve"> од </w:t>
      </w:r>
      <w:r w:rsidR="00373401" w:rsidRPr="0052490D">
        <w:rPr>
          <w:lang w:val="sr-Cyrl-CS"/>
        </w:rPr>
        <w:t>2</w:t>
      </w:r>
      <w:r w:rsidR="00440427" w:rsidRPr="0052490D">
        <w:rPr>
          <w:lang w:val="sr-Cyrl-CS"/>
        </w:rPr>
        <w:t>. фебруара</w:t>
      </w:r>
      <w:r w:rsidR="00B54D19" w:rsidRPr="0052490D">
        <w:rPr>
          <w:lang w:val="sr-Cyrl-CS"/>
        </w:rPr>
        <w:t xml:space="preserve"> 2023</w:t>
      </w:r>
      <w:r w:rsidR="00440427" w:rsidRPr="0052490D">
        <w:rPr>
          <w:lang w:val="sr-Cyrl-CS"/>
        </w:rPr>
        <w:t>. године,</w:t>
      </w:r>
      <w:r w:rsidR="00AF1807" w:rsidRPr="0052490D">
        <w:rPr>
          <w:lang w:val="sr-Cyrl-CS"/>
        </w:rPr>
        <w:t xml:space="preserve"> прихватила И</w:t>
      </w:r>
      <w:r w:rsidRPr="0052490D">
        <w:rPr>
          <w:lang w:val="sr-Cyrl-CS"/>
        </w:rPr>
        <w:t xml:space="preserve">звештај са преговора са </w:t>
      </w:r>
      <w:r w:rsidR="00AF1807" w:rsidRPr="0052490D">
        <w:rPr>
          <w:lang w:val="sr-Cyrl-CS"/>
        </w:rPr>
        <w:t xml:space="preserve">Међународном банком за обнову и развој </w:t>
      </w:r>
      <w:r w:rsidRPr="0052490D">
        <w:rPr>
          <w:lang w:val="sr-Cyrl-CS"/>
        </w:rPr>
        <w:t xml:space="preserve">и </w:t>
      </w:r>
      <w:r w:rsidR="00B47FD9" w:rsidRPr="0052490D">
        <w:rPr>
          <w:lang w:val="sr-Cyrl-CS"/>
        </w:rPr>
        <w:t xml:space="preserve">истовремено </w:t>
      </w:r>
      <w:r w:rsidRPr="0052490D">
        <w:rPr>
          <w:lang w:val="sr-Cyrl-CS"/>
        </w:rPr>
        <w:t>усвојила</w:t>
      </w:r>
      <w:r w:rsidR="00440427" w:rsidRPr="0052490D">
        <w:rPr>
          <w:lang w:val="sr-Cyrl-CS"/>
        </w:rPr>
        <w:t xml:space="preserve"> Нацрт споразума о зајму (</w:t>
      </w:r>
      <w:r w:rsidR="00373401" w:rsidRPr="0052490D">
        <w:rPr>
          <w:szCs w:val="22"/>
          <w:lang w:val="sr-Cyrl-CS"/>
        </w:rPr>
        <w:t>Први зајам за развојну политику зеленог раста у Републици Србији</w:t>
      </w:r>
      <w:r w:rsidR="00440427" w:rsidRPr="0052490D">
        <w:rPr>
          <w:lang w:val="sr-Cyrl-CS"/>
        </w:rPr>
        <w:t>) између Републике Србије и Међународне банке за обнову и развој и овла</w:t>
      </w:r>
      <w:r w:rsidRPr="0052490D">
        <w:rPr>
          <w:lang w:val="sr-Cyrl-CS"/>
        </w:rPr>
        <w:t>стила</w:t>
      </w:r>
      <w:r w:rsidR="00440427" w:rsidRPr="0052490D">
        <w:rPr>
          <w:lang w:val="sr-Cyrl-CS"/>
        </w:rPr>
        <w:t xml:space="preserve"> </w:t>
      </w:r>
      <w:r w:rsidRPr="0052490D">
        <w:rPr>
          <w:lang w:val="sr-Cyrl-CS"/>
        </w:rPr>
        <w:t>Синишу Малог</w:t>
      </w:r>
      <w:r w:rsidR="00440427" w:rsidRPr="0052490D">
        <w:rPr>
          <w:lang w:val="sr-Cyrl-CS"/>
        </w:rPr>
        <w:t xml:space="preserve">, </w:t>
      </w:r>
      <w:r w:rsidR="00B54D19" w:rsidRPr="0052490D">
        <w:rPr>
          <w:lang w:val="sr-Cyrl-CS"/>
        </w:rPr>
        <w:t>потпредседник</w:t>
      </w:r>
      <w:r w:rsidRPr="0052490D">
        <w:rPr>
          <w:lang w:val="sr-Cyrl-CS"/>
        </w:rPr>
        <w:t>а</w:t>
      </w:r>
      <w:r w:rsidR="00B54D19" w:rsidRPr="0052490D">
        <w:rPr>
          <w:lang w:val="sr-Cyrl-CS"/>
        </w:rPr>
        <w:t xml:space="preserve"> Владе и </w:t>
      </w:r>
      <w:r w:rsidR="00440427" w:rsidRPr="0052490D">
        <w:rPr>
          <w:lang w:val="sr-Cyrl-CS"/>
        </w:rPr>
        <w:t>минист</w:t>
      </w:r>
      <w:r w:rsidRPr="0052490D">
        <w:rPr>
          <w:lang w:val="sr-Cyrl-CS"/>
        </w:rPr>
        <w:t>ра</w:t>
      </w:r>
      <w:r w:rsidR="00440427" w:rsidRPr="0052490D">
        <w:rPr>
          <w:lang w:val="sr-Cyrl-CS"/>
        </w:rPr>
        <w:t xml:space="preserve"> финансија, да у име Владе, као заступника Републике Србије, потпише наведени споразум. </w:t>
      </w:r>
    </w:p>
    <w:p w:rsidR="00E87E8A" w:rsidRPr="0052490D" w:rsidRDefault="00E87E8A" w:rsidP="00440427">
      <w:pPr>
        <w:ind w:firstLine="720"/>
        <w:jc w:val="both"/>
        <w:rPr>
          <w:lang w:val="sr-Cyrl-CS"/>
        </w:rPr>
      </w:pPr>
    </w:p>
    <w:p w:rsidR="0097695C" w:rsidRPr="0052490D" w:rsidRDefault="00AF1807" w:rsidP="0097695C">
      <w:pPr>
        <w:ind w:firstLine="720"/>
        <w:jc w:val="both"/>
        <w:rPr>
          <w:lang w:val="sr-Cyrl-CS"/>
        </w:rPr>
      </w:pPr>
      <w:r w:rsidRPr="0052490D">
        <w:rPr>
          <w:lang w:val="sr-Cyrl-CS"/>
        </w:rPr>
        <w:lastRenderedPageBreak/>
        <w:t>У</w:t>
      </w:r>
      <w:r w:rsidR="0097695C" w:rsidRPr="0052490D">
        <w:rPr>
          <w:lang w:val="sr-Cyrl-CS"/>
        </w:rPr>
        <w:t xml:space="preserve"> складу са Општим условима </w:t>
      </w:r>
      <w:r w:rsidR="004E5A87" w:rsidRPr="0052490D">
        <w:rPr>
          <w:lang w:val="sr-Cyrl-CS"/>
        </w:rPr>
        <w:t>Банке</w:t>
      </w:r>
      <w:r w:rsidR="00295FC5" w:rsidRPr="0052490D">
        <w:rPr>
          <w:lang w:val="sr-Cyrl-CS"/>
        </w:rPr>
        <w:t xml:space="preserve"> </w:t>
      </w:r>
      <w:r w:rsidR="0097695C" w:rsidRPr="0052490D">
        <w:rPr>
          <w:lang w:val="sr-Cyrl-CS"/>
        </w:rPr>
        <w:t>од 14. децембра 2018. године (са изменама и допунама од 1. августа 2020. год</w:t>
      </w:r>
      <w:r w:rsidR="00373401" w:rsidRPr="0052490D">
        <w:rPr>
          <w:lang w:val="sr-Cyrl-CS"/>
        </w:rPr>
        <w:t>ине, 21. децембра 2020. године,</w:t>
      </w:r>
      <w:r w:rsidR="0097695C" w:rsidRPr="0052490D">
        <w:rPr>
          <w:lang w:val="sr-Cyrl-CS"/>
        </w:rPr>
        <w:t xml:space="preserve"> 1. априла 2021. године</w:t>
      </w:r>
      <w:r w:rsidR="00373401" w:rsidRPr="0052490D">
        <w:rPr>
          <w:lang w:val="sr-Cyrl-CS"/>
        </w:rPr>
        <w:t xml:space="preserve"> и 1. јануара 2022. године</w:t>
      </w:r>
      <w:r w:rsidR="0097695C" w:rsidRPr="0052490D">
        <w:rPr>
          <w:lang w:val="sr-Cyrl-CS"/>
        </w:rPr>
        <w:t>)</w:t>
      </w:r>
      <w:r w:rsidR="00491089" w:rsidRPr="0052490D">
        <w:rPr>
          <w:lang w:val="sr-Cyrl-CS"/>
        </w:rPr>
        <w:t xml:space="preserve"> и стандардном политиком, коју Б</w:t>
      </w:r>
      <w:r w:rsidR="0097695C" w:rsidRPr="0052490D">
        <w:rPr>
          <w:lang w:val="sr-Cyrl-CS"/>
        </w:rPr>
        <w:t xml:space="preserve">анка примењује </w:t>
      </w:r>
      <w:r w:rsidR="00843140" w:rsidRPr="0052490D">
        <w:rPr>
          <w:lang w:val="sr-Cyrl-CS"/>
        </w:rPr>
        <w:t xml:space="preserve">код одобравања </w:t>
      </w:r>
      <w:r w:rsidR="0063580F" w:rsidRPr="0052490D">
        <w:rPr>
          <w:lang w:val="sr-Cyrl-CS"/>
        </w:rPr>
        <w:t xml:space="preserve">ове врсте </w:t>
      </w:r>
      <w:r w:rsidR="00843140" w:rsidRPr="0052490D">
        <w:rPr>
          <w:lang w:val="sr-Cyrl-CS"/>
        </w:rPr>
        <w:t>зајмова</w:t>
      </w:r>
      <w:r w:rsidR="0097695C" w:rsidRPr="0052490D">
        <w:rPr>
          <w:lang w:val="sr-Cyrl-CS"/>
        </w:rPr>
        <w:t xml:space="preserve"> и начин на који ће се средства овог зајма користити и отплаћивати</w:t>
      </w:r>
      <w:r w:rsidRPr="0052490D">
        <w:rPr>
          <w:lang w:val="sr-Cyrl-CS"/>
        </w:rPr>
        <w:t>, договорени су следећи финансијски услови:</w:t>
      </w:r>
    </w:p>
    <w:p w:rsidR="00373401" w:rsidRPr="0052490D" w:rsidRDefault="00373401" w:rsidP="00A464B4">
      <w:pPr>
        <w:pStyle w:val="ListParagraph"/>
        <w:numPr>
          <w:ilvl w:val="0"/>
          <w:numId w:val="1"/>
        </w:numPr>
        <w:tabs>
          <w:tab w:val="left" w:pos="1134"/>
        </w:tabs>
        <w:ind w:left="0" w:right="-34" w:firstLine="826"/>
        <w:jc w:val="both"/>
        <w:rPr>
          <w:lang w:val="sr-Cyrl-CS"/>
        </w:rPr>
      </w:pPr>
      <w:r w:rsidRPr="0052490D">
        <w:rPr>
          <w:lang w:val="sr-Cyrl-CS"/>
        </w:rPr>
        <w:t xml:space="preserve">директно задужење Републике Србије: до 149.900.000 </w:t>
      </w:r>
      <w:r w:rsidR="00A464B4" w:rsidRPr="0052490D">
        <w:rPr>
          <w:lang w:val="sr-Cyrl-CS"/>
        </w:rPr>
        <w:t>EUR</w:t>
      </w:r>
      <w:r w:rsidRPr="0052490D">
        <w:rPr>
          <w:lang w:val="sr-Cyrl-CS"/>
        </w:rPr>
        <w:t xml:space="preserve">, што представља планирани износ одобрен од стране Банке од 160.000.000 </w:t>
      </w:r>
      <w:r w:rsidR="00A464B4" w:rsidRPr="0052490D">
        <w:rPr>
          <w:lang w:val="sr-Cyrl-CS"/>
        </w:rPr>
        <w:t>USD</w:t>
      </w:r>
      <w:r w:rsidRPr="0052490D">
        <w:rPr>
          <w:lang w:val="sr-Cyrl-CS"/>
        </w:rPr>
        <w:t xml:space="preserve"> прерачунат у евре, применом курса 0.9367 </w:t>
      </w:r>
      <w:r w:rsidR="00A464B4" w:rsidRPr="0052490D">
        <w:rPr>
          <w:lang w:val="sr-Cyrl-CS"/>
        </w:rPr>
        <w:t>USD</w:t>
      </w:r>
      <w:r w:rsidRPr="0052490D">
        <w:rPr>
          <w:lang w:val="sr-Cyrl-CS"/>
        </w:rPr>
        <w:t xml:space="preserve">:1 </w:t>
      </w:r>
      <w:r w:rsidR="00A464B4" w:rsidRPr="0052490D">
        <w:rPr>
          <w:lang w:val="sr-Cyrl-CS"/>
        </w:rPr>
        <w:t>EUR</w:t>
      </w:r>
      <w:r w:rsidRPr="0052490D">
        <w:rPr>
          <w:lang w:val="sr-Cyrl-CS"/>
        </w:rPr>
        <w:t xml:space="preserve"> на дан 31. децембар 2022. године;</w:t>
      </w:r>
    </w:p>
    <w:p w:rsidR="00373401" w:rsidRPr="0052490D" w:rsidRDefault="00373401" w:rsidP="00A464B4">
      <w:pPr>
        <w:pStyle w:val="ListParagraph"/>
        <w:numPr>
          <w:ilvl w:val="0"/>
          <w:numId w:val="1"/>
        </w:numPr>
        <w:tabs>
          <w:tab w:val="left" w:pos="1134"/>
        </w:tabs>
        <w:ind w:left="0" w:firstLine="826"/>
        <w:jc w:val="both"/>
        <w:rPr>
          <w:lang w:val="sr-Cyrl-CS"/>
        </w:rPr>
      </w:pPr>
      <w:r w:rsidRPr="0052490D">
        <w:rPr>
          <w:lang w:val="sr-Cyrl-CS"/>
        </w:rPr>
        <w:t>полугодишња отплата зајма, 15. априла и 15. октобра сваке године;</w:t>
      </w:r>
    </w:p>
    <w:p w:rsidR="00373401" w:rsidRPr="0052490D" w:rsidRDefault="00373401" w:rsidP="00A464B4">
      <w:pPr>
        <w:pStyle w:val="ListParagraph"/>
        <w:numPr>
          <w:ilvl w:val="0"/>
          <w:numId w:val="1"/>
        </w:numPr>
        <w:tabs>
          <w:tab w:val="left" w:pos="1134"/>
        </w:tabs>
        <w:ind w:left="0" w:firstLine="826"/>
        <w:jc w:val="both"/>
        <w:rPr>
          <w:lang w:val="sr-Cyrl-CS"/>
        </w:rPr>
      </w:pPr>
      <w:r w:rsidRPr="0052490D">
        <w:rPr>
          <w:lang w:val="sr-Cyrl-CS"/>
        </w:rPr>
        <w:t>рок доспећа: 12 годин</w:t>
      </w:r>
      <w:r w:rsidR="00E87E8A">
        <w:rPr>
          <w:lang w:val="sr-Cyrl-CS"/>
        </w:rPr>
        <w:t xml:space="preserve">а, укључујући период почека од </w:t>
      </w:r>
      <w:r w:rsidR="00E87E8A">
        <w:rPr>
          <w:lang w:val="sr-Cyrl-RS"/>
        </w:rPr>
        <w:t>чети</w:t>
      </w:r>
      <w:bookmarkStart w:id="0" w:name="_GoBack"/>
      <w:bookmarkEnd w:id="0"/>
      <w:r w:rsidR="00E87E8A">
        <w:rPr>
          <w:lang w:val="sr-Cyrl-RS"/>
        </w:rPr>
        <w:t>ри</w:t>
      </w:r>
      <w:r w:rsidRPr="0052490D">
        <w:rPr>
          <w:lang w:val="sr-Cyrl-CS"/>
        </w:rPr>
        <w:t xml:space="preserve"> године, уз отплату главнице у једнаким ратама, од којих прва доспева 15. априла 2027. године, а последња 15. октобра 2034. године;</w:t>
      </w:r>
    </w:p>
    <w:p w:rsidR="00373401" w:rsidRPr="0052490D" w:rsidRDefault="00373401" w:rsidP="00A464B4">
      <w:pPr>
        <w:pStyle w:val="ListParagraph"/>
        <w:numPr>
          <w:ilvl w:val="0"/>
          <w:numId w:val="1"/>
        </w:numPr>
        <w:tabs>
          <w:tab w:val="left" w:pos="1134"/>
        </w:tabs>
        <w:ind w:left="0" w:firstLine="826"/>
        <w:jc w:val="both"/>
        <w:rPr>
          <w:lang w:val="sr-Cyrl-CS"/>
        </w:rPr>
      </w:pPr>
      <w:r w:rsidRPr="0052490D">
        <w:rPr>
          <w:lang w:val="sr-Cyrl-CS"/>
        </w:rPr>
        <w:t>приступна накнада: 0,25% на укупну главницу (374.750 евра) и плаћа се из средстава зајма, са могућношћу конверзије;</w:t>
      </w:r>
    </w:p>
    <w:p w:rsidR="00373401" w:rsidRPr="0052490D" w:rsidRDefault="00373401" w:rsidP="00A464B4">
      <w:pPr>
        <w:pStyle w:val="ListParagraph"/>
        <w:numPr>
          <w:ilvl w:val="0"/>
          <w:numId w:val="1"/>
        </w:numPr>
        <w:tabs>
          <w:tab w:val="left" w:pos="1134"/>
        </w:tabs>
        <w:ind w:left="0" w:firstLine="826"/>
        <w:jc w:val="both"/>
        <w:rPr>
          <w:lang w:val="sr-Cyrl-CS"/>
        </w:rPr>
      </w:pPr>
      <w:r w:rsidRPr="0052490D">
        <w:rPr>
          <w:lang w:val="sr-Cyrl-CS"/>
        </w:rPr>
        <w:t>накнада на неповучена средства износи 0,25% на годишњем нивоу;</w:t>
      </w:r>
    </w:p>
    <w:p w:rsidR="00373401" w:rsidRPr="0052490D" w:rsidRDefault="00373401" w:rsidP="00A464B4">
      <w:pPr>
        <w:pStyle w:val="ListParagraph"/>
        <w:numPr>
          <w:ilvl w:val="0"/>
          <w:numId w:val="1"/>
        </w:numPr>
        <w:tabs>
          <w:tab w:val="left" w:pos="1134"/>
        </w:tabs>
        <w:ind w:left="0" w:firstLine="826"/>
        <w:jc w:val="both"/>
        <w:rPr>
          <w:lang w:val="sr-Cyrl-CS"/>
        </w:rPr>
      </w:pPr>
      <w:r w:rsidRPr="0052490D">
        <w:rPr>
          <w:lang w:val="sr-Cyrl-CS"/>
        </w:rPr>
        <w:t>каматна стопа: Референтна стопа (шестомесечни EURIBOR) + варијабилна маржа, која тренутно износи 0,48% за зајмове ове рочности у евро валути, уз могућност различитих врста конверзије, ако се процени да је повољније са становишта управљања јавним дугом;</w:t>
      </w:r>
    </w:p>
    <w:p w:rsidR="00373401" w:rsidRPr="0052490D" w:rsidRDefault="00373401" w:rsidP="00A464B4">
      <w:pPr>
        <w:pStyle w:val="ListParagraph"/>
        <w:numPr>
          <w:ilvl w:val="0"/>
          <w:numId w:val="1"/>
        </w:numPr>
        <w:tabs>
          <w:tab w:val="left" w:pos="1134"/>
        </w:tabs>
        <w:ind w:left="0" w:firstLine="826"/>
        <w:jc w:val="both"/>
        <w:rPr>
          <w:lang w:val="sr-Cyrl-CS"/>
        </w:rPr>
      </w:pPr>
      <w:r w:rsidRPr="0052490D">
        <w:rPr>
          <w:lang w:val="sr-Cyrl-CS"/>
        </w:rPr>
        <w:t>рок расположивости зајма: средства зајма се могу повлачити до 30. јуна 2024. године, што је уједно и рок за завршетак Пројекта.</w:t>
      </w:r>
    </w:p>
    <w:p w:rsidR="00373401" w:rsidRPr="0052490D" w:rsidRDefault="00373401" w:rsidP="00A464B4">
      <w:pPr>
        <w:pStyle w:val="ListParagraph"/>
        <w:tabs>
          <w:tab w:val="left" w:pos="1134"/>
        </w:tabs>
        <w:ind w:left="0" w:firstLine="826"/>
        <w:jc w:val="both"/>
        <w:rPr>
          <w:lang w:val="sr-Cyrl-CS"/>
        </w:rPr>
      </w:pPr>
    </w:p>
    <w:p w:rsidR="00B47FD9" w:rsidRPr="0052490D" w:rsidRDefault="00B47FD9" w:rsidP="00B47FD9">
      <w:pPr>
        <w:ind w:firstLine="720"/>
        <w:jc w:val="both"/>
        <w:rPr>
          <w:lang w:val="sr-Cyrl-CS"/>
        </w:rPr>
      </w:pPr>
      <w:r w:rsidRPr="0052490D">
        <w:rPr>
          <w:lang w:val="sr-Cyrl-CS"/>
        </w:rPr>
        <w:t xml:space="preserve">Након што је </w:t>
      </w:r>
      <w:r w:rsidR="00AD2101" w:rsidRPr="0052490D">
        <w:rPr>
          <w:lang w:val="sr-Cyrl-CS"/>
        </w:rPr>
        <w:t>Банка</w:t>
      </w:r>
      <w:r w:rsidRPr="0052490D">
        <w:rPr>
          <w:lang w:val="sr-Cyrl-CS"/>
        </w:rPr>
        <w:t xml:space="preserve"> спровела своју процедуру одобрења од стране Одбора извршних директора, Споразум о зајму је потписан </w:t>
      </w:r>
      <w:r w:rsidR="00342C25" w:rsidRPr="0052490D">
        <w:rPr>
          <w:lang w:val="sr-Cyrl-CS"/>
        </w:rPr>
        <w:t>у Београду</w:t>
      </w:r>
      <w:r w:rsidR="00BD2868" w:rsidRPr="0052490D">
        <w:rPr>
          <w:lang w:val="sr-Cyrl-CS"/>
        </w:rPr>
        <w:t>,</w:t>
      </w:r>
      <w:r w:rsidR="00342C25" w:rsidRPr="0052490D">
        <w:rPr>
          <w:lang w:val="sr-Cyrl-CS"/>
        </w:rPr>
        <w:t xml:space="preserve"> </w:t>
      </w:r>
      <w:r w:rsidR="00373401" w:rsidRPr="0052490D">
        <w:rPr>
          <w:lang w:val="sr-Cyrl-CS"/>
        </w:rPr>
        <w:t>2</w:t>
      </w:r>
      <w:r w:rsidR="00342C25" w:rsidRPr="0052490D">
        <w:rPr>
          <w:lang w:val="sr-Cyrl-CS"/>
        </w:rPr>
        <w:t xml:space="preserve">3. и </w:t>
      </w:r>
      <w:r w:rsidR="00373401" w:rsidRPr="0052490D">
        <w:rPr>
          <w:lang w:val="sr-Cyrl-CS"/>
        </w:rPr>
        <w:t>30</w:t>
      </w:r>
      <w:r w:rsidR="00342C25" w:rsidRPr="0052490D">
        <w:rPr>
          <w:lang w:val="sr-Cyrl-CS"/>
        </w:rPr>
        <w:t xml:space="preserve">. </w:t>
      </w:r>
      <w:r w:rsidR="00373401" w:rsidRPr="0052490D">
        <w:rPr>
          <w:lang w:val="sr-Cyrl-CS"/>
        </w:rPr>
        <w:t>маја 2023</w:t>
      </w:r>
      <w:r w:rsidRPr="0052490D">
        <w:rPr>
          <w:lang w:val="sr-Cyrl-CS"/>
        </w:rPr>
        <w:t>. године.</w:t>
      </w:r>
    </w:p>
    <w:p w:rsidR="009A295B" w:rsidRPr="0052490D" w:rsidRDefault="009A295B" w:rsidP="009A295B">
      <w:pPr>
        <w:ind w:firstLine="720"/>
        <w:jc w:val="both"/>
        <w:rPr>
          <w:lang w:val="sr-Cyrl-CS"/>
        </w:rPr>
      </w:pPr>
    </w:p>
    <w:p w:rsidR="00601491" w:rsidRPr="0052490D" w:rsidRDefault="00601491" w:rsidP="00601491">
      <w:pPr>
        <w:pStyle w:val="Default"/>
        <w:ind w:firstLine="720"/>
        <w:jc w:val="both"/>
        <w:rPr>
          <w:rFonts w:ascii="Times New Roman" w:hAnsi="Times New Roman" w:cs="Times New Roman"/>
          <w:color w:val="auto"/>
          <w:lang w:val="sr-Cyrl-CS"/>
        </w:rPr>
      </w:pPr>
      <w:r w:rsidRPr="0052490D">
        <w:rPr>
          <w:rFonts w:ascii="Times New Roman" w:hAnsi="Times New Roman" w:cs="Times New Roman"/>
          <w:color w:val="auto"/>
          <w:lang w:val="sr-Cyrl-CS"/>
        </w:rPr>
        <w:t>III</w:t>
      </w:r>
      <w:r w:rsidR="00A464B4" w:rsidRPr="0052490D">
        <w:rPr>
          <w:rFonts w:ascii="Times New Roman" w:hAnsi="Times New Roman" w:cs="Times New Roman"/>
          <w:color w:val="auto"/>
          <w:lang w:val="sr-Cyrl-CS"/>
        </w:rPr>
        <w:t>.</w:t>
      </w:r>
      <w:r w:rsidRPr="0052490D">
        <w:rPr>
          <w:rFonts w:ascii="Times New Roman" w:hAnsi="Times New Roman" w:cs="Times New Roman"/>
          <w:color w:val="auto"/>
          <w:lang w:val="sr-Cyrl-CS"/>
        </w:rPr>
        <w:t xml:space="preserve"> ОБЈАШЊЕЊЕ ОСНОВНИХ ПРАВНИХ ИНСТИТУТА И ПОЈЕДИНАЧНИХ РЕШЕЊА </w:t>
      </w:r>
    </w:p>
    <w:p w:rsidR="00601491" w:rsidRPr="0052490D" w:rsidRDefault="00601491" w:rsidP="00601491">
      <w:pPr>
        <w:pStyle w:val="Default"/>
        <w:ind w:firstLine="720"/>
        <w:jc w:val="both"/>
        <w:rPr>
          <w:rFonts w:ascii="Times New Roman" w:hAnsi="Times New Roman" w:cs="Times New Roman"/>
          <w:color w:val="auto"/>
          <w:lang w:val="sr-Cyrl-CS"/>
        </w:rPr>
      </w:pPr>
    </w:p>
    <w:p w:rsidR="00601491" w:rsidRPr="0052490D" w:rsidRDefault="00601491" w:rsidP="00601491">
      <w:pPr>
        <w:pStyle w:val="Default"/>
        <w:ind w:firstLine="720"/>
        <w:jc w:val="both"/>
        <w:rPr>
          <w:rFonts w:ascii="Times New Roman" w:hAnsi="Times New Roman" w:cs="Times New Roman"/>
          <w:color w:val="auto"/>
          <w:lang w:val="sr-Cyrl-CS"/>
        </w:rPr>
      </w:pPr>
      <w:r w:rsidRPr="0052490D">
        <w:rPr>
          <w:rFonts w:ascii="Times New Roman" w:hAnsi="Times New Roman" w:cs="Times New Roman"/>
          <w:color w:val="auto"/>
          <w:lang w:val="sr-Cyrl-CS"/>
        </w:rPr>
        <w:t xml:space="preserve">Одредбом члана 1. овог закона предвиђа се потврђивање </w:t>
      </w:r>
      <w:r w:rsidR="00287F90" w:rsidRPr="0052490D">
        <w:rPr>
          <w:rFonts w:ascii="Times New Roman" w:hAnsi="Times New Roman" w:cs="Times New Roman"/>
          <w:color w:val="auto"/>
          <w:lang w:val="sr-Cyrl-CS"/>
        </w:rPr>
        <w:t>Споразума о зајму</w:t>
      </w:r>
      <w:r w:rsidRPr="0052490D">
        <w:rPr>
          <w:rFonts w:ascii="Times New Roman" w:hAnsi="Times New Roman" w:cs="Times New Roman"/>
          <w:color w:val="auto"/>
          <w:lang w:val="sr-Cyrl-CS"/>
        </w:rPr>
        <w:t xml:space="preserve"> </w:t>
      </w:r>
      <w:r w:rsidR="00777B3C" w:rsidRPr="0052490D">
        <w:rPr>
          <w:rFonts w:ascii="Times New Roman" w:hAnsi="Times New Roman" w:cs="Times New Roman"/>
          <w:color w:val="auto"/>
          <w:lang w:val="sr-Cyrl-CS"/>
        </w:rPr>
        <w:t>(</w:t>
      </w:r>
      <w:r w:rsidR="00373401" w:rsidRPr="0052490D">
        <w:rPr>
          <w:rFonts w:ascii="Times New Roman" w:hAnsi="Times New Roman" w:cs="Times New Roman"/>
          <w:color w:val="auto"/>
          <w:lang w:val="sr-Cyrl-CS"/>
        </w:rPr>
        <w:t>Први зајам за развојну политику зеленог раста у Републици Србији</w:t>
      </w:r>
      <w:r w:rsidR="00D07420" w:rsidRPr="0052490D">
        <w:rPr>
          <w:rFonts w:ascii="Times New Roman" w:hAnsi="Times New Roman" w:cs="Times New Roman"/>
          <w:color w:val="auto"/>
          <w:lang w:val="sr-Cyrl-CS"/>
        </w:rPr>
        <w:t xml:space="preserve">) између Републике Србије и Међународне банке за обнову и развој, који је потписан у Београду, </w:t>
      </w:r>
      <w:r w:rsidR="00373401" w:rsidRPr="0052490D">
        <w:rPr>
          <w:rFonts w:ascii="Times New Roman" w:hAnsi="Times New Roman" w:cs="Times New Roman"/>
          <w:color w:val="auto"/>
          <w:lang w:val="sr-Cyrl-CS"/>
        </w:rPr>
        <w:t>2</w:t>
      </w:r>
      <w:r w:rsidR="00D07420" w:rsidRPr="0052490D">
        <w:rPr>
          <w:rFonts w:ascii="Times New Roman" w:hAnsi="Times New Roman" w:cs="Times New Roman"/>
          <w:color w:val="auto"/>
          <w:lang w:val="sr-Cyrl-CS"/>
        </w:rPr>
        <w:t xml:space="preserve">3. и </w:t>
      </w:r>
      <w:r w:rsidR="00373401" w:rsidRPr="0052490D">
        <w:rPr>
          <w:rFonts w:ascii="Times New Roman" w:hAnsi="Times New Roman" w:cs="Times New Roman"/>
          <w:color w:val="auto"/>
          <w:lang w:val="sr-Cyrl-CS"/>
        </w:rPr>
        <w:t>30</w:t>
      </w:r>
      <w:r w:rsidR="00D07420" w:rsidRPr="0052490D">
        <w:rPr>
          <w:rFonts w:ascii="Times New Roman" w:hAnsi="Times New Roman" w:cs="Times New Roman"/>
          <w:color w:val="auto"/>
          <w:lang w:val="sr-Cyrl-CS"/>
        </w:rPr>
        <w:t xml:space="preserve">. </w:t>
      </w:r>
      <w:r w:rsidR="00373401" w:rsidRPr="0052490D">
        <w:rPr>
          <w:rFonts w:ascii="Times New Roman" w:hAnsi="Times New Roman" w:cs="Times New Roman"/>
          <w:color w:val="auto"/>
          <w:lang w:val="sr-Cyrl-CS"/>
        </w:rPr>
        <w:t>маја</w:t>
      </w:r>
      <w:r w:rsidR="00D07420" w:rsidRPr="0052490D">
        <w:rPr>
          <w:rFonts w:ascii="Times New Roman" w:hAnsi="Times New Roman" w:cs="Times New Roman"/>
          <w:color w:val="auto"/>
          <w:lang w:val="sr-Cyrl-CS"/>
        </w:rPr>
        <w:t xml:space="preserve"> 2023. године</w:t>
      </w:r>
      <w:r w:rsidR="00BD2868" w:rsidRPr="0052490D">
        <w:rPr>
          <w:rFonts w:ascii="Times New Roman" w:hAnsi="Times New Roman" w:cs="Times New Roman"/>
          <w:color w:val="auto"/>
          <w:lang w:val="sr-Cyrl-CS"/>
        </w:rPr>
        <w:t>,</w:t>
      </w:r>
      <w:r w:rsidRPr="0052490D">
        <w:rPr>
          <w:rFonts w:ascii="Times New Roman" w:hAnsi="Times New Roman" w:cs="Times New Roman"/>
          <w:color w:val="auto"/>
          <w:lang w:val="sr-Cyrl-CS"/>
        </w:rPr>
        <w:t xml:space="preserve"> у оригиналу на енглеском језику. </w:t>
      </w:r>
    </w:p>
    <w:p w:rsidR="00601491" w:rsidRPr="0052490D" w:rsidRDefault="00601491" w:rsidP="00601491">
      <w:pPr>
        <w:pStyle w:val="Default"/>
        <w:ind w:firstLine="720"/>
        <w:jc w:val="both"/>
        <w:rPr>
          <w:rFonts w:ascii="Times New Roman" w:hAnsi="Times New Roman" w:cs="Times New Roman"/>
          <w:color w:val="auto"/>
          <w:lang w:val="sr-Cyrl-CS"/>
        </w:rPr>
      </w:pPr>
      <w:r w:rsidRPr="0052490D">
        <w:rPr>
          <w:rFonts w:ascii="Times New Roman" w:hAnsi="Times New Roman" w:cs="Times New Roman"/>
          <w:color w:val="auto"/>
          <w:lang w:val="sr-Cyrl-CS"/>
        </w:rPr>
        <w:t xml:space="preserve">Одредба члана 2. овог закона садржи текст </w:t>
      </w:r>
      <w:r w:rsidR="006E238E" w:rsidRPr="0052490D">
        <w:rPr>
          <w:rFonts w:ascii="Times New Roman" w:hAnsi="Times New Roman" w:cs="Times New Roman"/>
          <w:color w:val="auto"/>
          <w:lang w:val="sr-Cyrl-CS"/>
        </w:rPr>
        <w:t>Споразума о зајму (</w:t>
      </w:r>
      <w:r w:rsidR="00373401" w:rsidRPr="0052490D">
        <w:rPr>
          <w:rFonts w:ascii="Times New Roman" w:hAnsi="Times New Roman" w:cs="Times New Roman"/>
          <w:color w:val="auto"/>
          <w:lang w:val="sr-Cyrl-CS"/>
        </w:rPr>
        <w:t>Први зајам за развојну политику зеленог раста у Републици Србији</w:t>
      </w:r>
      <w:r w:rsidR="00D07420" w:rsidRPr="0052490D">
        <w:rPr>
          <w:rFonts w:ascii="Times New Roman" w:hAnsi="Times New Roman" w:cs="Times New Roman"/>
          <w:color w:val="auto"/>
          <w:lang w:val="sr-Cyrl-CS"/>
        </w:rPr>
        <w:t>) између Републике Србије и Међународне банке за обнову и развој</w:t>
      </w:r>
      <w:r w:rsidRPr="0052490D">
        <w:rPr>
          <w:rFonts w:ascii="Times New Roman" w:hAnsi="Times New Roman" w:cs="Times New Roman"/>
          <w:color w:val="auto"/>
          <w:lang w:val="sr-Cyrl-CS"/>
        </w:rPr>
        <w:t xml:space="preserve">, у оригиналу на енглеском </w:t>
      </w:r>
      <w:r w:rsidR="00726C33" w:rsidRPr="0052490D">
        <w:rPr>
          <w:rFonts w:ascii="Times New Roman" w:hAnsi="Times New Roman" w:cs="Times New Roman"/>
          <w:color w:val="auto"/>
          <w:lang w:val="sr-Cyrl-CS"/>
        </w:rPr>
        <w:t xml:space="preserve">језику </w:t>
      </w:r>
      <w:r w:rsidRPr="0052490D">
        <w:rPr>
          <w:rFonts w:ascii="Times New Roman" w:hAnsi="Times New Roman" w:cs="Times New Roman"/>
          <w:color w:val="auto"/>
          <w:lang w:val="sr-Cyrl-CS"/>
        </w:rPr>
        <w:t xml:space="preserve">и преводу на српски језик. </w:t>
      </w:r>
    </w:p>
    <w:p w:rsidR="00601491" w:rsidRPr="0052490D" w:rsidRDefault="00636341" w:rsidP="00601491">
      <w:pPr>
        <w:pStyle w:val="Default"/>
        <w:ind w:firstLine="720"/>
        <w:jc w:val="both"/>
        <w:rPr>
          <w:rFonts w:ascii="Times New Roman" w:hAnsi="Times New Roman" w:cs="Times New Roman"/>
          <w:color w:val="auto"/>
          <w:lang w:val="sr-Cyrl-CS"/>
        </w:rPr>
      </w:pPr>
      <w:r w:rsidRPr="0052490D">
        <w:rPr>
          <w:rFonts w:ascii="Times New Roman" w:hAnsi="Times New Roman" w:cs="Times New Roman"/>
          <w:color w:val="auto"/>
          <w:lang w:val="sr-Cyrl-CS"/>
        </w:rPr>
        <w:t>О</w:t>
      </w:r>
      <w:r w:rsidR="00601491" w:rsidRPr="0052490D">
        <w:rPr>
          <w:rFonts w:ascii="Times New Roman" w:hAnsi="Times New Roman" w:cs="Times New Roman"/>
          <w:color w:val="auto"/>
          <w:lang w:val="sr-Cyrl-CS"/>
        </w:rPr>
        <w:t>дредб</w:t>
      </w:r>
      <w:r w:rsidRPr="0052490D">
        <w:rPr>
          <w:rFonts w:ascii="Times New Roman" w:hAnsi="Times New Roman" w:cs="Times New Roman"/>
          <w:color w:val="auto"/>
          <w:lang w:val="sr-Cyrl-CS"/>
        </w:rPr>
        <w:t xml:space="preserve">ом </w:t>
      </w:r>
      <w:r w:rsidR="00601491" w:rsidRPr="0052490D">
        <w:rPr>
          <w:rFonts w:ascii="Times New Roman" w:hAnsi="Times New Roman" w:cs="Times New Roman"/>
          <w:color w:val="auto"/>
          <w:lang w:val="sr-Cyrl-CS"/>
        </w:rPr>
        <w:t xml:space="preserve">члана 3. уређује се ступање на снагу овог закона. </w:t>
      </w:r>
    </w:p>
    <w:p w:rsidR="00601491" w:rsidRPr="0052490D" w:rsidRDefault="00601491" w:rsidP="00601491">
      <w:pPr>
        <w:pStyle w:val="Default"/>
        <w:jc w:val="both"/>
        <w:rPr>
          <w:rFonts w:ascii="Times New Roman" w:hAnsi="Times New Roman" w:cs="Times New Roman"/>
          <w:color w:val="auto"/>
          <w:lang w:val="sr-Cyrl-CS"/>
        </w:rPr>
      </w:pPr>
    </w:p>
    <w:p w:rsidR="00601491" w:rsidRPr="0052490D" w:rsidRDefault="00601491" w:rsidP="00601491">
      <w:pPr>
        <w:pStyle w:val="Default"/>
        <w:ind w:firstLine="720"/>
        <w:jc w:val="both"/>
        <w:rPr>
          <w:rFonts w:ascii="Times New Roman" w:hAnsi="Times New Roman" w:cs="Times New Roman"/>
          <w:color w:val="auto"/>
          <w:lang w:val="sr-Cyrl-CS"/>
        </w:rPr>
      </w:pPr>
      <w:r w:rsidRPr="0052490D">
        <w:rPr>
          <w:rFonts w:ascii="Times New Roman" w:hAnsi="Times New Roman" w:cs="Times New Roman"/>
          <w:color w:val="auto"/>
          <w:lang w:val="sr-Cyrl-CS"/>
        </w:rPr>
        <w:t>IV</w:t>
      </w:r>
      <w:r w:rsidR="00A464B4" w:rsidRPr="0052490D">
        <w:rPr>
          <w:rFonts w:ascii="Times New Roman" w:hAnsi="Times New Roman" w:cs="Times New Roman"/>
          <w:color w:val="auto"/>
          <w:lang w:val="sr-Cyrl-CS"/>
        </w:rPr>
        <w:t>.</w:t>
      </w:r>
      <w:r w:rsidRPr="0052490D">
        <w:rPr>
          <w:rFonts w:ascii="Times New Roman" w:hAnsi="Times New Roman" w:cs="Times New Roman"/>
          <w:color w:val="auto"/>
          <w:lang w:val="sr-Cyrl-CS"/>
        </w:rPr>
        <w:t xml:space="preserve"> ФИНАНСИЈСКЕ ОБАВЕЗЕ И ПРОЦЕНА ФИНАНСИЈСКИХ СРЕДСТАВА КОЈА НАСТАЈУ ИЗВРШАВАЊЕМ ЗАКОНА</w:t>
      </w:r>
    </w:p>
    <w:p w:rsidR="00601491" w:rsidRPr="0052490D" w:rsidRDefault="00601491" w:rsidP="00601491">
      <w:pPr>
        <w:pStyle w:val="Default"/>
        <w:ind w:firstLine="720"/>
        <w:jc w:val="both"/>
        <w:rPr>
          <w:rFonts w:ascii="Times New Roman" w:hAnsi="Times New Roman" w:cs="Times New Roman"/>
          <w:color w:val="auto"/>
          <w:lang w:val="sr-Cyrl-CS"/>
        </w:rPr>
      </w:pPr>
      <w:r w:rsidRPr="0052490D">
        <w:rPr>
          <w:rFonts w:ascii="Times New Roman" w:hAnsi="Times New Roman" w:cs="Times New Roman"/>
          <w:color w:val="auto"/>
          <w:lang w:val="sr-Cyrl-CS"/>
        </w:rPr>
        <w:t xml:space="preserve"> </w:t>
      </w:r>
    </w:p>
    <w:p w:rsidR="00601491" w:rsidRPr="0052490D" w:rsidRDefault="00601491" w:rsidP="00601491">
      <w:pPr>
        <w:pStyle w:val="Default"/>
        <w:ind w:firstLine="720"/>
        <w:jc w:val="both"/>
        <w:rPr>
          <w:rFonts w:ascii="Times New Roman" w:hAnsi="Times New Roman" w:cs="Times New Roman"/>
          <w:color w:val="auto"/>
          <w:lang w:val="sr-Cyrl-CS"/>
        </w:rPr>
      </w:pPr>
      <w:r w:rsidRPr="0052490D">
        <w:rPr>
          <w:rFonts w:ascii="Times New Roman" w:hAnsi="Times New Roman" w:cs="Times New Roman"/>
          <w:color w:val="auto"/>
          <w:lang w:val="sr-Cyrl-CS"/>
        </w:rPr>
        <w:t xml:space="preserve">За спровођење овог закона обезбеђиваће се средства у буџету Републике Србије. </w:t>
      </w:r>
    </w:p>
    <w:p w:rsidR="002C4BCD" w:rsidRPr="0052490D" w:rsidRDefault="00496315">
      <w:pPr>
        <w:rPr>
          <w:lang w:val="sr-Cyrl-CS"/>
        </w:rPr>
      </w:pPr>
    </w:p>
    <w:sectPr w:rsidR="002C4BCD" w:rsidRPr="0052490D" w:rsidSect="00BE6127">
      <w:footerReference w:type="default" r:id="rId7"/>
      <w:pgSz w:w="11906" w:h="16838"/>
      <w:pgMar w:top="126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315" w:rsidRDefault="00496315" w:rsidP="00BE6127">
      <w:r>
        <w:separator/>
      </w:r>
    </w:p>
  </w:endnote>
  <w:endnote w:type="continuationSeparator" w:id="0">
    <w:p w:rsidR="00496315" w:rsidRDefault="00496315" w:rsidP="00BE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280915"/>
      <w:docPartObj>
        <w:docPartGallery w:val="Page Numbers (Bottom of Page)"/>
        <w:docPartUnique/>
      </w:docPartObj>
    </w:sdtPr>
    <w:sdtEndPr>
      <w:rPr>
        <w:noProof/>
      </w:rPr>
    </w:sdtEndPr>
    <w:sdtContent>
      <w:p w:rsidR="00BE6127" w:rsidRDefault="00BE6127">
        <w:pPr>
          <w:pStyle w:val="Footer"/>
          <w:jc w:val="center"/>
        </w:pPr>
        <w:r>
          <w:fldChar w:fldCharType="begin"/>
        </w:r>
        <w:r>
          <w:instrText xml:space="preserve"> PAGE   \* MERGEFORMAT </w:instrText>
        </w:r>
        <w:r>
          <w:fldChar w:fldCharType="separate"/>
        </w:r>
        <w:r w:rsidR="00E87E8A">
          <w:rPr>
            <w:noProof/>
          </w:rPr>
          <w:t>2</w:t>
        </w:r>
        <w:r>
          <w:rPr>
            <w:noProof/>
          </w:rPr>
          <w:fldChar w:fldCharType="end"/>
        </w:r>
      </w:p>
    </w:sdtContent>
  </w:sdt>
  <w:p w:rsidR="00BE6127" w:rsidRDefault="00BE612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315" w:rsidRDefault="00496315" w:rsidP="00BE6127">
      <w:r>
        <w:separator/>
      </w:r>
    </w:p>
  </w:footnote>
  <w:footnote w:type="continuationSeparator" w:id="0">
    <w:p w:rsidR="00496315" w:rsidRDefault="00496315" w:rsidP="00BE61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46AC2"/>
    <w:multiLevelType w:val="hybridMultilevel"/>
    <w:tmpl w:val="D5B4DACA"/>
    <w:lvl w:ilvl="0" w:tplc="20E2DFFA">
      <w:numFmt w:val="bullet"/>
      <w:lvlText w:val="-"/>
      <w:lvlJc w:val="left"/>
      <w:pPr>
        <w:ind w:left="4195" w:hanging="360"/>
      </w:pPr>
      <w:rPr>
        <w:rFonts w:ascii="Times New Roman" w:eastAsia="Calibri" w:hAnsi="Times New Roman" w:cs="Times New Roman" w:hint="default"/>
      </w:rPr>
    </w:lvl>
    <w:lvl w:ilvl="1" w:tplc="241A0003">
      <w:start w:val="1"/>
      <w:numFmt w:val="bullet"/>
      <w:lvlText w:val="o"/>
      <w:lvlJc w:val="left"/>
      <w:pPr>
        <w:ind w:left="4915" w:hanging="360"/>
      </w:pPr>
      <w:rPr>
        <w:rFonts w:ascii="Courier New" w:hAnsi="Courier New" w:cs="Courier New" w:hint="default"/>
      </w:rPr>
    </w:lvl>
    <w:lvl w:ilvl="2" w:tplc="241A0005">
      <w:start w:val="1"/>
      <w:numFmt w:val="bullet"/>
      <w:lvlText w:val=""/>
      <w:lvlJc w:val="left"/>
      <w:pPr>
        <w:ind w:left="5635" w:hanging="360"/>
      </w:pPr>
      <w:rPr>
        <w:rFonts w:ascii="Wingdings" w:hAnsi="Wingdings" w:hint="default"/>
      </w:rPr>
    </w:lvl>
    <w:lvl w:ilvl="3" w:tplc="241A0001">
      <w:start w:val="1"/>
      <w:numFmt w:val="bullet"/>
      <w:lvlText w:val=""/>
      <w:lvlJc w:val="left"/>
      <w:pPr>
        <w:ind w:left="6355" w:hanging="360"/>
      </w:pPr>
      <w:rPr>
        <w:rFonts w:ascii="Symbol" w:hAnsi="Symbol" w:hint="default"/>
      </w:rPr>
    </w:lvl>
    <w:lvl w:ilvl="4" w:tplc="241A0003">
      <w:start w:val="1"/>
      <w:numFmt w:val="bullet"/>
      <w:lvlText w:val="o"/>
      <w:lvlJc w:val="left"/>
      <w:pPr>
        <w:ind w:left="7075" w:hanging="360"/>
      </w:pPr>
      <w:rPr>
        <w:rFonts w:ascii="Courier New" w:hAnsi="Courier New" w:cs="Courier New" w:hint="default"/>
      </w:rPr>
    </w:lvl>
    <w:lvl w:ilvl="5" w:tplc="241A0005">
      <w:start w:val="1"/>
      <w:numFmt w:val="bullet"/>
      <w:lvlText w:val=""/>
      <w:lvlJc w:val="left"/>
      <w:pPr>
        <w:ind w:left="7795" w:hanging="360"/>
      </w:pPr>
      <w:rPr>
        <w:rFonts w:ascii="Wingdings" w:hAnsi="Wingdings" w:hint="default"/>
      </w:rPr>
    </w:lvl>
    <w:lvl w:ilvl="6" w:tplc="241A0001">
      <w:start w:val="1"/>
      <w:numFmt w:val="bullet"/>
      <w:lvlText w:val=""/>
      <w:lvlJc w:val="left"/>
      <w:pPr>
        <w:ind w:left="8515" w:hanging="360"/>
      </w:pPr>
      <w:rPr>
        <w:rFonts w:ascii="Symbol" w:hAnsi="Symbol" w:hint="default"/>
      </w:rPr>
    </w:lvl>
    <w:lvl w:ilvl="7" w:tplc="241A0003">
      <w:start w:val="1"/>
      <w:numFmt w:val="bullet"/>
      <w:lvlText w:val="o"/>
      <w:lvlJc w:val="left"/>
      <w:pPr>
        <w:ind w:left="9235" w:hanging="360"/>
      </w:pPr>
      <w:rPr>
        <w:rFonts w:ascii="Courier New" w:hAnsi="Courier New" w:cs="Courier New" w:hint="default"/>
      </w:rPr>
    </w:lvl>
    <w:lvl w:ilvl="8" w:tplc="241A0005">
      <w:start w:val="1"/>
      <w:numFmt w:val="bullet"/>
      <w:lvlText w:val=""/>
      <w:lvlJc w:val="left"/>
      <w:pPr>
        <w:ind w:left="9955" w:hanging="360"/>
      </w:pPr>
      <w:rPr>
        <w:rFonts w:ascii="Wingdings" w:hAnsi="Wingdings" w:hint="default"/>
      </w:rPr>
    </w:lvl>
  </w:abstractNum>
  <w:abstractNum w:abstractNumId="1" w15:restartNumberingAfterBreak="0">
    <w:nsid w:val="669E75C2"/>
    <w:multiLevelType w:val="hybridMultilevel"/>
    <w:tmpl w:val="D3E807EE"/>
    <w:lvl w:ilvl="0" w:tplc="0409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F9B"/>
    <w:rsid w:val="00021504"/>
    <w:rsid w:val="00042FA0"/>
    <w:rsid w:val="0004558D"/>
    <w:rsid w:val="00045DDC"/>
    <w:rsid w:val="0006446C"/>
    <w:rsid w:val="000D3C41"/>
    <w:rsid w:val="000D4FDF"/>
    <w:rsid w:val="00117C14"/>
    <w:rsid w:val="00135BBB"/>
    <w:rsid w:val="00145269"/>
    <w:rsid w:val="0016024B"/>
    <w:rsid w:val="001610A3"/>
    <w:rsid w:val="00165B38"/>
    <w:rsid w:val="001A32FA"/>
    <w:rsid w:val="001A37EA"/>
    <w:rsid w:val="001C692C"/>
    <w:rsid w:val="001D0D87"/>
    <w:rsid w:val="001D14DA"/>
    <w:rsid w:val="002537C4"/>
    <w:rsid w:val="002773F1"/>
    <w:rsid w:val="00287F90"/>
    <w:rsid w:val="00295FC5"/>
    <w:rsid w:val="002A40E8"/>
    <w:rsid w:val="002B2B6A"/>
    <w:rsid w:val="002E468E"/>
    <w:rsid w:val="002F5225"/>
    <w:rsid w:val="00332FD1"/>
    <w:rsid w:val="00340C91"/>
    <w:rsid w:val="00342C25"/>
    <w:rsid w:val="00346D5B"/>
    <w:rsid w:val="00362890"/>
    <w:rsid w:val="00372A01"/>
    <w:rsid w:val="00373401"/>
    <w:rsid w:val="00390847"/>
    <w:rsid w:val="00396F5C"/>
    <w:rsid w:val="003C1029"/>
    <w:rsid w:val="003F4907"/>
    <w:rsid w:val="003F5DC9"/>
    <w:rsid w:val="00421B5A"/>
    <w:rsid w:val="00426994"/>
    <w:rsid w:val="00430F22"/>
    <w:rsid w:val="0043259B"/>
    <w:rsid w:val="00440427"/>
    <w:rsid w:val="00446B32"/>
    <w:rsid w:val="0045187F"/>
    <w:rsid w:val="0047703B"/>
    <w:rsid w:val="00491089"/>
    <w:rsid w:val="00496315"/>
    <w:rsid w:val="004C3F45"/>
    <w:rsid w:val="004E0AF1"/>
    <w:rsid w:val="004E5A87"/>
    <w:rsid w:val="004F13CF"/>
    <w:rsid w:val="004F29E3"/>
    <w:rsid w:val="0052490D"/>
    <w:rsid w:val="00524960"/>
    <w:rsid w:val="00526622"/>
    <w:rsid w:val="00561396"/>
    <w:rsid w:val="00575761"/>
    <w:rsid w:val="005803BC"/>
    <w:rsid w:val="00581F5E"/>
    <w:rsid w:val="005A349F"/>
    <w:rsid w:val="005B26BC"/>
    <w:rsid w:val="005B4328"/>
    <w:rsid w:val="005C4BD4"/>
    <w:rsid w:val="005D4A7A"/>
    <w:rsid w:val="005E18DE"/>
    <w:rsid w:val="00601491"/>
    <w:rsid w:val="00617C82"/>
    <w:rsid w:val="0063580F"/>
    <w:rsid w:val="00636341"/>
    <w:rsid w:val="00640EC7"/>
    <w:rsid w:val="0064609A"/>
    <w:rsid w:val="006468BC"/>
    <w:rsid w:val="00657FC3"/>
    <w:rsid w:val="00664B3F"/>
    <w:rsid w:val="006E238E"/>
    <w:rsid w:val="0070423B"/>
    <w:rsid w:val="00707D31"/>
    <w:rsid w:val="00711766"/>
    <w:rsid w:val="00726C33"/>
    <w:rsid w:val="00734BD9"/>
    <w:rsid w:val="00745406"/>
    <w:rsid w:val="007459BA"/>
    <w:rsid w:val="0075316B"/>
    <w:rsid w:val="00753F32"/>
    <w:rsid w:val="00767BEC"/>
    <w:rsid w:val="007737D6"/>
    <w:rsid w:val="00774662"/>
    <w:rsid w:val="00777B3C"/>
    <w:rsid w:val="007A4CA2"/>
    <w:rsid w:val="007A5F55"/>
    <w:rsid w:val="007B329B"/>
    <w:rsid w:val="007B3391"/>
    <w:rsid w:val="007C3D51"/>
    <w:rsid w:val="007C61FD"/>
    <w:rsid w:val="007F068E"/>
    <w:rsid w:val="007F57F0"/>
    <w:rsid w:val="007F72BE"/>
    <w:rsid w:val="00804972"/>
    <w:rsid w:val="00843140"/>
    <w:rsid w:val="008466F9"/>
    <w:rsid w:val="00853530"/>
    <w:rsid w:val="00853F08"/>
    <w:rsid w:val="00872944"/>
    <w:rsid w:val="00894F72"/>
    <w:rsid w:val="008A66E1"/>
    <w:rsid w:val="008D049D"/>
    <w:rsid w:val="008E2CBE"/>
    <w:rsid w:val="008F19EA"/>
    <w:rsid w:val="008F6C2D"/>
    <w:rsid w:val="00901075"/>
    <w:rsid w:val="00902C52"/>
    <w:rsid w:val="00907539"/>
    <w:rsid w:val="00934336"/>
    <w:rsid w:val="009478A6"/>
    <w:rsid w:val="009618EF"/>
    <w:rsid w:val="0097695C"/>
    <w:rsid w:val="009A295B"/>
    <w:rsid w:val="009A6500"/>
    <w:rsid w:val="009C0D5C"/>
    <w:rsid w:val="009F64CC"/>
    <w:rsid w:val="00A07225"/>
    <w:rsid w:val="00A14BA4"/>
    <w:rsid w:val="00A15909"/>
    <w:rsid w:val="00A2387E"/>
    <w:rsid w:val="00A25E09"/>
    <w:rsid w:val="00A27F64"/>
    <w:rsid w:val="00A41A26"/>
    <w:rsid w:val="00A41EA9"/>
    <w:rsid w:val="00A464B4"/>
    <w:rsid w:val="00A52538"/>
    <w:rsid w:val="00A55E2D"/>
    <w:rsid w:val="00A64798"/>
    <w:rsid w:val="00A7060B"/>
    <w:rsid w:val="00A73610"/>
    <w:rsid w:val="00A8566E"/>
    <w:rsid w:val="00A9434B"/>
    <w:rsid w:val="00AD2101"/>
    <w:rsid w:val="00AD5418"/>
    <w:rsid w:val="00AE3437"/>
    <w:rsid w:val="00AF1807"/>
    <w:rsid w:val="00B36CAE"/>
    <w:rsid w:val="00B47FD9"/>
    <w:rsid w:val="00B54D19"/>
    <w:rsid w:val="00BA513D"/>
    <w:rsid w:val="00BC0973"/>
    <w:rsid w:val="00BD2868"/>
    <w:rsid w:val="00BE4F9B"/>
    <w:rsid w:val="00BE6127"/>
    <w:rsid w:val="00C010F2"/>
    <w:rsid w:val="00C0185D"/>
    <w:rsid w:val="00C65FD0"/>
    <w:rsid w:val="00C7600E"/>
    <w:rsid w:val="00C844EB"/>
    <w:rsid w:val="00C85D3A"/>
    <w:rsid w:val="00CC057E"/>
    <w:rsid w:val="00CC0B5E"/>
    <w:rsid w:val="00CD73B8"/>
    <w:rsid w:val="00CF0172"/>
    <w:rsid w:val="00D07420"/>
    <w:rsid w:val="00D12CFE"/>
    <w:rsid w:val="00D23C6D"/>
    <w:rsid w:val="00D278F6"/>
    <w:rsid w:val="00D45589"/>
    <w:rsid w:val="00D91C8D"/>
    <w:rsid w:val="00D92F80"/>
    <w:rsid w:val="00DD2132"/>
    <w:rsid w:val="00DF44D2"/>
    <w:rsid w:val="00E31F5C"/>
    <w:rsid w:val="00E3456C"/>
    <w:rsid w:val="00E42A9A"/>
    <w:rsid w:val="00E56089"/>
    <w:rsid w:val="00E612DE"/>
    <w:rsid w:val="00E627AF"/>
    <w:rsid w:val="00E7495D"/>
    <w:rsid w:val="00E813A8"/>
    <w:rsid w:val="00E87E8A"/>
    <w:rsid w:val="00EE5E97"/>
    <w:rsid w:val="00F1499F"/>
    <w:rsid w:val="00F61A07"/>
    <w:rsid w:val="00FA0AA2"/>
    <w:rsid w:val="00FC6B4B"/>
    <w:rsid w:val="00FE610B"/>
    <w:rsid w:val="00FE6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45C56"/>
  <w15:docId w15:val="{00A9F922-E4D2-4D8F-86EB-96C65E0AF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F9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ain numbered paragraph,123 List Paragraph,Numbered Paragraph,References,Numbered List Paragraph,Bullets,List Paragraph (numbered (a)),List Paragraph nowy,Liste 1,List_Paragraph,Multilevel para_II,List Paragraph1,Bullet paras,Bullet,lp1"/>
    <w:basedOn w:val="Normal"/>
    <w:link w:val="ListParagraphChar"/>
    <w:uiPriority w:val="34"/>
    <w:qFormat/>
    <w:rsid w:val="00BE4F9B"/>
    <w:pPr>
      <w:ind w:left="720"/>
      <w:contextualSpacing/>
    </w:pPr>
  </w:style>
  <w:style w:type="character" w:customStyle="1" w:styleId="ListParagraphChar">
    <w:name w:val="List Paragraph Char"/>
    <w:aliases w:val="Main numbered paragraph Char,123 List Paragraph Char,Numbered Paragraph Char,References Char,Numbered List Paragraph Char,Bullets Char,List Paragraph (numbered (a)) Char,List Paragraph nowy Char,Liste 1 Char,List_Paragraph Char"/>
    <w:link w:val="ListParagraph"/>
    <w:uiPriority w:val="34"/>
    <w:qFormat/>
    <w:locked/>
    <w:rsid w:val="00BE4F9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F29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9E3"/>
    <w:rPr>
      <w:rFonts w:ascii="Segoe UI" w:eastAsia="Times New Roman" w:hAnsi="Segoe UI" w:cs="Segoe UI"/>
      <w:sz w:val="18"/>
      <w:szCs w:val="18"/>
      <w:lang w:val="en-US"/>
    </w:rPr>
  </w:style>
  <w:style w:type="paragraph" w:customStyle="1" w:styleId="Default">
    <w:name w:val="Default"/>
    <w:rsid w:val="00601491"/>
    <w:pPr>
      <w:autoSpaceDE w:val="0"/>
      <w:autoSpaceDN w:val="0"/>
      <w:adjustRightInd w:val="0"/>
      <w:spacing w:after="0" w:line="240" w:lineRule="auto"/>
    </w:pPr>
    <w:rPr>
      <w:rFonts w:ascii="Arial" w:eastAsia="Calibri" w:hAnsi="Arial" w:cs="Arial"/>
      <w:color w:val="000000"/>
      <w:sz w:val="24"/>
      <w:szCs w:val="24"/>
      <w:lang w:val="en-US"/>
    </w:rPr>
  </w:style>
  <w:style w:type="paragraph" w:styleId="Header">
    <w:name w:val="header"/>
    <w:basedOn w:val="Normal"/>
    <w:link w:val="HeaderChar"/>
    <w:uiPriority w:val="99"/>
    <w:unhideWhenUsed/>
    <w:rsid w:val="00BE6127"/>
    <w:pPr>
      <w:tabs>
        <w:tab w:val="center" w:pos="4680"/>
        <w:tab w:val="right" w:pos="9360"/>
      </w:tabs>
    </w:pPr>
  </w:style>
  <w:style w:type="character" w:customStyle="1" w:styleId="HeaderChar">
    <w:name w:val="Header Char"/>
    <w:basedOn w:val="DefaultParagraphFont"/>
    <w:link w:val="Header"/>
    <w:uiPriority w:val="99"/>
    <w:rsid w:val="00BE612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E6127"/>
    <w:pPr>
      <w:tabs>
        <w:tab w:val="center" w:pos="4680"/>
        <w:tab w:val="right" w:pos="9360"/>
      </w:tabs>
    </w:pPr>
  </w:style>
  <w:style w:type="character" w:customStyle="1" w:styleId="FooterChar">
    <w:name w:val="Footer Char"/>
    <w:basedOn w:val="DefaultParagraphFont"/>
    <w:link w:val="Footer"/>
    <w:uiPriority w:val="99"/>
    <w:rsid w:val="00BE612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305419">
      <w:bodyDiv w:val="1"/>
      <w:marLeft w:val="0"/>
      <w:marRight w:val="0"/>
      <w:marTop w:val="0"/>
      <w:marBottom w:val="0"/>
      <w:divBdr>
        <w:top w:val="none" w:sz="0" w:space="0" w:color="auto"/>
        <w:left w:val="none" w:sz="0" w:space="0" w:color="auto"/>
        <w:bottom w:val="none" w:sz="0" w:space="0" w:color="auto"/>
        <w:right w:val="none" w:sz="0" w:space="0" w:color="auto"/>
      </w:divBdr>
    </w:div>
    <w:div w:id="1793864306">
      <w:bodyDiv w:val="1"/>
      <w:marLeft w:val="0"/>
      <w:marRight w:val="0"/>
      <w:marTop w:val="0"/>
      <w:marBottom w:val="0"/>
      <w:divBdr>
        <w:top w:val="none" w:sz="0" w:space="0" w:color="auto"/>
        <w:left w:val="none" w:sz="0" w:space="0" w:color="auto"/>
        <w:bottom w:val="none" w:sz="0" w:space="0" w:color="auto"/>
        <w:right w:val="none" w:sz="0" w:space="0" w:color="auto"/>
      </w:divBdr>
    </w:div>
    <w:div w:id="199826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1393</Words>
  <Characters>7945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DraganaD</dc:creator>
  <cp:keywords/>
  <dc:description/>
  <cp:lastModifiedBy>Andjelka Opacic</cp:lastModifiedBy>
  <cp:revision>7</cp:revision>
  <cp:lastPrinted>2022-02-02T09:56:00Z</cp:lastPrinted>
  <dcterms:created xsi:type="dcterms:W3CDTF">2023-06-22T09:35:00Z</dcterms:created>
  <dcterms:modified xsi:type="dcterms:W3CDTF">2023-06-22T10:59:00Z</dcterms:modified>
</cp:coreProperties>
</file>