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63941D" w14:textId="77777777" w:rsidR="00EA2B24" w:rsidRPr="00925921" w:rsidRDefault="00EA2B24" w:rsidP="00CB41F0">
      <w:pPr>
        <w:spacing w:before="240" w:line="276" w:lineRule="auto"/>
        <w:jc w:val="right"/>
        <w:rPr>
          <w:rFonts w:ascii="Times New Roman" w:hAnsi="Times New Roman" w:cs="Times New Roman"/>
          <w:b/>
          <w:sz w:val="24"/>
          <w:szCs w:val="24"/>
        </w:rPr>
      </w:pPr>
    </w:p>
    <w:p w14:paraId="6C35F672" w14:textId="77777777" w:rsidR="00EA2B24" w:rsidRPr="008C1FB2" w:rsidRDefault="00EA2B24" w:rsidP="00CB41F0">
      <w:pPr>
        <w:spacing w:before="240" w:line="276" w:lineRule="auto"/>
        <w:jc w:val="right"/>
        <w:rPr>
          <w:rFonts w:ascii="Times New Roman" w:hAnsi="Times New Roman" w:cs="Times New Roman"/>
          <w:b/>
          <w:sz w:val="24"/>
          <w:szCs w:val="24"/>
          <w:lang w:val="sr-Cyrl-RS"/>
        </w:rPr>
      </w:pPr>
    </w:p>
    <w:p w14:paraId="6D3C726A" w14:textId="77777777" w:rsidR="00EA2B24" w:rsidRPr="00412B28" w:rsidRDefault="00EA2B24" w:rsidP="00CB41F0">
      <w:pPr>
        <w:spacing w:before="240" w:line="276" w:lineRule="auto"/>
        <w:jc w:val="right"/>
        <w:rPr>
          <w:rFonts w:ascii="Times New Roman" w:hAnsi="Times New Roman" w:cs="Times New Roman"/>
          <w:b/>
          <w:sz w:val="24"/>
          <w:szCs w:val="24"/>
        </w:rPr>
      </w:pPr>
      <w:r w:rsidRPr="008C1FB2">
        <w:rPr>
          <w:rFonts w:ascii="Times New Roman" w:hAnsi="Times New Roman" w:cs="Times New Roman"/>
          <w:b/>
          <w:sz w:val="24"/>
          <w:szCs w:val="24"/>
          <w:lang w:val="sr-Cyrl-RS"/>
        </w:rPr>
        <w:t xml:space="preserve"> </w:t>
      </w:r>
      <w:r w:rsidRPr="00412B28">
        <w:rPr>
          <w:rFonts w:ascii="Times New Roman" w:hAnsi="Times New Roman" w:cs="Times New Roman"/>
          <w:b/>
          <w:sz w:val="24"/>
          <w:szCs w:val="24"/>
          <w:lang w:val="sr-Cyrl-RS"/>
        </w:rPr>
        <w:t>02,</w:t>
      </w:r>
      <w:r w:rsidRPr="00412B28">
        <w:rPr>
          <w:rFonts w:ascii="Times New Roman" w:hAnsi="Times New Roman" w:cs="Times New Roman"/>
          <w:b/>
          <w:sz w:val="24"/>
          <w:szCs w:val="24"/>
        </w:rPr>
        <w:t>PRILOG 1:</w:t>
      </w:r>
    </w:p>
    <w:tbl>
      <w:tblPr>
        <w:tblpPr w:leftFromText="181" w:rightFromText="181" w:vertAnchor="text" w:horzAnchor="margin" w:tblpY="177"/>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shd w:val="clear" w:color="auto" w:fill="C6D9F1" w:themeFill="text2" w:themeFillTint="33"/>
        <w:tblLook w:val="01E0" w:firstRow="1" w:lastRow="1" w:firstColumn="1" w:lastColumn="1" w:noHBand="0" w:noVBand="0"/>
      </w:tblPr>
      <w:tblGrid>
        <w:gridCol w:w="1095"/>
        <w:gridCol w:w="942"/>
        <w:gridCol w:w="2359"/>
        <w:gridCol w:w="1407"/>
        <w:gridCol w:w="1356"/>
        <w:gridCol w:w="2235"/>
      </w:tblGrid>
      <w:tr w:rsidR="00EA2B24" w:rsidRPr="00412B28" w14:paraId="1A27FF59" w14:textId="77777777" w:rsidTr="00D41708">
        <w:tc>
          <w:tcPr>
            <w:tcW w:w="9622" w:type="dxa"/>
            <w:gridSpan w:val="6"/>
            <w:shd w:val="clear" w:color="auto" w:fill="C6D9F1" w:themeFill="text2" w:themeFillTint="33"/>
          </w:tcPr>
          <w:p w14:paraId="42FE4837" w14:textId="77777777" w:rsidR="00EA2B24" w:rsidRPr="00412B28" w:rsidRDefault="00EA2B24" w:rsidP="00D41708">
            <w:pPr>
              <w:spacing w:before="60" w:after="60"/>
              <w:ind w:firstLine="720"/>
              <w:jc w:val="center"/>
              <w:rPr>
                <w:rFonts w:ascii="Times New Roman" w:hAnsi="Times New Roman"/>
                <w:b/>
                <w:sz w:val="24"/>
                <w:szCs w:val="24"/>
                <w:lang w:val="sr-Cyrl-RS"/>
              </w:rPr>
            </w:pPr>
            <w:r w:rsidRPr="00412B28">
              <w:rPr>
                <w:rFonts w:ascii="Times New Roman" w:hAnsi="Times New Roman"/>
                <w:sz w:val="24"/>
                <w:szCs w:val="24"/>
              </w:rPr>
              <w:t xml:space="preserve"> </w:t>
            </w:r>
            <w:r w:rsidRPr="00412B28">
              <w:rPr>
                <w:rFonts w:ascii="Times New Roman" w:hAnsi="Times New Roman"/>
                <w:b/>
                <w:sz w:val="24"/>
                <w:szCs w:val="24"/>
              </w:rPr>
              <w:t>Test uticaja</w:t>
            </w:r>
            <w:r w:rsidRPr="00412B28">
              <w:rPr>
                <w:rFonts w:ascii="Times New Roman" w:hAnsi="Times New Roman"/>
                <w:b/>
                <w:sz w:val="24"/>
                <w:szCs w:val="24"/>
                <w:lang w:val="sr-Cyrl-RS"/>
              </w:rPr>
              <w:t xml:space="preserve">  </w:t>
            </w:r>
          </w:p>
          <w:p w14:paraId="30253BA0" w14:textId="77777777" w:rsidR="00EA2B24" w:rsidRPr="00412B28" w:rsidRDefault="00EA2B24" w:rsidP="00D41708">
            <w:pPr>
              <w:spacing w:before="60" w:after="60"/>
              <w:ind w:firstLine="720"/>
              <w:jc w:val="center"/>
              <w:rPr>
                <w:rFonts w:ascii="Times New Roman" w:hAnsi="Times New Roman"/>
                <w:sz w:val="24"/>
                <w:szCs w:val="24"/>
              </w:rPr>
            </w:pPr>
            <w:r w:rsidRPr="00412B28">
              <w:rPr>
                <w:rFonts w:ascii="Times New Roman" w:hAnsi="Times New Roman"/>
                <w:sz w:val="24"/>
                <w:szCs w:val="24"/>
              </w:rPr>
              <w:t>Član 7.</w:t>
            </w:r>
            <w:r w:rsidRPr="00412B28">
              <w:rPr>
                <w:rFonts w:ascii="Times New Roman" w:hAnsi="Times New Roman"/>
                <w:sz w:val="24"/>
                <w:szCs w:val="24"/>
                <w:lang w:val="sr-Cyrl-RS"/>
              </w:rPr>
              <w:t xml:space="preserve"> (uredbe)</w:t>
            </w:r>
            <w:r w:rsidRPr="00412B28">
              <w:rPr>
                <w:rFonts w:ascii="Times New Roman" w:hAnsi="Times New Roman"/>
                <w:b/>
                <w:sz w:val="24"/>
                <w:szCs w:val="24"/>
                <w:lang w:val="sr-Cyrl-RS"/>
              </w:rPr>
              <w:t xml:space="preserve">  </w:t>
            </w:r>
            <w:r w:rsidRPr="00412B28">
              <w:rPr>
                <w:rFonts w:ascii="Times New Roman" w:hAnsi="Times New Roman"/>
                <w:b/>
                <w:sz w:val="24"/>
                <w:szCs w:val="24"/>
              </w:rPr>
              <w:t xml:space="preserve"> </w:t>
            </w:r>
          </w:p>
          <w:p w14:paraId="1F6D3435" w14:textId="77777777" w:rsidR="00EA2B24" w:rsidRPr="00412B28" w:rsidRDefault="00EA2B24" w:rsidP="00D41708">
            <w:pPr>
              <w:spacing w:before="60" w:after="60"/>
              <w:ind w:firstLine="720"/>
              <w:jc w:val="center"/>
              <w:rPr>
                <w:rFonts w:ascii="Times New Roman" w:hAnsi="Times New Roman"/>
                <w:sz w:val="24"/>
                <w:szCs w:val="24"/>
              </w:rPr>
            </w:pPr>
            <w:r w:rsidRPr="00412B28">
              <w:rPr>
                <w:rFonts w:ascii="Times New Roman" w:hAnsi="Times New Roman"/>
                <w:sz w:val="24"/>
                <w:szCs w:val="24"/>
              </w:rPr>
              <w:t>Odluka o potrebi sprovođenja analize efekata dokumenata javnih politika</w:t>
            </w:r>
            <w:r w:rsidRPr="00412B28" w:rsidDel="00F82254">
              <w:rPr>
                <w:rFonts w:ascii="Times New Roman" w:hAnsi="Times New Roman"/>
                <w:sz w:val="24"/>
                <w:szCs w:val="24"/>
              </w:rPr>
              <w:t xml:space="preserve"> </w:t>
            </w:r>
            <w:r w:rsidRPr="00412B28">
              <w:rPr>
                <w:rFonts w:ascii="Times New Roman" w:hAnsi="Times New Roman"/>
                <w:sz w:val="24"/>
                <w:szCs w:val="24"/>
              </w:rPr>
              <w:t xml:space="preserve">i propisa </w:t>
            </w:r>
          </w:p>
          <w:p w14:paraId="3B7888E1" w14:textId="77777777" w:rsidR="00EA2B24" w:rsidRPr="00412B28" w:rsidRDefault="00EA2B24" w:rsidP="00D41708">
            <w:pPr>
              <w:spacing w:before="60" w:after="60"/>
              <w:ind w:firstLine="720"/>
              <w:jc w:val="center"/>
              <w:rPr>
                <w:rFonts w:ascii="Times New Roman" w:hAnsi="Times New Roman"/>
                <w:sz w:val="24"/>
                <w:szCs w:val="24"/>
                <w:lang w:val="sr-Cyrl-RS"/>
              </w:rPr>
            </w:pPr>
          </w:p>
        </w:tc>
      </w:tr>
      <w:tr w:rsidR="00EA2B24" w:rsidRPr="00412B28" w14:paraId="36E0DB1B" w14:textId="77777777" w:rsidTr="00D41708">
        <w:tc>
          <w:tcPr>
            <w:tcW w:w="4503" w:type="dxa"/>
            <w:gridSpan w:val="3"/>
            <w:shd w:val="clear" w:color="auto" w:fill="C6D9F1" w:themeFill="text2" w:themeFillTint="33"/>
          </w:tcPr>
          <w:p w14:paraId="0B7BCA7C" w14:textId="77777777" w:rsidR="00EA2B24" w:rsidRPr="00412B28" w:rsidRDefault="00EA2B24" w:rsidP="00D41708">
            <w:pPr>
              <w:pStyle w:val="Caption"/>
              <w:spacing w:before="240" w:after="0" w:line="276" w:lineRule="auto"/>
              <w:jc w:val="center"/>
              <w:rPr>
                <w:rFonts w:ascii="Times New Roman" w:hAnsi="Times New Roman"/>
                <w:color w:val="auto"/>
                <w:sz w:val="24"/>
                <w:szCs w:val="24"/>
              </w:rPr>
            </w:pPr>
            <w:r w:rsidRPr="00412B28">
              <w:rPr>
                <w:rFonts w:ascii="Times New Roman" w:hAnsi="Times New Roman"/>
                <w:color w:val="auto"/>
                <w:sz w:val="24"/>
                <w:szCs w:val="24"/>
              </w:rPr>
              <w:t>Test nivoa uticaja javne politike</w:t>
            </w:r>
          </w:p>
        </w:tc>
        <w:tc>
          <w:tcPr>
            <w:tcW w:w="5119" w:type="dxa"/>
            <w:gridSpan w:val="3"/>
            <w:shd w:val="clear" w:color="auto" w:fill="C6D9F1" w:themeFill="text2" w:themeFillTint="33"/>
          </w:tcPr>
          <w:p w14:paraId="27139FA9" w14:textId="77777777" w:rsidR="00EA2B24" w:rsidRPr="00412B28" w:rsidRDefault="00EA2B24" w:rsidP="00D41708">
            <w:pPr>
              <w:pStyle w:val="Caption"/>
              <w:spacing w:before="240" w:after="0" w:line="276" w:lineRule="auto"/>
              <w:jc w:val="center"/>
              <w:rPr>
                <w:rFonts w:ascii="Times New Roman" w:hAnsi="Times New Roman"/>
                <w:color w:val="auto"/>
                <w:sz w:val="24"/>
                <w:szCs w:val="24"/>
              </w:rPr>
            </w:pPr>
            <w:r w:rsidRPr="00412B28">
              <w:rPr>
                <w:rFonts w:ascii="Times New Roman" w:hAnsi="Times New Roman"/>
                <w:color w:val="auto"/>
                <w:sz w:val="24"/>
                <w:szCs w:val="24"/>
              </w:rPr>
              <w:t>Test nivoa prioriteta javne politike</w:t>
            </w:r>
          </w:p>
        </w:tc>
      </w:tr>
      <w:tr w:rsidR="00EA2B24" w:rsidRPr="00412B28" w14:paraId="0E7202B3" w14:textId="77777777" w:rsidTr="00D41708">
        <w:tc>
          <w:tcPr>
            <w:tcW w:w="1101" w:type="dxa"/>
            <w:shd w:val="clear" w:color="auto" w:fill="C6D9F1" w:themeFill="text2" w:themeFillTint="33"/>
          </w:tcPr>
          <w:p w14:paraId="6B4263F0"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Visok uticaj</w:t>
            </w:r>
          </w:p>
        </w:tc>
        <w:tc>
          <w:tcPr>
            <w:tcW w:w="3402" w:type="dxa"/>
            <w:gridSpan w:val="2"/>
            <w:shd w:val="clear" w:color="auto" w:fill="C6D9F1" w:themeFill="text2" w:themeFillTint="33"/>
          </w:tcPr>
          <w:p w14:paraId="6D00D2D0" w14:textId="77777777" w:rsidR="00EA2B24" w:rsidRPr="00412B28" w:rsidRDefault="00EA2B24" w:rsidP="00D41708">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Vrlo složena, politički osetljiva ili sa značajnim finansijskim troškovima</w:t>
            </w:r>
          </w:p>
        </w:tc>
        <w:tc>
          <w:tcPr>
            <w:tcW w:w="1417" w:type="dxa"/>
            <w:shd w:val="clear" w:color="auto" w:fill="C6D9F1" w:themeFill="text2" w:themeFillTint="33"/>
          </w:tcPr>
          <w:p w14:paraId="53A473AA"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Visok prioritet</w:t>
            </w:r>
          </w:p>
        </w:tc>
        <w:tc>
          <w:tcPr>
            <w:tcW w:w="3702" w:type="dxa"/>
            <w:gridSpan w:val="2"/>
            <w:shd w:val="clear" w:color="auto" w:fill="C6D9F1" w:themeFill="text2" w:themeFillTint="33"/>
          </w:tcPr>
          <w:p w14:paraId="66F63592" w14:textId="77777777" w:rsidR="00EA2B24" w:rsidRPr="00412B28" w:rsidRDefault="00EA2B24" w:rsidP="00D41708">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Mere Vlade odnosno jedinice lokalne samouprave visokog političkog prioriteta, sa značajnim političkim, fiskalnim ili pravnim posledicama</w:t>
            </w:r>
          </w:p>
        </w:tc>
      </w:tr>
      <w:tr w:rsidR="00EA2B24" w:rsidRPr="00412B28" w14:paraId="022328F2" w14:textId="77777777" w:rsidTr="00D41708">
        <w:tc>
          <w:tcPr>
            <w:tcW w:w="1101" w:type="dxa"/>
            <w:shd w:val="clear" w:color="auto" w:fill="C6D9F1" w:themeFill="text2" w:themeFillTint="33"/>
          </w:tcPr>
          <w:p w14:paraId="46DE4CA4"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Srednji uticaj</w:t>
            </w:r>
          </w:p>
        </w:tc>
        <w:tc>
          <w:tcPr>
            <w:tcW w:w="3402" w:type="dxa"/>
            <w:gridSpan w:val="2"/>
            <w:shd w:val="clear" w:color="auto" w:fill="C6D9F1" w:themeFill="text2" w:themeFillTint="33"/>
          </w:tcPr>
          <w:p w14:paraId="592F1195" w14:textId="77777777" w:rsidR="00EA2B24" w:rsidRPr="00412B28" w:rsidRDefault="00EA2B24" w:rsidP="00D41708">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Donekle složena, politički osetljiva ili  sa značajnim finansijskim troškovima</w:t>
            </w:r>
          </w:p>
        </w:tc>
        <w:tc>
          <w:tcPr>
            <w:tcW w:w="1417" w:type="dxa"/>
            <w:shd w:val="clear" w:color="auto" w:fill="C6D9F1" w:themeFill="text2" w:themeFillTint="33"/>
          </w:tcPr>
          <w:p w14:paraId="7DC27171"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 xml:space="preserve">Srednji prioritet </w:t>
            </w:r>
          </w:p>
        </w:tc>
        <w:tc>
          <w:tcPr>
            <w:tcW w:w="3702" w:type="dxa"/>
            <w:gridSpan w:val="2"/>
            <w:shd w:val="clear" w:color="auto" w:fill="C6D9F1" w:themeFill="text2" w:themeFillTint="33"/>
          </w:tcPr>
          <w:p w14:paraId="278706F8" w14:textId="77777777" w:rsidR="00EA2B24" w:rsidRPr="00412B28" w:rsidRDefault="00EA2B24" w:rsidP="00D41708">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Mere Vlade odnosno jedinice lokalne samouprave sa manjim  političkim, fiskalnim ili pravnim posledicama</w:t>
            </w:r>
          </w:p>
        </w:tc>
      </w:tr>
      <w:tr w:rsidR="00EA2B24" w:rsidRPr="00412B28" w14:paraId="1E9052EE" w14:textId="77777777" w:rsidTr="00D41708">
        <w:tc>
          <w:tcPr>
            <w:tcW w:w="1101" w:type="dxa"/>
            <w:shd w:val="clear" w:color="auto" w:fill="C6D9F1" w:themeFill="text2" w:themeFillTint="33"/>
          </w:tcPr>
          <w:p w14:paraId="19E67F05"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Nizak uticaj</w:t>
            </w:r>
          </w:p>
        </w:tc>
        <w:tc>
          <w:tcPr>
            <w:tcW w:w="3402" w:type="dxa"/>
            <w:gridSpan w:val="2"/>
            <w:shd w:val="clear" w:color="auto" w:fill="C6D9F1" w:themeFill="text2" w:themeFillTint="33"/>
          </w:tcPr>
          <w:p w14:paraId="3AA391A6" w14:textId="77777777" w:rsidR="00EA2B24" w:rsidRPr="00412B28" w:rsidRDefault="00EA2B24" w:rsidP="00D41708">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 xml:space="preserve">Vrlo jasna,  njeno sprovođenje prouzrokuje minimalane troškove </w:t>
            </w:r>
          </w:p>
        </w:tc>
        <w:tc>
          <w:tcPr>
            <w:tcW w:w="1417" w:type="dxa"/>
            <w:shd w:val="clear" w:color="auto" w:fill="C6D9F1" w:themeFill="text2" w:themeFillTint="33"/>
          </w:tcPr>
          <w:p w14:paraId="30176BF1"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Nizak prioritet</w:t>
            </w:r>
          </w:p>
        </w:tc>
        <w:tc>
          <w:tcPr>
            <w:tcW w:w="3702" w:type="dxa"/>
            <w:gridSpan w:val="2"/>
            <w:shd w:val="clear" w:color="auto" w:fill="C6D9F1" w:themeFill="text2" w:themeFillTint="33"/>
          </w:tcPr>
          <w:p w14:paraId="0D94BFD7" w14:textId="77777777" w:rsidR="00EA2B24" w:rsidRPr="00412B28" w:rsidRDefault="00EA2B24" w:rsidP="00D41708">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 xml:space="preserve">Mere ministarstva ili drugih organa državne uprave, odnosno jedinica lokalne samouprave </w:t>
            </w:r>
            <w:r w:rsidRPr="00412B28">
              <w:t xml:space="preserve"> </w:t>
            </w:r>
            <w:r w:rsidRPr="00412B28">
              <w:rPr>
                <w:rFonts w:ascii="Times New Roman" w:hAnsi="Times New Roman" w:cs="Times New Roman"/>
                <w:sz w:val="24"/>
                <w:szCs w:val="24"/>
              </w:rPr>
              <w:t>koje će, u slučaju da ne budu realizovane, izazvati minimalne štetne posledice</w:t>
            </w:r>
          </w:p>
        </w:tc>
      </w:tr>
      <w:tr w:rsidR="00EA2B24" w:rsidRPr="00412B28" w14:paraId="65453E85" w14:textId="77777777" w:rsidTr="00D41708">
        <w:tc>
          <w:tcPr>
            <w:tcW w:w="9622" w:type="dxa"/>
            <w:gridSpan w:val="6"/>
            <w:shd w:val="clear" w:color="auto" w:fill="C6D9F1" w:themeFill="text2" w:themeFillTint="33"/>
          </w:tcPr>
          <w:p w14:paraId="21CA344D" w14:textId="77777777" w:rsidR="00EA2B24" w:rsidRPr="00412B28" w:rsidRDefault="00EA2B24" w:rsidP="00D41708">
            <w:pPr>
              <w:pStyle w:val="Caption"/>
              <w:spacing w:before="240" w:after="0" w:line="276" w:lineRule="auto"/>
              <w:jc w:val="center"/>
              <w:rPr>
                <w:rFonts w:ascii="Times New Roman" w:hAnsi="Times New Roman"/>
                <w:color w:val="auto"/>
                <w:sz w:val="24"/>
                <w:szCs w:val="24"/>
              </w:rPr>
            </w:pPr>
            <w:r w:rsidRPr="00412B28">
              <w:rPr>
                <w:rFonts w:ascii="Times New Roman" w:hAnsi="Times New Roman"/>
                <w:color w:val="auto"/>
                <w:sz w:val="24"/>
                <w:szCs w:val="24"/>
              </w:rPr>
              <w:t>Utvrđivanje potrebe za sprovođenje Analize efekata (u daljem tekstu: AE)</w:t>
            </w:r>
          </w:p>
        </w:tc>
      </w:tr>
      <w:tr w:rsidR="00EA2B24" w:rsidRPr="00412B28" w14:paraId="0D13C82C" w14:textId="77777777" w:rsidTr="00D41708">
        <w:tc>
          <w:tcPr>
            <w:tcW w:w="2093" w:type="dxa"/>
            <w:gridSpan w:val="2"/>
            <w:shd w:val="clear" w:color="auto" w:fill="C6D9F1" w:themeFill="text2" w:themeFillTint="33"/>
          </w:tcPr>
          <w:p w14:paraId="2C7C5846"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p>
        </w:tc>
        <w:tc>
          <w:tcPr>
            <w:tcW w:w="2410" w:type="dxa"/>
            <w:shd w:val="clear" w:color="auto" w:fill="C6D9F1" w:themeFill="text2" w:themeFillTint="33"/>
          </w:tcPr>
          <w:p w14:paraId="395334BF"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Visok prioritet</w:t>
            </w:r>
          </w:p>
        </w:tc>
        <w:tc>
          <w:tcPr>
            <w:tcW w:w="2835" w:type="dxa"/>
            <w:gridSpan w:val="2"/>
            <w:shd w:val="clear" w:color="auto" w:fill="C6D9F1" w:themeFill="text2" w:themeFillTint="33"/>
          </w:tcPr>
          <w:p w14:paraId="481B4985"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Srednji prioritet</w:t>
            </w:r>
          </w:p>
        </w:tc>
        <w:tc>
          <w:tcPr>
            <w:tcW w:w="2284" w:type="dxa"/>
            <w:shd w:val="clear" w:color="auto" w:fill="C6D9F1" w:themeFill="text2" w:themeFillTint="33"/>
          </w:tcPr>
          <w:p w14:paraId="59E04DC1"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Nizak prioritet</w:t>
            </w:r>
          </w:p>
        </w:tc>
      </w:tr>
      <w:tr w:rsidR="00EA2B24" w:rsidRPr="00412B28" w14:paraId="7FD91289" w14:textId="77777777" w:rsidTr="00D41708">
        <w:tc>
          <w:tcPr>
            <w:tcW w:w="2093" w:type="dxa"/>
            <w:gridSpan w:val="2"/>
            <w:shd w:val="clear" w:color="auto" w:fill="C6D9F1" w:themeFill="text2" w:themeFillTint="33"/>
          </w:tcPr>
          <w:p w14:paraId="4AF2F868"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Visok uticaj</w:t>
            </w:r>
          </w:p>
        </w:tc>
        <w:tc>
          <w:tcPr>
            <w:tcW w:w="2410" w:type="dxa"/>
            <w:shd w:val="clear" w:color="auto" w:fill="C6D9F1" w:themeFill="text2" w:themeFillTint="33"/>
          </w:tcPr>
          <w:p w14:paraId="66307F00" w14:textId="77777777" w:rsidR="00EA2B24" w:rsidRPr="00412B28" w:rsidRDefault="00EA2B24" w:rsidP="00D41708">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AE potrebna</w:t>
            </w:r>
          </w:p>
        </w:tc>
        <w:tc>
          <w:tcPr>
            <w:tcW w:w="2835" w:type="dxa"/>
            <w:gridSpan w:val="2"/>
            <w:shd w:val="clear" w:color="auto" w:fill="C6D9F1" w:themeFill="text2" w:themeFillTint="33"/>
          </w:tcPr>
          <w:p w14:paraId="6D851F4E"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sz w:val="24"/>
                <w:szCs w:val="24"/>
              </w:rPr>
              <w:t>AE potrebna</w:t>
            </w:r>
          </w:p>
        </w:tc>
        <w:tc>
          <w:tcPr>
            <w:tcW w:w="2284" w:type="dxa"/>
            <w:shd w:val="clear" w:color="auto" w:fill="C6D9F1" w:themeFill="text2" w:themeFillTint="33"/>
          </w:tcPr>
          <w:p w14:paraId="270EDA4A" w14:textId="77777777" w:rsidR="00EA2B24" w:rsidRPr="00412B28" w:rsidRDefault="00EA2B24" w:rsidP="00D41708">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AE potrebna</w:t>
            </w:r>
          </w:p>
        </w:tc>
      </w:tr>
      <w:tr w:rsidR="00EA2B24" w:rsidRPr="00412B28" w14:paraId="31F4E2B5" w14:textId="77777777" w:rsidTr="00D41708">
        <w:tc>
          <w:tcPr>
            <w:tcW w:w="2093" w:type="dxa"/>
            <w:gridSpan w:val="2"/>
            <w:shd w:val="clear" w:color="auto" w:fill="C6D9F1" w:themeFill="text2" w:themeFillTint="33"/>
          </w:tcPr>
          <w:p w14:paraId="45A900D0"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Srednji uticaj</w:t>
            </w:r>
          </w:p>
        </w:tc>
        <w:tc>
          <w:tcPr>
            <w:tcW w:w="2410" w:type="dxa"/>
            <w:shd w:val="clear" w:color="auto" w:fill="C6D9F1" w:themeFill="text2" w:themeFillTint="33"/>
          </w:tcPr>
          <w:p w14:paraId="7F910CE4" w14:textId="77777777" w:rsidR="00EA2B24" w:rsidRPr="00412B28" w:rsidRDefault="00EA2B24" w:rsidP="00D41708">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AE potrebna</w:t>
            </w:r>
          </w:p>
        </w:tc>
        <w:tc>
          <w:tcPr>
            <w:tcW w:w="2835" w:type="dxa"/>
            <w:gridSpan w:val="2"/>
            <w:shd w:val="clear" w:color="auto" w:fill="C6D9F1" w:themeFill="text2" w:themeFillTint="33"/>
          </w:tcPr>
          <w:p w14:paraId="7AA88527"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sz w:val="24"/>
                <w:szCs w:val="24"/>
              </w:rPr>
              <w:t>AE potrebna</w:t>
            </w:r>
          </w:p>
        </w:tc>
        <w:tc>
          <w:tcPr>
            <w:tcW w:w="2284" w:type="dxa"/>
            <w:shd w:val="clear" w:color="auto" w:fill="C6D9F1" w:themeFill="text2" w:themeFillTint="33"/>
          </w:tcPr>
          <w:p w14:paraId="2E0932F6" w14:textId="77777777" w:rsidR="00EA2B24" w:rsidRPr="00412B28" w:rsidRDefault="00EA2B24" w:rsidP="00D41708">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AE potrebna</w:t>
            </w:r>
          </w:p>
        </w:tc>
      </w:tr>
      <w:tr w:rsidR="00EA2B24" w:rsidRPr="00412B28" w14:paraId="21769947" w14:textId="77777777" w:rsidTr="00D41708">
        <w:trPr>
          <w:trHeight w:val="756"/>
        </w:trPr>
        <w:tc>
          <w:tcPr>
            <w:tcW w:w="2093" w:type="dxa"/>
            <w:gridSpan w:val="2"/>
            <w:shd w:val="clear" w:color="auto" w:fill="C6D9F1" w:themeFill="text2" w:themeFillTint="33"/>
          </w:tcPr>
          <w:p w14:paraId="1AA9FD58" w14:textId="77777777" w:rsidR="00EA2B24" w:rsidRPr="00412B28" w:rsidRDefault="00EA2B24" w:rsidP="00D41708">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lastRenderedPageBreak/>
              <w:t>Nizak uticaj</w:t>
            </w:r>
          </w:p>
        </w:tc>
        <w:tc>
          <w:tcPr>
            <w:tcW w:w="2410" w:type="dxa"/>
            <w:shd w:val="clear" w:color="auto" w:fill="C6D9F1" w:themeFill="text2" w:themeFillTint="33"/>
          </w:tcPr>
          <w:p w14:paraId="0668C64E" w14:textId="77777777" w:rsidR="00EA2B24" w:rsidRPr="00412B28" w:rsidRDefault="00EA2B24" w:rsidP="00D41708">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AE preporučena</w:t>
            </w:r>
          </w:p>
        </w:tc>
        <w:tc>
          <w:tcPr>
            <w:tcW w:w="2835" w:type="dxa"/>
            <w:gridSpan w:val="2"/>
            <w:shd w:val="clear" w:color="auto" w:fill="C6D9F1" w:themeFill="text2" w:themeFillTint="33"/>
          </w:tcPr>
          <w:p w14:paraId="7C8C4DB0" w14:textId="77777777" w:rsidR="00EA2B24" w:rsidRPr="00412B28" w:rsidRDefault="00EA2B24" w:rsidP="00D41708">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sz w:val="24"/>
                <w:szCs w:val="24"/>
              </w:rPr>
              <w:t>AE preporučena</w:t>
            </w:r>
          </w:p>
        </w:tc>
        <w:tc>
          <w:tcPr>
            <w:tcW w:w="2284" w:type="dxa"/>
            <w:shd w:val="clear" w:color="auto" w:fill="C6D9F1" w:themeFill="text2" w:themeFillTint="33"/>
          </w:tcPr>
          <w:p w14:paraId="2D8D5159" w14:textId="77777777" w:rsidR="00EA2B24" w:rsidRPr="00412B28" w:rsidRDefault="00EA2B24" w:rsidP="00D41708">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AE nije potrebna</w:t>
            </w:r>
          </w:p>
        </w:tc>
      </w:tr>
    </w:tbl>
    <w:p w14:paraId="5DE2F961" w14:textId="77777777" w:rsidR="00EA2B24" w:rsidRPr="00412B28" w:rsidRDefault="00EA2B24" w:rsidP="00CB41F0">
      <w:pPr>
        <w:spacing w:after="200" w:line="276" w:lineRule="auto"/>
        <w:rPr>
          <w:rFonts w:ascii="Times New Roman" w:hAnsi="Times New Roman" w:cs="Times New Roman"/>
          <w:b/>
          <w:sz w:val="24"/>
          <w:szCs w:val="24"/>
          <w:u w:val="single"/>
        </w:rPr>
      </w:pPr>
    </w:p>
    <w:p w14:paraId="6785EE1B" w14:textId="77777777" w:rsidR="00EA2B24" w:rsidRPr="00412B28" w:rsidRDefault="00EA2B24" w:rsidP="00CB41F0">
      <w:pPr>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t>PRILOG 2:</w:t>
      </w:r>
    </w:p>
    <w:p w14:paraId="180C62EB" w14:textId="77777777" w:rsidR="00EA2B24" w:rsidRPr="00412B28" w:rsidRDefault="00EA2B24" w:rsidP="00CB41F0">
      <w:pPr>
        <w:shd w:val="clear" w:color="auto" w:fill="C6D9F1" w:themeFill="text2" w:themeFillTint="33"/>
        <w:spacing w:after="0" w:line="240" w:lineRule="auto"/>
        <w:jc w:val="center"/>
        <w:rPr>
          <w:rFonts w:ascii="Times New Roman" w:hAnsi="Times New Roman" w:cs="Times New Roman"/>
          <w:b/>
          <w:sz w:val="24"/>
          <w:szCs w:val="24"/>
        </w:rPr>
      </w:pPr>
      <w:r w:rsidRPr="00412B28">
        <w:rPr>
          <w:rFonts w:ascii="Times New Roman" w:hAnsi="Times New Roman" w:cs="Times New Roman"/>
          <w:b/>
          <w:sz w:val="24"/>
          <w:szCs w:val="24"/>
        </w:rPr>
        <w:t xml:space="preserve">Ključna pitanja za analizu postojećeg stanja i </w:t>
      </w:r>
    </w:p>
    <w:p w14:paraId="2E3B946F" w14:textId="77777777" w:rsidR="00EA2B24" w:rsidRPr="00412B28" w:rsidRDefault="00EA2B24" w:rsidP="00CB41F0">
      <w:pPr>
        <w:shd w:val="clear" w:color="auto" w:fill="C6D9F1" w:themeFill="text2" w:themeFillTint="33"/>
        <w:spacing w:after="0" w:line="240" w:lineRule="auto"/>
        <w:jc w:val="center"/>
        <w:rPr>
          <w:rFonts w:ascii="Times New Roman" w:hAnsi="Times New Roman" w:cs="Times New Roman"/>
          <w:b/>
          <w:sz w:val="24"/>
          <w:szCs w:val="24"/>
        </w:rPr>
      </w:pPr>
      <w:r w:rsidRPr="00412B28">
        <w:rPr>
          <w:rFonts w:ascii="Times New Roman" w:hAnsi="Times New Roman" w:cs="Times New Roman"/>
          <w:b/>
          <w:sz w:val="24"/>
          <w:szCs w:val="24"/>
        </w:rPr>
        <w:t>pravilno definisanje promene koja se predlaže</w:t>
      </w:r>
    </w:p>
    <w:p w14:paraId="3EBA2F9B" w14:textId="77777777" w:rsidR="00EA2B24" w:rsidRPr="00412B28" w:rsidRDefault="00EA2B24" w:rsidP="00CB41F0">
      <w:pPr>
        <w:shd w:val="clear" w:color="auto" w:fill="C6D9F1" w:themeFill="text2" w:themeFillTint="33"/>
        <w:spacing w:after="0" w:line="240" w:lineRule="auto"/>
        <w:jc w:val="center"/>
        <w:rPr>
          <w:rFonts w:ascii="Times New Roman" w:hAnsi="Times New Roman" w:cs="Times New Roman"/>
          <w:b/>
          <w:sz w:val="24"/>
          <w:szCs w:val="24"/>
        </w:rPr>
      </w:pPr>
    </w:p>
    <w:p w14:paraId="07C11984" w14:textId="77777777" w:rsidR="00EA2B24" w:rsidRPr="00412B28" w:rsidRDefault="00EA2B24" w:rsidP="00CB41F0">
      <w:pPr>
        <w:pStyle w:val="ListParagraph"/>
        <w:numPr>
          <w:ilvl w:val="0"/>
          <w:numId w:val="17"/>
        </w:numPr>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Koji pokazatelji se prate u oblasti, koji su razlozi zbog kojih se ovi pokazatelji prate i koje su njihove vrednosti?</w:t>
      </w:r>
    </w:p>
    <w:p w14:paraId="15FC8604" w14:textId="77777777" w:rsidR="00EA2B24" w:rsidRPr="00412B28" w:rsidRDefault="00EA2B24" w:rsidP="00CB41F0">
      <w:pPr>
        <w:pStyle w:val="ListParagraph"/>
        <w:shd w:val="clear" w:color="auto" w:fill="C6D9F1" w:themeFill="text2" w:themeFillTint="33"/>
        <w:spacing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lang w:val="sr-Cyrl-RS"/>
        </w:rPr>
        <w:t>Pokazatelji, koji su predmet praćenja, koji si direktno i indirektno povezani sa ključnim izmenama i dopunama zakona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a čije vrednosti opisuju trenutno stanje u oblasti građevinarstva, saobraćaja i infrastrukture su</w:t>
      </w:r>
      <w:r w:rsidRPr="00412B28">
        <w:rPr>
          <w:rFonts w:ascii="Times New Roman" w:hAnsi="Times New Roman" w:cs="Times New Roman"/>
          <w:sz w:val="24"/>
          <w:szCs w:val="24"/>
        </w:rPr>
        <w:t>:</w:t>
      </w:r>
    </w:p>
    <w:p w14:paraId="13AE0F9D"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vrednost izvedenih građevinskih radova na teritoriji Republike Srbije</w:t>
      </w:r>
      <w:r w:rsidRPr="00412B28">
        <w:rPr>
          <w:rFonts w:ascii="Times New Roman" w:hAnsi="Times New Roman" w:cs="Times New Roman"/>
          <w:sz w:val="24"/>
          <w:szCs w:val="24"/>
        </w:rPr>
        <w:t xml:space="preserve"> - 581,188,278</w:t>
      </w:r>
      <w:r w:rsidRPr="00412B28">
        <w:rPr>
          <w:rFonts w:ascii="Times New Roman" w:hAnsi="Times New Roman" w:cs="Times New Roman"/>
          <w:sz w:val="24"/>
          <w:szCs w:val="24"/>
          <w:lang w:val="sr-Cyrl-RS"/>
        </w:rPr>
        <w:t>,000</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dinara u 2021. godini. Prema procenama, vrednost izvedenih radova u građevinarstvu u 2022. godini beleži realni pad od 11,8% u odnosu na prethodnu godinu.</w:t>
      </w:r>
    </w:p>
    <w:p w14:paraId="1799AA71"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Kretanje vrednosti izvedenih građevinskih radova na teritoriji Republike Srbije prikazan je na grafiku br.1. i u tabeli br.1.</w:t>
      </w:r>
    </w:p>
    <w:p w14:paraId="7D2C7190"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sz w:val="24"/>
          <w:szCs w:val="24"/>
          <w:lang w:val="sr-Cyrl-RS"/>
        </w:rPr>
      </w:pPr>
    </w:p>
    <w:p w14:paraId="2D0D8A37"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Grafik broj 1.</w:t>
      </w:r>
    </w:p>
    <w:p w14:paraId="7B7C1ED8"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noProof/>
          <w:sz w:val="24"/>
          <w:szCs w:val="24"/>
        </w:rPr>
        <mc:AlternateContent>
          <mc:Choice Requires="wps">
            <w:drawing>
              <wp:anchor distT="0" distB="0" distL="114300" distR="114300" simplePos="0" relativeHeight="251659264" behindDoc="0" locked="0" layoutInCell="1" allowOverlap="1" wp14:anchorId="7D9AB163" wp14:editId="32941814">
                <wp:simplePos x="0" y="0"/>
                <wp:positionH relativeFrom="column">
                  <wp:posOffset>455930</wp:posOffset>
                </wp:positionH>
                <wp:positionV relativeFrom="paragraph">
                  <wp:posOffset>172085</wp:posOffset>
                </wp:positionV>
                <wp:extent cx="5913120" cy="358140"/>
                <wp:effectExtent l="0" t="0" r="0" b="3810"/>
                <wp:wrapNone/>
                <wp:docPr id="2" name="Text Box 2"/>
                <wp:cNvGraphicFramePr/>
                <a:graphic xmlns:a="http://schemas.openxmlformats.org/drawingml/2006/main">
                  <a:graphicData uri="http://schemas.microsoft.com/office/word/2010/wordprocessingShape">
                    <wps:wsp>
                      <wps:cNvSpPr txBox="1"/>
                      <wps:spPr>
                        <a:xfrm>
                          <a:off x="0" y="0"/>
                          <a:ext cx="5913120" cy="358140"/>
                        </a:xfrm>
                        <a:prstGeom prst="rect">
                          <a:avLst/>
                        </a:prstGeom>
                        <a:solidFill>
                          <a:schemeClr val="lt1"/>
                        </a:solidFill>
                        <a:ln w="6350">
                          <a:noFill/>
                        </a:ln>
                      </wps:spPr>
                      <wps:txbx>
                        <w:txbxContent>
                          <w:p w14:paraId="7FB416B3" w14:textId="77777777" w:rsidR="00EA2B24" w:rsidRPr="00053C14" w:rsidRDefault="00EA2B24" w:rsidP="00CB41F0">
                            <w:pPr>
                              <w:rPr>
                                <w:sz w:val="16"/>
                                <w:szCs w:val="16"/>
                                <w:lang w:val="sr-Cyrl-RS"/>
                              </w:rPr>
                            </w:pPr>
                            <w:r w:rsidRPr="00053C14">
                              <w:rPr>
                                <w:sz w:val="16"/>
                                <w:szCs w:val="16"/>
                                <w:lang w:val="sr-Cyrl-RS"/>
                              </w:rPr>
                              <w:t>Indeksi vrednosti izvedenih građevinskih radova na teritoriji Republike Srbije u odnosu na isti kvartal prethodne godine, u stalnim cenama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9AB163" id="_x0000_t202" coordsize="21600,21600" o:spt="202" path="m,l,21600r21600,l21600,xe">
                <v:stroke joinstyle="miter"/>
                <v:path gradientshapeok="t" o:connecttype="rect"/>
              </v:shapetype>
              <v:shape id="Text Box 2" o:spid="_x0000_s1026" type="#_x0000_t202" style="position:absolute;left:0;text-align:left;margin-left:35.9pt;margin-top:13.55pt;width:465.6pt;height:28.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" fillcolor="white [3201]" stroked="f" strokeweight=".5pt">
                <v:textbox>
                  <w:txbxContent>
                    <w:p w14:paraId="7FB416B3" w14:textId="77777777" w:rsidR="00EA2B24" w:rsidRPr="00053C14" w:rsidRDefault="00EA2B24" w:rsidP="00CB41F0">
                      <w:pPr>
                        <w:rPr>
                          <w:sz w:val="16"/>
                          <w:szCs w:val="16"/>
                          <w:lang w:val="sr-Cyrl-RS"/>
                        </w:rPr>
                      </w:pPr>
                      <w:r w:rsidRPr="00053C14">
                        <w:rPr>
                          <w:sz w:val="16"/>
                          <w:szCs w:val="16"/>
                          <w:lang w:val="sr-Cyrl-RS"/>
                        </w:rPr>
                        <w:t>Indeksi vrednosti izvedenih građevinskih radova na teritoriji Republike Srbije u odnosu na isti kvartal prethodne godine, u stalnim cenama</w:t>
                      </w:r>
                    </w:p>
                  </w:txbxContent>
                </v:textbox>
              </v:shape>
            </w:pict>
          </mc:Fallback>
        </mc:AlternateContent>
      </w:r>
    </w:p>
    <w:p w14:paraId="63B82D84"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p>
    <w:p w14:paraId="2BB71445"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766C8D81" wp14:editId="3D7D90B0">
            <wp:extent cx="5971540" cy="29375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71540" cy="2937510"/>
                    </a:xfrm>
                    <a:prstGeom prst="rect">
                      <a:avLst/>
                    </a:prstGeom>
                  </pic:spPr>
                </pic:pic>
              </a:graphicData>
            </a:graphic>
          </wp:inline>
        </w:drawing>
      </w:r>
    </w:p>
    <w:p w14:paraId="29916373"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p>
    <w:p w14:paraId="49A0F816"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p>
    <w:p w14:paraId="3F5A3E82"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Tabela 1. Indeksi vrednosti izvedenih i ugovorenih građevinskih radova izvođača iz Republike Srbije</w:t>
      </w:r>
    </w:p>
    <w:p w14:paraId="041CC4E4" w14:textId="77777777" w:rsidR="00EA2B24" w:rsidRPr="00412B28" w:rsidRDefault="00EA2B24" w:rsidP="00CB41F0">
      <w:pPr>
        <w:shd w:val="clear" w:color="auto" w:fill="C6D9F1" w:themeFill="text2" w:themeFillTint="33"/>
        <w:spacing w:after="0" w:line="276" w:lineRule="auto"/>
        <w:jc w:val="right"/>
        <w:rPr>
          <w:rFonts w:ascii="Times New Roman" w:hAnsi="Times New Roman" w:cs="Times New Roman"/>
          <w:sz w:val="24"/>
          <w:szCs w:val="24"/>
          <w:lang w:val="sr-Cyrl-RS"/>
        </w:rPr>
      </w:pPr>
      <w:r w:rsidRPr="00412B28">
        <w:rPr>
          <w:rFonts w:ascii="Times New Roman" w:hAnsi="Times New Roman" w:cs="Times New Roman"/>
          <w:noProof/>
          <w:sz w:val="24"/>
          <w:szCs w:val="24"/>
        </w:rPr>
        <w:lastRenderedPageBreak/>
        <w:drawing>
          <wp:inline distT="0" distB="0" distL="0" distR="0" wp14:anchorId="15248F79" wp14:editId="36A0DF23">
            <wp:extent cx="5971540" cy="15468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71540" cy="1546860"/>
                    </a:xfrm>
                    <a:prstGeom prst="rect">
                      <a:avLst/>
                    </a:prstGeom>
                  </pic:spPr>
                </pic:pic>
              </a:graphicData>
            </a:graphic>
          </wp:inline>
        </w:drawing>
      </w:r>
    </w:p>
    <w:p w14:paraId="5EBA1320" w14:textId="77777777" w:rsidR="00EA2B24" w:rsidRPr="00412B28" w:rsidRDefault="00EA2B24" w:rsidP="00CB41F0">
      <w:pPr>
        <w:shd w:val="clear" w:color="auto" w:fill="C6D9F1" w:themeFill="text2" w:themeFillTint="33"/>
        <w:spacing w:after="0" w:line="276" w:lineRule="auto"/>
        <w:jc w:val="both"/>
        <w:rPr>
          <w:rFonts w:ascii="Times New Roman" w:hAnsi="Times New Roman" w:cs="Times New Roman"/>
          <w:sz w:val="24"/>
          <w:szCs w:val="24"/>
          <w:lang w:val="sr-Cyrl-RS"/>
        </w:rPr>
      </w:pPr>
    </w:p>
    <w:p w14:paraId="237CAA96"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broj zahteva u procesu izdavanja akata koji tretiraju oblast građevinarstva</w:t>
      </w:r>
      <w:r w:rsidRPr="00412B28">
        <w:rPr>
          <w:rFonts w:ascii="Times New Roman" w:hAnsi="Times New Roman" w:cs="Times New Roman"/>
          <w:sz w:val="24"/>
          <w:szCs w:val="24"/>
        </w:rPr>
        <w:t xml:space="preserve"> - 132,381 </w:t>
      </w:r>
      <w:r w:rsidRPr="00412B28">
        <w:rPr>
          <w:rFonts w:ascii="Times New Roman" w:hAnsi="Times New Roman" w:cs="Times New Roman"/>
          <w:sz w:val="24"/>
          <w:szCs w:val="24"/>
          <w:lang w:val="sr-Cyrl-RS"/>
        </w:rPr>
        <w:t>zahteva podnetih kroz sistem CEOP u 2021. godini, odnosno 139,331 zahteva u 2022. godini</w:t>
      </w:r>
      <w:r w:rsidRPr="00412B28">
        <w:rPr>
          <w:rFonts w:ascii="Times New Roman" w:hAnsi="Times New Roman" w:cs="Times New Roman"/>
          <w:sz w:val="24"/>
          <w:szCs w:val="24"/>
        </w:rPr>
        <w:t>,</w:t>
      </w:r>
    </w:p>
    <w:p w14:paraId="00A90EEB"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broj izdatih građevinskih dozvola</w:t>
      </w:r>
      <w:r w:rsidRPr="00412B28">
        <w:rPr>
          <w:rFonts w:ascii="Times New Roman" w:hAnsi="Times New Roman" w:cs="Times New Roman"/>
          <w:sz w:val="24"/>
          <w:szCs w:val="24"/>
        </w:rPr>
        <w:t xml:space="preserve"> – </w:t>
      </w:r>
      <w:r w:rsidRPr="00412B28">
        <w:rPr>
          <w:rFonts w:ascii="Times New Roman" w:hAnsi="Times New Roman" w:cs="Times New Roman"/>
          <w:sz w:val="24"/>
          <w:szCs w:val="24"/>
          <w:lang w:val="sr-Cyrl-RS"/>
        </w:rPr>
        <w:t xml:space="preserve">30,177 u 2021. godini, odnosno 29,344 u 2022. godini. </w:t>
      </w:r>
    </w:p>
    <w:p w14:paraId="70ADF95A" w14:textId="77777777" w:rsidR="00EA2B24" w:rsidRPr="00412B28" w:rsidRDefault="00EA2B24" w:rsidP="00CB41F0">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Tabela. Pregled broja izdatih građevinskih dozvola u periodu od 2013. do 2022. godine.</w:t>
      </w:r>
    </w:p>
    <w:p w14:paraId="5D43E370"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549D14CF" wp14:editId="293433E6">
            <wp:extent cx="5971540" cy="678815"/>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71540" cy="678815"/>
                    </a:xfrm>
                    <a:prstGeom prst="rect">
                      <a:avLst/>
                    </a:prstGeom>
                  </pic:spPr>
                </pic:pic>
              </a:graphicData>
            </a:graphic>
          </wp:inline>
        </w:drawing>
      </w:r>
    </w:p>
    <w:p w14:paraId="10791ABB"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broj usvojenih rešenja u vezi sa upotrebnim dozvolama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 1,297 u 2021. godini, odnosno</w:t>
      </w:r>
      <w:r w:rsidRPr="00412B28">
        <w:rPr>
          <w:rFonts w:ascii="Times New Roman" w:hAnsi="Times New Roman" w:cs="Times New Roman"/>
          <w:sz w:val="24"/>
          <w:szCs w:val="24"/>
        </w:rPr>
        <w:t xml:space="preserve"> 6,746 </w:t>
      </w:r>
      <w:r w:rsidRPr="00412B28">
        <w:rPr>
          <w:rFonts w:ascii="Times New Roman" w:hAnsi="Times New Roman" w:cs="Times New Roman"/>
          <w:sz w:val="24"/>
          <w:szCs w:val="24"/>
          <w:lang w:val="sr-Cyrl-RS"/>
        </w:rPr>
        <w:t>usvojenih zahteva u vezi sa upotrebnim dozvolama iz 2022. godine</w:t>
      </w:r>
      <w:r w:rsidRPr="00412B28">
        <w:rPr>
          <w:rFonts w:ascii="Times New Roman" w:hAnsi="Times New Roman" w:cs="Times New Roman"/>
          <w:sz w:val="24"/>
          <w:szCs w:val="24"/>
        </w:rPr>
        <w:t>,</w:t>
      </w:r>
    </w:p>
    <w:p w14:paraId="11031FA6" w14:textId="77777777" w:rsidR="00EA2B24" w:rsidRPr="00412B28" w:rsidRDefault="00EA2B24" w:rsidP="00CB41F0">
      <w:pPr>
        <w:rPr>
          <w:rFonts w:ascii="Times New Roman" w:hAnsi="Times New Roman" w:cs="Times New Roman"/>
          <w:sz w:val="24"/>
          <w:szCs w:val="24"/>
          <w:lang w:val="sr-Cyrl-RS"/>
        </w:rPr>
      </w:pPr>
    </w:p>
    <w:p w14:paraId="3FE1E11F" w14:textId="77777777" w:rsidR="00EA2B24" w:rsidRPr="00412B28" w:rsidRDefault="00EA2B24" w:rsidP="00CB41F0">
      <w:pPr>
        <w:ind w:firstLine="720"/>
        <w:rPr>
          <w:rFonts w:ascii="Times New Roman" w:hAnsi="Times New Roman" w:cs="Times New Roman"/>
          <w:sz w:val="24"/>
          <w:szCs w:val="24"/>
          <w:lang w:val="sr-Cyrl-RS"/>
        </w:rPr>
      </w:pPr>
    </w:p>
    <w:p w14:paraId="5786367B" w14:textId="77777777" w:rsidR="00EA2B24" w:rsidRPr="00412B28" w:rsidRDefault="00EA2B24" w:rsidP="00CB41F0">
      <w:pPr>
        <w:ind w:firstLine="720"/>
        <w:rPr>
          <w:rFonts w:ascii="Times New Roman" w:hAnsi="Times New Roman" w:cs="Times New Roman"/>
          <w:sz w:val="24"/>
          <w:szCs w:val="24"/>
          <w:lang w:val="sr-Cyrl-RS"/>
        </w:rPr>
      </w:pPr>
    </w:p>
    <w:p w14:paraId="52E4ECD1" w14:textId="77777777" w:rsidR="00EA2B24" w:rsidRPr="00412B28" w:rsidRDefault="00EA2B24" w:rsidP="00CB41F0">
      <w:pPr>
        <w:ind w:firstLine="720"/>
        <w:rPr>
          <w:rFonts w:ascii="Times New Roman" w:hAnsi="Times New Roman" w:cs="Times New Roman"/>
          <w:sz w:val="24"/>
          <w:szCs w:val="24"/>
          <w:lang w:val="sr-Cyrl-RS"/>
        </w:rPr>
      </w:pPr>
    </w:p>
    <w:p w14:paraId="335DE97D" w14:textId="77777777" w:rsidR="00EA2B24" w:rsidRPr="00412B28" w:rsidRDefault="00EA2B24" w:rsidP="00CB41F0">
      <w:pPr>
        <w:ind w:firstLine="720"/>
        <w:rPr>
          <w:rFonts w:ascii="Times New Roman" w:hAnsi="Times New Roman" w:cs="Times New Roman"/>
          <w:sz w:val="24"/>
          <w:szCs w:val="24"/>
          <w:lang w:val="sr-Cyrl-RS"/>
        </w:rPr>
      </w:pPr>
    </w:p>
    <w:p w14:paraId="34D338E7" w14:textId="77777777" w:rsidR="00EA2B24" w:rsidRPr="00412B28" w:rsidRDefault="00EA2B24" w:rsidP="00CB41F0">
      <w:pPr>
        <w:ind w:firstLine="720"/>
        <w:rPr>
          <w:rFonts w:ascii="Times New Roman" w:hAnsi="Times New Roman" w:cs="Times New Roman"/>
          <w:sz w:val="24"/>
          <w:szCs w:val="24"/>
          <w:lang w:val="sr-Cyrl-RS"/>
        </w:rPr>
      </w:pPr>
    </w:p>
    <w:p w14:paraId="263ABD40" w14:textId="77777777" w:rsidR="00EA2B24" w:rsidRPr="00412B28" w:rsidRDefault="00EA2B24" w:rsidP="00CB41F0">
      <w:pPr>
        <w:ind w:firstLine="720"/>
        <w:rPr>
          <w:rFonts w:ascii="Times New Roman" w:hAnsi="Times New Roman" w:cs="Times New Roman"/>
          <w:sz w:val="24"/>
          <w:szCs w:val="24"/>
          <w:lang w:val="sr-Cyrl-RS"/>
        </w:rPr>
      </w:pPr>
    </w:p>
    <w:p w14:paraId="367B1718" w14:textId="77777777" w:rsidR="00EA2B24" w:rsidRPr="00412B28" w:rsidRDefault="00EA2B24" w:rsidP="00CB41F0">
      <w:pPr>
        <w:ind w:firstLine="720"/>
        <w:rPr>
          <w:rFonts w:ascii="Times New Roman" w:hAnsi="Times New Roman" w:cs="Times New Roman"/>
          <w:sz w:val="24"/>
          <w:szCs w:val="24"/>
          <w:lang w:val="sr-Cyrl-RS"/>
        </w:rPr>
      </w:pPr>
    </w:p>
    <w:p w14:paraId="2B31BB34" w14:textId="77777777" w:rsidR="00EA2B24" w:rsidRPr="00412B28" w:rsidRDefault="00EA2B24" w:rsidP="00CB41F0">
      <w:pPr>
        <w:ind w:firstLine="720"/>
        <w:rPr>
          <w:rFonts w:ascii="Times New Roman" w:hAnsi="Times New Roman" w:cs="Times New Roman"/>
          <w:sz w:val="24"/>
          <w:szCs w:val="24"/>
          <w:lang w:val="sr-Cyrl-RS"/>
        </w:rPr>
      </w:pPr>
    </w:p>
    <w:p w14:paraId="2DE7784F" w14:textId="77777777" w:rsidR="00EA2B24" w:rsidRPr="00412B28" w:rsidRDefault="00EA2B24" w:rsidP="00CB41F0">
      <w:pPr>
        <w:rPr>
          <w:rFonts w:ascii="Times New Roman" w:hAnsi="Times New Roman" w:cs="Times New Roman"/>
          <w:sz w:val="24"/>
          <w:szCs w:val="24"/>
          <w:lang w:val="sr-Cyrl-RS"/>
        </w:rPr>
      </w:pPr>
    </w:p>
    <w:p w14:paraId="23FF2DF1" w14:textId="77777777" w:rsidR="00EA2B24" w:rsidRPr="00412B28" w:rsidRDefault="00EA2B24" w:rsidP="00CB41F0">
      <w:pPr>
        <w:rPr>
          <w:rFonts w:ascii="Times New Roman" w:hAnsi="Times New Roman" w:cs="Times New Roman"/>
          <w:sz w:val="24"/>
          <w:szCs w:val="24"/>
          <w:lang w:val="sr-Cyrl-RS"/>
        </w:rPr>
      </w:pPr>
    </w:p>
    <w:p w14:paraId="0F9235B8" w14:textId="77777777" w:rsidR="00EA2B24" w:rsidRPr="00412B28" w:rsidRDefault="00EA2B24" w:rsidP="00CB41F0">
      <w:pPr>
        <w:rPr>
          <w:lang w:val="sr-Cyrl-RS"/>
        </w:rPr>
      </w:pPr>
    </w:p>
    <w:p w14:paraId="77238C09" w14:textId="77777777" w:rsidR="00EA2B24" w:rsidRPr="00412B28" w:rsidRDefault="00EA2B24" w:rsidP="00CB41F0">
      <w:pPr>
        <w:rPr>
          <w:lang w:val="sr-Cyrl-RS"/>
        </w:rPr>
      </w:pPr>
    </w:p>
    <w:p w14:paraId="29C03E51" w14:textId="77777777" w:rsidR="00EA2B24" w:rsidRPr="00412B28" w:rsidRDefault="00EA2B24" w:rsidP="00CB41F0">
      <w:pPr>
        <w:rPr>
          <w:lang w:val="sr-Cyrl-RS"/>
        </w:rPr>
        <w:sectPr w:rsidR="00EA2B24" w:rsidRPr="00412B28" w:rsidSect="00564D6D">
          <w:footerReference w:type="default" r:id="rId11"/>
          <w:pgSz w:w="12240" w:h="15840" w:code="1"/>
          <w:pgMar w:top="990" w:right="1418" w:bottom="1418" w:left="1418" w:header="720" w:footer="720" w:gutter="0"/>
          <w:cols w:space="720"/>
          <w:titlePg/>
          <w:docGrid w:linePitch="360"/>
        </w:sectPr>
      </w:pPr>
    </w:p>
    <w:tbl>
      <w:tblPr>
        <w:tblW w:w="0" w:type="auto"/>
        <w:tblLook w:val="04A0" w:firstRow="1" w:lastRow="0" w:firstColumn="1" w:lastColumn="0" w:noHBand="0" w:noVBand="1"/>
      </w:tblPr>
      <w:tblGrid>
        <w:gridCol w:w="1866"/>
        <w:gridCol w:w="6905"/>
        <w:gridCol w:w="1523"/>
        <w:gridCol w:w="630"/>
        <w:gridCol w:w="929"/>
        <w:gridCol w:w="630"/>
        <w:gridCol w:w="929"/>
      </w:tblGrid>
      <w:tr w:rsidR="00EA2B24" w:rsidRPr="00412B28" w14:paraId="22DE7D33" w14:textId="77777777" w:rsidTr="00D41708">
        <w:trPr>
          <w:trHeight w:val="810"/>
        </w:trPr>
        <w:tc>
          <w:tcPr>
            <w:tcW w:w="0" w:type="auto"/>
            <w:tcBorders>
              <w:top w:val="single" w:sz="8" w:space="0" w:color="000000"/>
              <w:left w:val="single" w:sz="8" w:space="0" w:color="000000"/>
              <w:bottom w:val="single" w:sz="4" w:space="0" w:color="000000"/>
              <w:right w:val="nil"/>
            </w:tcBorders>
            <w:shd w:val="clear" w:color="auto" w:fill="auto"/>
            <w:noWrap/>
            <w:vAlign w:val="bottom"/>
            <w:hideMark/>
          </w:tcPr>
          <w:p w14:paraId="4F236571"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lastRenderedPageBreak/>
              <w:t> </w:t>
            </w:r>
          </w:p>
        </w:tc>
        <w:tc>
          <w:tcPr>
            <w:tcW w:w="0" w:type="auto"/>
            <w:tcBorders>
              <w:top w:val="single" w:sz="8" w:space="0" w:color="000000"/>
              <w:left w:val="single" w:sz="12" w:space="0" w:color="000000"/>
              <w:bottom w:val="nil"/>
              <w:right w:val="nil"/>
            </w:tcBorders>
            <w:shd w:val="clear" w:color="000000" w:fill="1F4E78"/>
            <w:noWrap/>
            <w:vAlign w:val="bottom"/>
            <w:hideMark/>
          </w:tcPr>
          <w:p w14:paraId="1BF78CD9" w14:textId="77777777" w:rsidR="00EA2B24" w:rsidRPr="00412B28" w:rsidRDefault="00EA2B24" w:rsidP="00D41708">
            <w:pPr>
              <w:shd w:val="clear" w:color="auto" w:fill="C6D9F1" w:themeFill="text2" w:themeFillTint="33"/>
              <w:spacing w:after="0" w:line="276" w:lineRule="auto"/>
              <w:ind w:left="720"/>
              <w:jc w:val="both"/>
              <w:rPr>
                <w:rFonts w:ascii="Calibri" w:eastAsia="Times New Roman" w:hAnsi="Calibri" w:cs="Calibri"/>
                <w:b/>
                <w:bCs/>
                <w:color w:val="FFFFFF"/>
              </w:rPr>
            </w:pPr>
            <w:r w:rsidRPr="00412B28">
              <w:rPr>
                <w:rFonts w:ascii="Calibri" w:eastAsia="Times New Roman" w:hAnsi="Calibri" w:cs="Calibri"/>
                <w:b/>
                <w:bCs/>
                <w:color w:val="FFFFFF"/>
              </w:rPr>
              <w:t> </w:t>
            </w:r>
            <w:r w:rsidRPr="00412B28">
              <w:rPr>
                <w:rFonts w:ascii="Times New Roman" w:hAnsi="Times New Roman" w:cs="Times New Roman"/>
                <w:i/>
                <w:iCs/>
                <w:sz w:val="24"/>
                <w:szCs w:val="24"/>
                <w:lang w:val="sr-Cyrl-RS"/>
              </w:rPr>
              <w:t>Tabela. Detaljan pregled obrade zahteva u sistemu CEOP za 2021. i 2022. godinu na teritoriji Republike Srbije</w:t>
            </w:r>
          </w:p>
        </w:tc>
        <w:tc>
          <w:tcPr>
            <w:tcW w:w="0" w:type="auto"/>
            <w:tcBorders>
              <w:top w:val="single" w:sz="8" w:space="0" w:color="000000"/>
              <w:left w:val="nil"/>
              <w:bottom w:val="nil"/>
              <w:right w:val="nil"/>
            </w:tcBorders>
            <w:shd w:val="clear" w:color="000000" w:fill="1F4E78"/>
            <w:noWrap/>
            <w:vAlign w:val="bottom"/>
            <w:hideMark/>
          </w:tcPr>
          <w:p w14:paraId="02E330C9" w14:textId="77777777" w:rsidR="00EA2B24" w:rsidRPr="00412B28" w:rsidRDefault="00EA2B24" w:rsidP="00D41708">
            <w:pPr>
              <w:spacing w:after="0" w:line="240" w:lineRule="auto"/>
              <w:rPr>
                <w:rFonts w:ascii="Calibri" w:eastAsia="Times New Roman" w:hAnsi="Calibri" w:cs="Calibri"/>
                <w:b/>
                <w:bCs/>
                <w:color w:val="FFFFFF"/>
              </w:rPr>
            </w:pPr>
            <w:r w:rsidRPr="00412B28">
              <w:rPr>
                <w:rFonts w:ascii="Calibri" w:eastAsia="Times New Roman" w:hAnsi="Calibri" w:cs="Calibri"/>
                <w:b/>
                <w:bCs/>
                <w:color w:val="FFFFFF"/>
              </w:rPr>
              <w:t> </w:t>
            </w:r>
          </w:p>
        </w:tc>
        <w:tc>
          <w:tcPr>
            <w:tcW w:w="0" w:type="auto"/>
            <w:gridSpan w:val="2"/>
            <w:tcBorders>
              <w:top w:val="single" w:sz="8" w:space="0" w:color="000000"/>
              <w:left w:val="nil"/>
              <w:bottom w:val="nil"/>
              <w:right w:val="double" w:sz="6" w:space="0" w:color="000000"/>
            </w:tcBorders>
            <w:shd w:val="clear" w:color="000000" w:fill="1F4E78"/>
            <w:noWrap/>
            <w:vAlign w:val="bottom"/>
            <w:hideMark/>
          </w:tcPr>
          <w:p w14:paraId="60D33B3A" w14:textId="77777777" w:rsidR="00EA2B24" w:rsidRPr="00412B28" w:rsidRDefault="00EA2B24" w:rsidP="00D41708">
            <w:pPr>
              <w:spacing w:after="0" w:line="240" w:lineRule="auto"/>
              <w:jc w:val="center"/>
              <w:rPr>
                <w:rFonts w:ascii="Calibri" w:eastAsia="Times New Roman" w:hAnsi="Calibri" w:cs="Calibri"/>
                <w:b/>
                <w:bCs/>
                <w:color w:val="FFFFFF"/>
                <w:sz w:val="28"/>
                <w:szCs w:val="28"/>
              </w:rPr>
            </w:pPr>
            <w:r w:rsidRPr="00412B28">
              <w:rPr>
                <w:rFonts w:ascii="Calibri" w:eastAsia="Times New Roman" w:hAnsi="Calibri" w:cs="Calibri"/>
                <w:b/>
                <w:bCs/>
                <w:color w:val="FFFFFF"/>
                <w:sz w:val="28"/>
                <w:szCs w:val="28"/>
              </w:rPr>
              <w:t>2021</w:t>
            </w:r>
          </w:p>
        </w:tc>
        <w:tc>
          <w:tcPr>
            <w:tcW w:w="0" w:type="auto"/>
            <w:gridSpan w:val="2"/>
            <w:tcBorders>
              <w:top w:val="single" w:sz="8" w:space="0" w:color="000000"/>
              <w:left w:val="nil"/>
              <w:bottom w:val="nil"/>
              <w:right w:val="single" w:sz="8" w:space="0" w:color="000000"/>
            </w:tcBorders>
            <w:shd w:val="clear" w:color="000000" w:fill="1F4E78"/>
            <w:noWrap/>
            <w:vAlign w:val="bottom"/>
            <w:hideMark/>
          </w:tcPr>
          <w:p w14:paraId="2294005C" w14:textId="77777777" w:rsidR="00EA2B24" w:rsidRPr="00412B28" w:rsidRDefault="00EA2B24" w:rsidP="00D41708">
            <w:pPr>
              <w:spacing w:after="0" w:line="240" w:lineRule="auto"/>
              <w:jc w:val="center"/>
              <w:rPr>
                <w:rFonts w:ascii="Calibri" w:eastAsia="Times New Roman" w:hAnsi="Calibri" w:cs="Calibri"/>
                <w:b/>
                <w:bCs/>
                <w:color w:val="FFFFFF"/>
                <w:sz w:val="28"/>
                <w:szCs w:val="28"/>
              </w:rPr>
            </w:pPr>
            <w:r w:rsidRPr="00412B28">
              <w:rPr>
                <w:rFonts w:ascii="Calibri" w:eastAsia="Times New Roman" w:hAnsi="Calibri" w:cs="Calibri"/>
                <w:b/>
                <w:bCs/>
                <w:color w:val="FFFFFF"/>
                <w:sz w:val="28"/>
                <w:szCs w:val="28"/>
              </w:rPr>
              <w:t>2022</w:t>
            </w:r>
          </w:p>
        </w:tc>
      </w:tr>
      <w:tr w:rsidR="00EA2B24" w:rsidRPr="00412B28" w14:paraId="3CC5D836" w14:textId="77777777" w:rsidTr="00D41708">
        <w:trPr>
          <w:trHeight w:val="1728"/>
        </w:trPr>
        <w:tc>
          <w:tcPr>
            <w:tcW w:w="0" w:type="auto"/>
            <w:tcBorders>
              <w:top w:val="nil"/>
              <w:left w:val="single" w:sz="8" w:space="0" w:color="000000"/>
              <w:bottom w:val="single" w:sz="4" w:space="0" w:color="000000"/>
              <w:right w:val="nil"/>
            </w:tcBorders>
            <w:shd w:val="clear" w:color="auto" w:fill="auto"/>
            <w:vAlign w:val="center"/>
            <w:hideMark/>
          </w:tcPr>
          <w:p w14:paraId="4C75D4B5"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Grupa zahteva</w:t>
            </w:r>
          </w:p>
        </w:tc>
        <w:tc>
          <w:tcPr>
            <w:tcW w:w="0" w:type="auto"/>
            <w:tcBorders>
              <w:top w:val="nil"/>
              <w:left w:val="single" w:sz="12" w:space="0" w:color="000000"/>
              <w:bottom w:val="single" w:sz="4" w:space="0" w:color="000000"/>
              <w:right w:val="nil"/>
            </w:tcBorders>
            <w:shd w:val="clear" w:color="000000" w:fill="1F4E78"/>
            <w:vAlign w:val="center"/>
            <w:hideMark/>
          </w:tcPr>
          <w:p w14:paraId="5F6E1305" w14:textId="77777777" w:rsidR="00EA2B24" w:rsidRPr="00412B28" w:rsidRDefault="00EA2B24" w:rsidP="00D41708">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Tip postupka</w:t>
            </w:r>
          </w:p>
        </w:tc>
        <w:tc>
          <w:tcPr>
            <w:tcW w:w="0" w:type="auto"/>
            <w:tcBorders>
              <w:top w:val="nil"/>
              <w:left w:val="nil"/>
              <w:bottom w:val="single" w:sz="4" w:space="0" w:color="000000"/>
              <w:right w:val="nil"/>
            </w:tcBorders>
            <w:shd w:val="clear" w:color="000000" w:fill="1F4E78"/>
            <w:vAlign w:val="center"/>
            <w:hideMark/>
          </w:tcPr>
          <w:p w14:paraId="1CDC9CE8" w14:textId="77777777" w:rsidR="00EA2B24" w:rsidRPr="00412B28" w:rsidRDefault="00EA2B24" w:rsidP="00D41708">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Status podnetog zahteva</w:t>
            </w:r>
          </w:p>
        </w:tc>
        <w:tc>
          <w:tcPr>
            <w:tcW w:w="0" w:type="auto"/>
            <w:tcBorders>
              <w:top w:val="nil"/>
              <w:left w:val="nil"/>
              <w:bottom w:val="single" w:sz="4" w:space="0" w:color="000000"/>
              <w:right w:val="nil"/>
            </w:tcBorders>
            <w:shd w:val="clear" w:color="000000" w:fill="1F4E78"/>
            <w:vAlign w:val="center"/>
            <w:hideMark/>
          </w:tcPr>
          <w:p w14:paraId="567C2DF2" w14:textId="77777777" w:rsidR="00EA2B24" w:rsidRPr="00412B28" w:rsidRDefault="00EA2B24" w:rsidP="00D41708">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Ukupan broj zahteva</w:t>
            </w:r>
          </w:p>
        </w:tc>
        <w:tc>
          <w:tcPr>
            <w:tcW w:w="0" w:type="auto"/>
            <w:tcBorders>
              <w:top w:val="nil"/>
              <w:left w:val="nil"/>
              <w:bottom w:val="single" w:sz="4" w:space="0" w:color="000000"/>
              <w:right w:val="double" w:sz="6" w:space="0" w:color="000000"/>
            </w:tcBorders>
            <w:shd w:val="clear" w:color="000000" w:fill="1F4E78"/>
            <w:vAlign w:val="center"/>
            <w:hideMark/>
          </w:tcPr>
          <w:p w14:paraId="74FB898F" w14:textId="77777777" w:rsidR="00EA2B24" w:rsidRPr="00412B28" w:rsidRDefault="00EA2B24" w:rsidP="00D41708">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Procentualno učešće u ukupnom broju ovog tipa postupka</w:t>
            </w:r>
          </w:p>
        </w:tc>
        <w:tc>
          <w:tcPr>
            <w:tcW w:w="0" w:type="auto"/>
            <w:tcBorders>
              <w:top w:val="nil"/>
              <w:left w:val="nil"/>
              <w:bottom w:val="single" w:sz="4" w:space="0" w:color="000000"/>
              <w:right w:val="nil"/>
            </w:tcBorders>
            <w:shd w:val="clear" w:color="000000" w:fill="1F4E78"/>
            <w:vAlign w:val="center"/>
            <w:hideMark/>
          </w:tcPr>
          <w:p w14:paraId="70D91B52" w14:textId="77777777" w:rsidR="00EA2B24" w:rsidRPr="00412B28" w:rsidRDefault="00EA2B24" w:rsidP="00D41708">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Ukupan broj zahteva</w:t>
            </w:r>
          </w:p>
        </w:tc>
        <w:tc>
          <w:tcPr>
            <w:tcW w:w="0" w:type="auto"/>
            <w:tcBorders>
              <w:top w:val="nil"/>
              <w:left w:val="nil"/>
              <w:bottom w:val="single" w:sz="4" w:space="0" w:color="000000"/>
              <w:right w:val="single" w:sz="8" w:space="0" w:color="000000"/>
            </w:tcBorders>
            <w:shd w:val="clear" w:color="000000" w:fill="1F4E78"/>
            <w:vAlign w:val="center"/>
            <w:hideMark/>
          </w:tcPr>
          <w:p w14:paraId="53FA1A0A" w14:textId="77777777" w:rsidR="00EA2B24" w:rsidRPr="00412B28" w:rsidRDefault="00EA2B24" w:rsidP="00D41708">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Procentualno učešće u ukupnom broju ovog tipa postupka</w:t>
            </w:r>
          </w:p>
        </w:tc>
      </w:tr>
      <w:tr w:rsidR="00EA2B24" w:rsidRPr="00412B28" w14:paraId="2923FBC3" w14:textId="77777777" w:rsidTr="00D41708">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noWrap/>
            <w:vAlign w:val="center"/>
            <w:hideMark/>
          </w:tcPr>
          <w:p w14:paraId="0D045CA6" w14:textId="77777777" w:rsidR="00EA2B24" w:rsidRPr="00412B28" w:rsidRDefault="00EA2B24" w:rsidP="00D41708">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LOKACIJSKI USLOVI</w:t>
            </w:r>
          </w:p>
        </w:tc>
        <w:tc>
          <w:tcPr>
            <w:tcW w:w="0" w:type="auto"/>
            <w:tcBorders>
              <w:top w:val="nil"/>
              <w:left w:val="nil"/>
              <w:bottom w:val="nil"/>
              <w:right w:val="nil"/>
            </w:tcBorders>
            <w:shd w:val="clear" w:color="auto" w:fill="auto"/>
            <w:noWrap/>
            <w:vAlign w:val="bottom"/>
            <w:hideMark/>
          </w:tcPr>
          <w:p w14:paraId="7B62F54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E68FF7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3D1C205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7125</w:t>
            </w:r>
          </w:p>
        </w:tc>
        <w:tc>
          <w:tcPr>
            <w:tcW w:w="0" w:type="auto"/>
            <w:tcBorders>
              <w:top w:val="nil"/>
              <w:left w:val="nil"/>
              <w:bottom w:val="single" w:sz="4" w:space="0" w:color="000000"/>
              <w:right w:val="single" w:sz="12" w:space="0" w:color="000000"/>
            </w:tcBorders>
            <w:shd w:val="clear" w:color="auto" w:fill="auto"/>
            <w:noWrap/>
            <w:vAlign w:val="center"/>
            <w:hideMark/>
          </w:tcPr>
          <w:p w14:paraId="7B125DD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34.33%</w:t>
            </w:r>
          </w:p>
        </w:tc>
        <w:tc>
          <w:tcPr>
            <w:tcW w:w="0" w:type="auto"/>
            <w:tcBorders>
              <w:top w:val="nil"/>
              <w:left w:val="nil"/>
              <w:bottom w:val="single" w:sz="4" w:space="0" w:color="000000"/>
              <w:right w:val="single" w:sz="4" w:space="0" w:color="000000"/>
            </w:tcBorders>
            <w:shd w:val="clear" w:color="auto" w:fill="auto"/>
            <w:noWrap/>
            <w:vAlign w:val="center"/>
            <w:hideMark/>
          </w:tcPr>
          <w:p w14:paraId="0AA7A51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6785</w:t>
            </w:r>
          </w:p>
        </w:tc>
        <w:tc>
          <w:tcPr>
            <w:tcW w:w="0" w:type="auto"/>
            <w:tcBorders>
              <w:top w:val="nil"/>
              <w:left w:val="nil"/>
              <w:bottom w:val="single" w:sz="4" w:space="0" w:color="000000"/>
              <w:right w:val="single" w:sz="8" w:space="0" w:color="000000"/>
            </w:tcBorders>
            <w:shd w:val="clear" w:color="auto" w:fill="auto"/>
            <w:noWrap/>
            <w:vAlign w:val="center"/>
            <w:hideMark/>
          </w:tcPr>
          <w:p w14:paraId="5C75AAB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34.61%</w:t>
            </w:r>
          </w:p>
        </w:tc>
      </w:tr>
      <w:tr w:rsidR="00EA2B24" w:rsidRPr="00412B28" w14:paraId="619AB09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47E3F4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A4E860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17857F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50D46D8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11605</w:t>
            </w:r>
          </w:p>
        </w:tc>
        <w:tc>
          <w:tcPr>
            <w:tcW w:w="0" w:type="auto"/>
            <w:tcBorders>
              <w:top w:val="nil"/>
              <w:left w:val="nil"/>
              <w:bottom w:val="single" w:sz="4" w:space="0" w:color="000000"/>
              <w:right w:val="single" w:sz="12" w:space="0" w:color="000000"/>
            </w:tcBorders>
            <w:shd w:val="clear" w:color="auto" w:fill="auto"/>
            <w:noWrap/>
            <w:vAlign w:val="center"/>
            <w:hideMark/>
          </w:tcPr>
          <w:p w14:paraId="007A03F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55.91%</w:t>
            </w:r>
          </w:p>
        </w:tc>
        <w:tc>
          <w:tcPr>
            <w:tcW w:w="0" w:type="auto"/>
            <w:tcBorders>
              <w:top w:val="nil"/>
              <w:left w:val="nil"/>
              <w:bottom w:val="single" w:sz="4" w:space="0" w:color="000000"/>
              <w:right w:val="single" w:sz="4" w:space="0" w:color="000000"/>
            </w:tcBorders>
            <w:shd w:val="clear" w:color="auto" w:fill="auto"/>
            <w:noWrap/>
            <w:vAlign w:val="center"/>
            <w:hideMark/>
          </w:tcPr>
          <w:p w14:paraId="63F62E1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10585</w:t>
            </w:r>
          </w:p>
        </w:tc>
        <w:tc>
          <w:tcPr>
            <w:tcW w:w="0" w:type="auto"/>
            <w:tcBorders>
              <w:top w:val="nil"/>
              <w:left w:val="nil"/>
              <w:bottom w:val="single" w:sz="4" w:space="0" w:color="000000"/>
              <w:right w:val="single" w:sz="8" w:space="0" w:color="000000"/>
            </w:tcBorders>
            <w:shd w:val="clear" w:color="auto" w:fill="auto"/>
            <w:noWrap/>
            <w:vAlign w:val="center"/>
            <w:hideMark/>
          </w:tcPr>
          <w:p w14:paraId="7652CD4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54.00%</w:t>
            </w:r>
          </w:p>
        </w:tc>
      </w:tr>
      <w:tr w:rsidR="00EA2B24" w:rsidRPr="00412B28" w14:paraId="1AA60AD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675F59E"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65C509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E8B9DE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Obaveštavanje završeno</w:t>
            </w:r>
          </w:p>
        </w:tc>
        <w:tc>
          <w:tcPr>
            <w:tcW w:w="0" w:type="auto"/>
            <w:tcBorders>
              <w:top w:val="nil"/>
              <w:left w:val="nil"/>
              <w:bottom w:val="single" w:sz="4" w:space="0" w:color="000000"/>
              <w:right w:val="single" w:sz="4" w:space="0" w:color="000000"/>
            </w:tcBorders>
            <w:shd w:val="clear" w:color="auto" w:fill="auto"/>
            <w:noWrap/>
            <w:vAlign w:val="bottom"/>
            <w:hideMark/>
          </w:tcPr>
          <w:p w14:paraId="5D36391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236</w:t>
            </w:r>
          </w:p>
        </w:tc>
        <w:tc>
          <w:tcPr>
            <w:tcW w:w="0" w:type="auto"/>
            <w:tcBorders>
              <w:top w:val="nil"/>
              <w:left w:val="nil"/>
              <w:bottom w:val="single" w:sz="4" w:space="0" w:color="000000"/>
              <w:right w:val="single" w:sz="12" w:space="0" w:color="000000"/>
            </w:tcBorders>
            <w:shd w:val="clear" w:color="auto" w:fill="auto"/>
            <w:noWrap/>
            <w:vAlign w:val="center"/>
            <w:hideMark/>
          </w:tcPr>
          <w:p w14:paraId="0438A60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1.14%</w:t>
            </w:r>
          </w:p>
        </w:tc>
        <w:tc>
          <w:tcPr>
            <w:tcW w:w="0" w:type="auto"/>
            <w:tcBorders>
              <w:top w:val="nil"/>
              <w:left w:val="nil"/>
              <w:bottom w:val="single" w:sz="4" w:space="0" w:color="000000"/>
              <w:right w:val="single" w:sz="4" w:space="0" w:color="000000"/>
            </w:tcBorders>
            <w:shd w:val="clear" w:color="auto" w:fill="auto"/>
            <w:noWrap/>
            <w:vAlign w:val="center"/>
            <w:hideMark/>
          </w:tcPr>
          <w:p w14:paraId="0C456A3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5E09023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5D36DCB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EF98E7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6DAB72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FB14A3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0F79850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w:t>
            </w:r>
          </w:p>
        </w:tc>
        <w:tc>
          <w:tcPr>
            <w:tcW w:w="0" w:type="auto"/>
            <w:tcBorders>
              <w:top w:val="nil"/>
              <w:left w:val="nil"/>
              <w:bottom w:val="single" w:sz="4" w:space="0" w:color="000000"/>
              <w:right w:val="single" w:sz="12" w:space="0" w:color="000000"/>
            </w:tcBorders>
            <w:shd w:val="clear" w:color="auto" w:fill="auto"/>
            <w:noWrap/>
            <w:vAlign w:val="center"/>
            <w:hideMark/>
          </w:tcPr>
          <w:p w14:paraId="43F18EA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4FB459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391</w:t>
            </w:r>
          </w:p>
        </w:tc>
        <w:tc>
          <w:tcPr>
            <w:tcW w:w="0" w:type="auto"/>
            <w:tcBorders>
              <w:top w:val="nil"/>
              <w:left w:val="nil"/>
              <w:bottom w:val="single" w:sz="4" w:space="0" w:color="000000"/>
              <w:right w:val="single" w:sz="8" w:space="0" w:color="000000"/>
            </w:tcBorders>
            <w:shd w:val="clear" w:color="auto" w:fill="auto"/>
            <w:noWrap/>
            <w:vAlign w:val="center"/>
            <w:hideMark/>
          </w:tcPr>
          <w:p w14:paraId="56AA457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1.99%</w:t>
            </w:r>
          </w:p>
        </w:tc>
      </w:tr>
      <w:tr w:rsidR="00EA2B24" w:rsidRPr="00412B28" w14:paraId="4F70494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CBF0C9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852ACB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6B984C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5626E5D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2D4D0B8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FC0156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w:t>
            </w:r>
          </w:p>
        </w:tc>
        <w:tc>
          <w:tcPr>
            <w:tcW w:w="0" w:type="auto"/>
            <w:tcBorders>
              <w:top w:val="nil"/>
              <w:left w:val="nil"/>
              <w:bottom w:val="single" w:sz="4" w:space="0" w:color="000000"/>
              <w:right w:val="single" w:sz="8" w:space="0" w:color="000000"/>
            </w:tcBorders>
            <w:shd w:val="clear" w:color="auto" w:fill="auto"/>
            <w:noWrap/>
            <w:vAlign w:val="center"/>
            <w:hideMark/>
          </w:tcPr>
          <w:p w14:paraId="0701143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0.33%</w:t>
            </w:r>
          </w:p>
        </w:tc>
      </w:tr>
      <w:tr w:rsidR="00EA2B24" w:rsidRPr="00412B28" w14:paraId="3237B84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1B832D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2821F5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4FA2FC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4D074B2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1759</w:t>
            </w:r>
          </w:p>
        </w:tc>
        <w:tc>
          <w:tcPr>
            <w:tcW w:w="0" w:type="auto"/>
            <w:tcBorders>
              <w:top w:val="nil"/>
              <w:left w:val="nil"/>
              <w:bottom w:val="single" w:sz="4" w:space="0" w:color="000000"/>
              <w:right w:val="single" w:sz="12" w:space="0" w:color="000000"/>
            </w:tcBorders>
            <w:shd w:val="clear" w:color="auto" w:fill="auto"/>
            <w:noWrap/>
            <w:vAlign w:val="center"/>
            <w:hideMark/>
          </w:tcPr>
          <w:p w14:paraId="2BDA953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B9B69D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1777</w:t>
            </w:r>
          </w:p>
        </w:tc>
        <w:tc>
          <w:tcPr>
            <w:tcW w:w="0" w:type="auto"/>
            <w:tcBorders>
              <w:top w:val="nil"/>
              <w:left w:val="nil"/>
              <w:bottom w:val="single" w:sz="4" w:space="0" w:color="000000"/>
              <w:right w:val="single" w:sz="8" w:space="0" w:color="000000"/>
            </w:tcBorders>
            <w:shd w:val="clear" w:color="auto" w:fill="auto"/>
            <w:noWrap/>
            <w:vAlign w:val="center"/>
            <w:hideMark/>
          </w:tcPr>
          <w:p w14:paraId="14378D6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9.07%</w:t>
            </w:r>
          </w:p>
        </w:tc>
      </w:tr>
      <w:tr w:rsidR="00EA2B24" w:rsidRPr="00412B28" w14:paraId="661A50F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EA44C5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010637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FC4B43B"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284319C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20756</w:t>
            </w:r>
          </w:p>
        </w:tc>
        <w:tc>
          <w:tcPr>
            <w:tcW w:w="0" w:type="auto"/>
            <w:tcBorders>
              <w:top w:val="nil"/>
              <w:left w:val="nil"/>
              <w:bottom w:val="single" w:sz="4" w:space="0" w:color="000000"/>
              <w:right w:val="single" w:sz="12" w:space="0" w:color="000000"/>
            </w:tcBorders>
            <w:shd w:val="clear" w:color="000000" w:fill="DDEBF7"/>
            <w:noWrap/>
            <w:vAlign w:val="center"/>
            <w:hideMark/>
          </w:tcPr>
          <w:p w14:paraId="3140685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EEFC04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19602</w:t>
            </w:r>
          </w:p>
        </w:tc>
        <w:tc>
          <w:tcPr>
            <w:tcW w:w="0" w:type="auto"/>
            <w:tcBorders>
              <w:top w:val="nil"/>
              <w:left w:val="nil"/>
              <w:bottom w:val="single" w:sz="4" w:space="0" w:color="000000"/>
              <w:right w:val="single" w:sz="8" w:space="0" w:color="000000"/>
            </w:tcBorders>
            <w:shd w:val="clear" w:color="000000" w:fill="DDEBF7"/>
            <w:noWrap/>
            <w:vAlign w:val="center"/>
            <w:hideMark/>
          </w:tcPr>
          <w:p w14:paraId="1EB0222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34AD4E1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AA1BD3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9E4055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BAE0D8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6F4A115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1615</w:t>
            </w:r>
          </w:p>
        </w:tc>
        <w:tc>
          <w:tcPr>
            <w:tcW w:w="0" w:type="auto"/>
            <w:tcBorders>
              <w:top w:val="nil"/>
              <w:left w:val="nil"/>
              <w:bottom w:val="single" w:sz="4" w:space="0" w:color="000000"/>
              <w:right w:val="single" w:sz="12" w:space="0" w:color="000000"/>
            </w:tcBorders>
            <w:shd w:val="clear" w:color="auto" w:fill="auto"/>
            <w:noWrap/>
            <w:vAlign w:val="center"/>
            <w:hideMark/>
          </w:tcPr>
          <w:p w14:paraId="0787346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30.17%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8F1531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1530</w:t>
            </w:r>
          </w:p>
        </w:tc>
        <w:tc>
          <w:tcPr>
            <w:tcW w:w="0" w:type="auto"/>
            <w:tcBorders>
              <w:top w:val="nil"/>
              <w:left w:val="nil"/>
              <w:bottom w:val="single" w:sz="4" w:space="0" w:color="000000"/>
              <w:right w:val="single" w:sz="8" w:space="0" w:color="000000"/>
            </w:tcBorders>
            <w:shd w:val="clear" w:color="auto" w:fill="auto"/>
            <w:noWrap/>
            <w:vAlign w:val="center"/>
            <w:hideMark/>
          </w:tcPr>
          <w:p w14:paraId="0D0C874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28.08%</w:t>
            </w:r>
          </w:p>
        </w:tc>
      </w:tr>
      <w:tr w:rsidR="00EA2B24" w:rsidRPr="00412B28" w14:paraId="366F5D6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7995F6E"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1EEFD1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86F43A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3F8231C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3240</w:t>
            </w:r>
          </w:p>
        </w:tc>
        <w:tc>
          <w:tcPr>
            <w:tcW w:w="0" w:type="auto"/>
            <w:tcBorders>
              <w:top w:val="nil"/>
              <w:left w:val="nil"/>
              <w:bottom w:val="single" w:sz="4" w:space="0" w:color="000000"/>
              <w:right w:val="single" w:sz="12" w:space="0" w:color="000000"/>
            </w:tcBorders>
            <w:shd w:val="clear" w:color="auto" w:fill="auto"/>
            <w:noWrap/>
            <w:vAlign w:val="center"/>
            <w:hideMark/>
          </w:tcPr>
          <w:p w14:paraId="00BCABA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60.53%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11147D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3239</w:t>
            </w:r>
          </w:p>
        </w:tc>
        <w:tc>
          <w:tcPr>
            <w:tcW w:w="0" w:type="auto"/>
            <w:tcBorders>
              <w:top w:val="nil"/>
              <w:left w:val="nil"/>
              <w:bottom w:val="single" w:sz="4" w:space="0" w:color="000000"/>
              <w:right w:val="single" w:sz="8" w:space="0" w:color="000000"/>
            </w:tcBorders>
            <w:shd w:val="clear" w:color="auto" w:fill="auto"/>
            <w:noWrap/>
            <w:vAlign w:val="center"/>
            <w:hideMark/>
          </w:tcPr>
          <w:p w14:paraId="6EFE8CE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59.45%</w:t>
            </w:r>
          </w:p>
        </w:tc>
      </w:tr>
      <w:tr w:rsidR="00EA2B24" w:rsidRPr="00412B28" w14:paraId="76562E7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95EB47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13D619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AD4BD9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2E79E91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w:t>
            </w:r>
          </w:p>
        </w:tc>
        <w:tc>
          <w:tcPr>
            <w:tcW w:w="0" w:type="auto"/>
            <w:tcBorders>
              <w:top w:val="nil"/>
              <w:left w:val="nil"/>
              <w:bottom w:val="single" w:sz="4" w:space="0" w:color="000000"/>
              <w:right w:val="single" w:sz="12" w:space="0" w:color="000000"/>
            </w:tcBorders>
            <w:shd w:val="clear" w:color="auto" w:fill="auto"/>
            <w:noWrap/>
            <w:vAlign w:val="center"/>
            <w:hideMark/>
          </w:tcPr>
          <w:p w14:paraId="15F05A7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0CB872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87</w:t>
            </w:r>
          </w:p>
        </w:tc>
        <w:tc>
          <w:tcPr>
            <w:tcW w:w="0" w:type="auto"/>
            <w:tcBorders>
              <w:top w:val="nil"/>
              <w:left w:val="nil"/>
              <w:bottom w:val="single" w:sz="4" w:space="0" w:color="000000"/>
              <w:right w:val="single" w:sz="8" w:space="0" w:color="000000"/>
            </w:tcBorders>
            <w:shd w:val="clear" w:color="auto" w:fill="auto"/>
            <w:noWrap/>
            <w:vAlign w:val="center"/>
            <w:hideMark/>
          </w:tcPr>
          <w:p w14:paraId="5B0BFF8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1.60%</w:t>
            </w:r>
          </w:p>
        </w:tc>
      </w:tr>
      <w:tr w:rsidR="00EA2B24" w:rsidRPr="00412B28" w14:paraId="4B13208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34157F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CD82BD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C16CF2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4215717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12" w:space="0" w:color="000000"/>
            </w:tcBorders>
            <w:shd w:val="clear" w:color="auto" w:fill="auto"/>
            <w:noWrap/>
            <w:vAlign w:val="center"/>
            <w:hideMark/>
          </w:tcPr>
          <w:p w14:paraId="4BAED6E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D76E1E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8" w:space="0" w:color="000000"/>
            </w:tcBorders>
            <w:shd w:val="clear" w:color="auto" w:fill="auto"/>
            <w:noWrap/>
            <w:vAlign w:val="center"/>
            <w:hideMark/>
          </w:tcPr>
          <w:p w14:paraId="24C595D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0.06%</w:t>
            </w:r>
          </w:p>
        </w:tc>
      </w:tr>
      <w:tr w:rsidR="00EA2B24" w:rsidRPr="00412B28" w14:paraId="4A4D6F8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7D4457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57ADA2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510BD4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5E3AFB5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453</w:t>
            </w:r>
          </w:p>
        </w:tc>
        <w:tc>
          <w:tcPr>
            <w:tcW w:w="0" w:type="auto"/>
            <w:tcBorders>
              <w:top w:val="nil"/>
              <w:left w:val="nil"/>
              <w:bottom w:val="single" w:sz="4" w:space="0" w:color="000000"/>
              <w:right w:val="single" w:sz="12" w:space="0" w:color="000000"/>
            </w:tcBorders>
            <w:shd w:val="clear" w:color="auto" w:fill="auto"/>
            <w:noWrap/>
            <w:vAlign w:val="center"/>
            <w:hideMark/>
          </w:tcPr>
          <w:p w14:paraId="17C9975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BC0CBA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589</w:t>
            </w:r>
          </w:p>
        </w:tc>
        <w:tc>
          <w:tcPr>
            <w:tcW w:w="0" w:type="auto"/>
            <w:tcBorders>
              <w:top w:val="nil"/>
              <w:left w:val="nil"/>
              <w:bottom w:val="single" w:sz="4" w:space="0" w:color="000000"/>
              <w:right w:val="single" w:sz="8" w:space="0" w:color="000000"/>
            </w:tcBorders>
            <w:shd w:val="clear" w:color="auto" w:fill="auto"/>
            <w:noWrap/>
            <w:vAlign w:val="center"/>
            <w:hideMark/>
          </w:tcPr>
          <w:p w14:paraId="1E51FC6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10.81%</w:t>
            </w:r>
          </w:p>
        </w:tc>
      </w:tr>
      <w:tr w:rsidR="00EA2B24" w:rsidRPr="00412B28" w14:paraId="7FB13E8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7BCAC5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C2D649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4780763"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7BC02C5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5353</w:t>
            </w:r>
          </w:p>
        </w:tc>
        <w:tc>
          <w:tcPr>
            <w:tcW w:w="0" w:type="auto"/>
            <w:tcBorders>
              <w:top w:val="nil"/>
              <w:left w:val="nil"/>
              <w:bottom w:val="single" w:sz="4" w:space="0" w:color="000000"/>
              <w:right w:val="single" w:sz="12" w:space="0" w:color="000000"/>
            </w:tcBorders>
            <w:shd w:val="clear" w:color="000000" w:fill="DDEBF7"/>
            <w:noWrap/>
            <w:vAlign w:val="center"/>
            <w:hideMark/>
          </w:tcPr>
          <w:p w14:paraId="1671FB7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DC8F9C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5448</w:t>
            </w:r>
          </w:p>
        </w:tc>
        <w:tc>
          <w:tcPr>
            <w:tcW w:w="0" w:type="auto"/>
            <w:tcBorders>
              <w:top w:val="nil"/>
              <w:left w:val="nil"/>
              <w:bottom w:val="single" w:sz="4" w:space="0" w:color="000000"/>
              <w:right w:val="single" w:sz="8" w:space="0" w:color="000000"/>
            </w:tcBorders>
            <w:shd w:val="clear" w:color="000000" w:fill="DDEBF7"/>
            <w:noWrap/>
            <w:vAlign w:val="center"/>
            <w:hideMark/>
          </w:tcPr>
          <w:p w14:paraId="1223BA5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25E19AC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DB98CF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262201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lokacijskih uslova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97536C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50C3E4E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063280D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17.65%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A856DA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4BCD812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5148625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AFC833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441A4A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lokacijskih uslova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5574B5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00F19E2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w:t>
            </w:r>
          </w:p>
        </w:tc>
        <w:tc>
          <w:tcPr>
            <w:tcW w:w="0" w:type="auto"/>
            <w:tcBorders>
              <w:top w:val="nil"/>
              <w:left w:val="nil"/>
              <w:bottom w:val="single" w:sz="4" w:space="0" w:color="000000"/>
              <w:right w:val="single" w:sz="12" w:space="0" w:color="000000"/>
            </w:tcBorders>
            <w:shd w:val="clear" w:color="auto" w:fill="auto"/>
            <w:noWrap/>
            <w:vAlign w:val="center"/>
            <w:hideMark/>
          </w:tcPr>
          <w:p w14:paraId="504BE57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76.47%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AAF477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155BD3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744E211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0F14D0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4256F1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lokacijskih uslova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B23CC3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375EA51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44F10D6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E9CB17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C50014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05BDEB6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45750F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4C9A17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lokacijskih uslova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6434F2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6F417D7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3E770B5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7FA924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2CA4B7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53DAAD3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1FB7ED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83EDEF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lokacijskih uslova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EFBAAA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47CEA01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5CE12B1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53FC25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3A0E5B8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07DE405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73459B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7E62C4E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lokacijskih uslova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E28C2B0"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6CC19BA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17</w:t>
            </w:r>
          </w:p>
        </w:tc>
        <w:tc>
          <w:tcPr>
            <w:tcW w:w="0" w:type="auto"/>
            <w:tcBorders>
              <w:top w:val="nil"/>
              <w:left w:val="nil"/>
              <w:bottom w:val="single" w:sz="4" w:space="0" w:color="000000"/>
              <w:right w:val="single" w:sz="12" w:space="0" w:color="000000"/>
            </w:tcBorders>
            <w:shd w:val="clear" w:color="000000" w:fill="DDEBF7"/>
            <w:noWrap/>
            <w:vAlign w:val="center"/>
            <w:hideMark/>
          </w:tcPr>
          <w:p w14:paraId="5A7D149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B8C6E5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2571553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EA2B24" w:rsidRPr="00412B28" w14:paraId="6D34B12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457605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71894F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Izmena lokacijskih uslova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516D49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37E5918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517</w:t>
            </w:r>
          </w:p>
        </w:tc>
        <w:tc>
          <w:tcPr>
            <w:tcW w:w="0" w:type="auto"/>
            <w:tcBorders>
              <w:top w:val="nil"/>
              <w:left w:val="nil"/>
              <w:bottom w:val="single" w:sz="4" w:space="0" w:color="000000"/>
              <w:right w:val="single" w:sz="12" w:space="0" w:color="000000"/>
            </w:tcBorders>
            <w:shd w:val="clear" w:color="auto" w:fill="auto"/>
            <w:noWrap/>
            <w:vAlign w:val="center"/>
            <w:hideMark/>
          </w:tcPr>
          <w:p w14:paraId="7D0D7DA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25.08%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99A48B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472</w:t>
            </w:r>
          </w:p>
        </w:tc>
        <w:tc>
          <w:tcPr>
            <w:tcW w:w="0" w:type="auto"/>
            <w:tcBorders>
              <w:top w:val="nil"/>
              <w:left w:val="nil"/>
              <w:bottom w:val="single" w:sz="4" w:space="0" w:color="000000"/>
              <w:right w:val="single" w:sz="8" w:space="0" w:color="000000"/>
            </w:tcBorders>
            <w:shd w:val="clear" w:color="auto" w:fill="auto"/>
            <w:noWrap/>
            <w:vAlign w:val="center"/>
            <w:hideMark/>
          </w:tcPr>
          <w:p w14:paraId="7EE3335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20.48%</w:t>
            </w:r>
          </w:p>
        </w:tc>
      </w:tr>
      <w:tr w:rsidR="00EA2B24" w:rsidRPr="00412B28" w14:paraId="35E11E3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97CC91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33A1E9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Izmena lokacijskih uslova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7B44E0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6B229E8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1345</w:t>
            </w:r>
          </w:p>
        </w:tc>
        <w:tc>
          <w:tcPr>
            <w:tcW w:w="0" w:type="auto"/>
            <w:tcBorders>
              <w:top w:val="nil"/>
              <w:left w:val="nil"/>
              <w:bottom w:val="single" w:sz="4" w:space="0" w:color="000000"/>
              <w:right w:val="single" w:sz="12" w:space="0" w:color="000000"/>
            </w:tcBorders>
            <w:shd w:val="clear" w:color="auto" w:fill="auto"/>
            <w:noWrap/>
            <w:vAlign w:val="center"/>
            <w:hideMark/>
          </w:tcPr>
          <w:p w14:paraId="2A28E3D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65.26%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DBA2C9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1597</w:t>
            </w:r>
          </w:p>
        </w:tc>
        <w:tc>
          <w:tcPr>
            <w:tcW w:w="0" w:type="auto"/>
            <w:tcBorders>
              <w:top w:val="nil"/>
              <w:left w:val="nil"/>
              <w:bottom w:val="single" w:sz="4" w:space="0" w:color="000000"/>
              <w:right w:val="single" w:sz="8" w:space="0" w:color="000000"/>
            </w:tcBorders>
            <w:shd w:val="clear" w:color="auto" w:fill="auto"/>
            <w:noWrap/>
            <w:vAlign w:val="center"/>
            <w:hideMark/>
          </w:tcPr>
          <w:p w14:paraId="6A4D632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69.28%</w:t>
            </w:r>
          </w:p>
        </w:tc>
      </w:tr>
      <w:tr w:rsidR="00EA2B24" w:rsidRPr="00412B28" w14:paraId="77334D1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851F2E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AE0ABF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Izmena lokacijskih uslova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830E11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463907F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56</w:t>
            </w:r>
          </w:p>
        </w:tc>
        <w:tc>
          <w:tcPr>
            <w:tcW w:w="0" w:type="auto"/>
            <w:tcBorders>
              <w:top w:val="nil"/>
              <w:left w:val="nil"/>
              <w:bottom w:val="single" w:sz="4" w:space="0" w:color="000000"/>
              <w:right w:val="single" w:sz="12" w:space="0" w:color="000000"/>
            </w:tcBorders>
            <w:shd w:val="clear" w:color="auto" w:fill="auto"/>
            <w:noWrap/>
            <w:vAlign w:val="center"/>
            <w:hideMark/>
          </w:tcPr>
          <w:p w14:paraId="14F2DD2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41A0B6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81</w:t>
            </w:r>
          </w:p>
        </w:tc>
        <w:tc>
          <w:tcPr>
            <w:tcW w:w="0" w:type="auto"/>
            <w:tcBorders>
              <w:top w:val="nil"/>
              <w:left w:val="nil"/>
              <w:bottom w:val="single" w:sz="4" w:space="0" w:color="000000"/>
              <w:right w:val="single" w:sz="8" w:space="0" w:color="000000"/>
            </w:tcBorders>
            <w:shd w:val="clear" w:color="auto" w:fill="auto"/>
            <w:noWrap/>
            <w:vAlign w:val="center"/>
            <w:hideMark/>
          </w:tcPr>
          <w:p w14:paraId="3633AAF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3.51%</w:t>
            </w:r>
          </w:p>
        </w:tc>
      </w:tr>
      <w:tr w:rsidR="00EA2B24" w:rsidRPr="00412B28" w14:paraId="21E1A33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621CA3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9569B6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Izmena lokacijskih uslova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A95BEC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0DC5914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6F62D2E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D4151F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0DF2422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0.22%</w:t>
            </w:r>
          </w:p>
        </w:tc>
      </w:tr>
      <w:tr w:rsidR="00EA2B24" w:rsidRPr="00412B28" w14:paraId="4D4FF8B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83E8FC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31DA9B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Izmena lokacijskih uslova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405B49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49ECF0A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141</w:t>
            </w:r>
          </w:p>
        </w:tc>
        <w:tc>
          <w:tcPr>
            <w:tcW w:w="0" w:type="auto"/>
            <w:tcBorders>
              <w:top w:val="nil"/>
              <w:left w:val="nil"/>
              <w:bottom w:val="single" w:sz="4" w:space="0" w:color="000000"/>
              <w:right w:val="single" w:sz="12" w:space="0" w:color="000000"/>
            </w:tcBorders>
            <w:shd w:val="clear" w:color="auto" w:fill="auto"/>
            <w:noWrap/>
            <w:vAlign w:val="center"/>
            <w:hideMark/>
          </w:tcPr>
          <w:p w14:paraId="21D8DF3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6.84%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7F7B1F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150</w:t>
            </w:r>
          </w:p>
        </w:tc>
        <w:tc>
          <w:tcPr>
            <w:tcW w:w="0" w:type="auto"/>
            <w:tcBorders>
              <w:top w:val="nil"/>
              <w:left w:val="nil"/>
              <w:bottom w:val="single" w:sz="4" w:space="0" w:color="000000"/>
              <w:right w:val="single" w:sz="8" w:space="0" w:color="000000"/>
            </w:tcBorders>
            <w:shd w:val="clear" w:color="auto" w:fill="auto"/>
            <w:noWrap/>
            <w:vAlign w:val="center"/>
            <w:hideMark/>
          </w:tcPr>
          <w:p w14:paraId="147450E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6.51%</w:t>
            </w:r>
          </w:p>
        </w:tc>
      </w:tr>
      <w:tr w:rsidR="00EA2B24" w:rsidRPr="00412B28" w14:paraId="03F0397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005860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EF3BCE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Izmena lokacijskih uslova </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7A35F4F"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single" w:sz="12" w:space="0" w:color="000000"/>
              <w:bottom w:val="single" w:sz="4" w:space="0" w:color="000000"/>
              <w:right w:val="single" w:sz="4" w:space="0" w:color="000000"/>
            </w:tcBorders>
            <w:shd w:val="clear" w:color="000000" w:fill="DDEBF7"/>
            <w:noWrap/>
            <w:vAlign w:val="bottom"/>
            <w:hideMark/>
          </w:tcPr>
          <w:p w14:paraId="418C2EA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2061</w:t>
            </w:r>
          </w:p>
        </w:tc>
        <w:tc>
          <w:tcPr>
            <w:tcW w:w="0" w:type="auto"/>
            <w:tcBorders>
              <w:top w:val="nil"/>
              <w:left w:val="nil"/>
              <w:bottom w:val="single" w:sz="4" w:space="0" w:color="000000"/>
              <w:right w:val="single" w:sz="12" w:space="0" w:color="000000"/>
            </w:tcBorders>
            <w:shd w:val="clear" w:color="000000" w:fill="DDEBF7"/>
            <w:noWrap/>
            <w:vAlign w:val="center"/>
            <w:hideMark/>
          </w:tcPr>
          <w:p w14:paraId="39E72F3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750B035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2305</w:t>
            </w:r>
          </w:p>
        </w:tc>
        <w:tc>
          <w:tcPr>
            <w:tcW w:w="0" w:type="auto"/>
            <w:tcBorders>
              <w:top w:val="nil"/>
              <w:left w:val="nil"/>
              <w:bottom w:val="single" w:sz="4" w:space="0" w:color="000000"/>
              <w:right w:val="single" w:sz="8" w:space="0" w:color="000000"/>
            </w:tcBorders>
            <w:shd w:val="clear" w:color="000000" w:fill="DDEBF7"/>
            <w:noWrap/>
            <w:vAlign w:val="center"/>
            <w:hideMark/>
          </w:tcPr>
          <w:p w14:paraId="428BB01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835DC8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1D8E6B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917D09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1A965E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6AB81CB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w:t>
            </w:r>
          </w:p>
        </w:tc>
        <w:tc>
          <w:tcPr>
            <w:tcW w:w="0" w:type="auto"/>
            <w:tcBorders>
              <w:top w:val="nil"/>
              <w:left w:val="nil"/>
              <w:bottom w:val="single" w:sz="4" w:space="0" w:color="000000"/>
              <w:right w:val="single" w:sz="12" w:space="0" w:color="000000"/>
            </w:tcBorders>
            <w:shd w:val="clear" w:color="auto" w:fill="auto"/>
            <w:noWrap/>
            <w:vAlign w:val="center"/>
            <w:hideMark/>
          </w:tcPr>
          <w:p w14:paraId="3432C71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B0B933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90</w:t>
            </w:r>
          </w:p>
        </w:tc>
        <w:tc>
          <w:tcPr>
            <w:tcW w:w="0" w:type="auto"/>
            <w:tcBorders>
              <w:top w:val="nil"/>
              <w:left w:val="nil"/>
              <w:bottom w:val="single" w:sz="4" w:space="0" w:color="000000"/>
              <w:right w:val="single" w:sz="8" w:space="0" w:color="000000"/>
            </w:tcBorders>
            <w:shd w:val="clear" w:color="auto" w:fill="auto"/>
            <w:noWrap/>
            <w:vAlign w:val="center"/>
            <w:hideMark/>
          </w:tcPr>
          <w:p w14:paraId="261AAB9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26.32%</w:t>
            </w:r>
          </w:p>
        </w:tc>
      </w:tr>
      <w:tr w:rsidR="00EA2B24" w:rsidRPr="00412B28" w14:paraId="5A67940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55A1FF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D899A1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2E9C10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1C9EB40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218</w:t>
            </w:r>
          </w:p>
        </w:tc>
        <w:tc>
          <w:tcPr>
            <w:tcW w:w="0" w:type="auto"/>
            <w:tcBorders>
              <w:top w:val="nil"/>
              <w:left w:val="nil"/>
              <w:bottom w:val="single" w:sz="4" w:space="0" w:color="000000"/>
              <w:right w:val="single" w:sz="12" w:space="0" w:color="000000"/>
            </w:tcBorders>
            <w:shd w:val="clear" w:color="auto" w:fill="auto"/>
            <w:noWrap/>
            <w:vAlign w:val="center"/>
            <w:hideMark/>
          </w:tcPr>
          <w:p w14:paraId="0F6D813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67.28%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703849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217</w:t>
            </w:r>
          </w:p>
        </w:tc>
        <w:tc>
          <w:tcPr>
            <w:tcW w:w="0" w:type="auto"/>
            <w:tcBorders>
              <w:top w:val="nil"/>
              <w:left w:val="nil"/>
              <w:bottom w:val="single" w:sz="4" w:space="0" w:color="000000"/>
              <w:right w:val="single" w:sz="8" w:space="0" w:color="000000"/>
            </w:tcBorders>
            <w:shd w:val="clear" w:color="auto" w:fill="auto"/>
            <w:noWrap/>
            <w:vAlign w:val="center"/>
            <w:hideMark/>
          </w:tcPr>
          <w:p w14:paraId="5D0315C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63.45%</w:t>
            </w:r>
          </w:p>
        </w:tc>
      </w:tr>
      <w:tr w:rsidR="00EA2B24" w:rsidRPr="00412B28" w14:paraId="683223B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2A628AE"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B73832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97AAD1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624ED08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04A292F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BED42A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8" w:space="0" w:color="000000"/>
            </w:tcBorders>
            <w:shd w:val="clear" w:color="auto" w:fill="auto"/>
            <w:noWrap/>
            <w:vAlign w:val="center"/>
            <w:hideMark/>
          </w:tcPr>
          <w:p w14:paraId="0824007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2.92%</w:t>
            </w:r>
          </w:p>
        </w:tc>
      </w:tr>
      <w:tr w:rsidR="00EA2B24" w:rsidRPr="00412B28" w14:paraId="41EE6EC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69087C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1B4EF5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54FFDC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08C8B01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12" w:space="0" w:color="000000"/>
            </w:tcBorders>
            <w:shd w:val="clear" w:color="auto" w:fill="auto"/>
            <w:noWrap/>
            <w:vAlign w:val="center"/>
            <w:hideMark/>
          </w:tcPr>
          <w:p w14:paraId="161722B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9.26%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09AA1B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8" w:space="0" w:color="000000"/>
            </w:tcBorders>
            <w:shd w:val="clear" w:color="auto" w:fill="auto"/>
            <w:noWrap/>
            <w:vAlign w:val="center"/>
            <w:hideMark/>
          </w:tcPr>
          <w:p w14:paraId="173AB2E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7.31%</w:t>
            </w:r>
          </w:p>
        </w:tc>
      </w:tr>
      <w:tr w:rsidR="00EA2B24" w:rsidRPr="00412B28" w14:paraId="292CBA9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31CDC3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5387FC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lokacijskih uslova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538B84E8"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single" w:sz="12" w:space="0" w:color="000000"/>
              <w:bottom w:val="single" w:sz="4" w:space="0" w:color="000000"/>
              <w:right w:val="single" w:sz="4" w:space="0" w:color="000000"/>
            </w:tcBorders>
            <w:shd w:val="clear" w:color="000000" w:fill="DDEBF7"/>
            <w:noWrap/>
            <w:vAlign w:val="bottom"/>
            <w:hideMark/>
          </w:tcPr>
          <w:p w14:paraId="2A76A34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324</w:t>
            </w:r>
          </w:p>
        </w:tc>
        <w:tc>
          <w:tcPr>
            <w:tcW w:w="0" w:type="auto"/>
            <w:tcBorders>
              <w:top w:val="nil"/>
              <w:left w:val="nil"/>
              <w:bottom w:val="single" w:sz="4" w:space="0" w:color="000000"/>
              <w:right w:val="single" w:sz="12" w:space="0" w:color="000000"/>
            </w:tcBorders>
            <w:shd w:val="clear" w:color="000000" w:fill="DDEBF7"/>
            <w:noWrap/>
            <w:vAlign w:val="center"/>
            <w:hideMark/>
          </w:tcPr>
          <w:p w14:paraId="2462C352"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7BEBE32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342</w:t>
            </w:r>
          </w:p>
        </w:tc>
        <w:tc>
          <w:tcPr>
            <w:tcW w:w="0" w:type="auto"/>
            <w:tcBorders>
              <w:top w:val="nil"/>
              <w:left w:val="nil"/>
              <w:bottom w:val="single" w:sz="4" w:space="0" w:color="000000"/>
              <w:right w:val="single" w:sz="8" w:space="0" w:color="000000"/>
            </w:tcBorders>
            <w:shd w:val="clear" w:color="000000" w:fill="DDEBF7"/>
            <w:noWrap/>
            <w:vAlign w:val="center"/>
            <w:hideMark/>
          </w:tcPr>
          <w:p w14:paraId="23770CA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4083DC9E" w14:textId="77777777" w:rsidTr="00D41708">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noWrap/>
            <w:vAlign w:val="center"/>
            <w:hideMark/>
          </w:tcPr>
          <w:p w14:paraId="33FEB927" w14:textId="77777777" w:rsidR="00EA2B24" w:rsidRPr="00412B28" w:rsidRDefault="00EA2B24" w:rsidP="00D41708">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GRAĐEVINSKE DOZVOLE</w:t>
            </w:r>
          </w:p>
        </w:tc>
        <w:tc>
          <w:tcPr>
            <w:tcW w:w="0" w:type="auto"/>
            <w:tcBorders>
              <w:top w:val="nil"/>
              <w:left w:val="nil"/>
              <w:bottom w:val="nil"/>
              <w:right w:val="nil"/>
            </w:tcBorders>
            <w:shd w:val="clear" w:color="auto" w:fill="auto"/>
            <w:noWrap/>
            <w:vAlign w:val="bottom"/>
            <w:hideMark/>
          </w:tcPr>
          <w:p w14:paraId="4E11CA8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B93BA8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0D6838F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3899</w:t>
            </w:r>
          </w:p>
        </w:tc>
        <w:tc>
          <w:tcPr>
            <w:tcW w:w="0" w:type="auto"/>
            <w:tcBorders>
              <w:top w:val="nil"/>
              <w:left w:val="nil"/>
              <w:bottom w:val="single" w:sz="4" w:space="0" w:color="000000"/>
              <w:right w:val="single" w:sz="12" w:space="0" w:color="000000"/>
            </w:tcBorders>
            <w:shd w:val="clear" w:color="auto" w:fill="auto"/>
            <w:noWrap/>
            <w:vAlign w:val="center"/>
            <w:hideMark/>
          </w:tcPr>
          <w:p w14:paraId="725F419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B64051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3981</w:t>
            </w:r>
          </w:p>
        </w:tc>
        <w:tc>
          <w:tcPr>
            <w:tcW w:w="0" w:type="auto"/>
            <w:tcBorders>
              <w:top w:val="nil"/>
              <w:left w:val="nil"/>
              <w:bottom w:val="single" w:sz="4" w:space="0" w:color="000000"/>
              <w:right w:val="single" w:sz="8" w:space="0" w:color="000000"/>
            </w:tcBorders>
            <w:shd w:val="clear" w:color="auto" w:fill="auto"/>
            <w:noWrap/>
            <w:vAlign w:val="center"/>
            <w:hideMark/>
          </w:tcPr>
          <w:p w14:paraId="5724F97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34.78%</w:t>
            </w:r>
          </w:p>
        </w:tc>
      </w:tr>
      <w:tr w:rsidR="00EA2B24" w:rsidRPr="00412B28" w14:paraId="44FC8BC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DB379A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94FF1B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AF8A35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0FA0153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w:t>
            </w:r>
          </w:p>
        </w:tc>
        <w:tc>
          <w:tcPr>
            <w:tcW w:w="0" w:type="auto"/>
            <w:tcBorders>
              <w:top w:val="nil"/>
              <w:left w:val="nil"/>
              <w:bottom w:val="single" w:sz="4" w:space="0" w:color="000000"/>
              <w:right w:val="single" w:sz="12" w:space="0" w:color="000000"/>
            </w:tcBorders>
            <w:shd w:val="clear" w:color="auto" w:fill="auto"/>
            <w:noWrap/>
            <w:vAlign w:val="center"/>
            <w:hideMark/>
          </w:tcPr>
          <w:p w14:paraId="0B5B483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7EEEA6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94</w:t>
            </w:r>
          </w:p>
        </w:tc>
        <w:tc>
          <w:tcPr>
            <w:tcW w:w="0" w:type="auto"/>
            <w:tcBorders>
              <w:top w:val="nil"/>
              <w:left w:val="nil"/>
              <w:bottom w:val="single" w:sz="4" w:space="0" w:color="000000"/>
              <w:right w:val="single" w:sz="8" w:space="0" w:color="000000"/>
            </w:tcBorders>
            <w:shd w:val="clear" w:color="auto" w:fill="auto"/>
            <w:noWrap/>
            <w:vAlign w:val="center"/>
            <w:hideMark/>
          </w:tcPr>
          <w:p w14:paraId="33A4667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0.82%</w:t>
            </w:r>
          </w:p>
        </w:tc>
      </w:tr>
      <w:tr w:rsidR="00EA2B24" w:rsidRPr="00412B28" w14:paraId="325678F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78BE86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D5F825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4185C6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059D03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6629</w:t>
            </w:r>
          </w:p>
        </w:tc>
        <w:tc>
          <w:tcPr>
            <w:tcW w:w="0" w:type="auto"/>
            <w:tcBorders>
              <w:top w:val="nil"/>
              <w:left w:val="nil"/>
              <w:bottom w:val="single" w:sz="4" w:space="0" w:color="000000"/>
              <w:right w:val="single" w:sz="12" w:space="0" w:color="000000"/>
            </w:tcBorders>
            <w:shd w:val="clear" w:color="auto" w:fill="auto"/>
            <w:noWrap/>
            <w:vAlign w:val="center"/>
            <w:hideMark/>
          </w:tcPr>
          <w:p w14:paraId="739A498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59.51%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104092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6541</w:t>
            </w:r>
          </w:p>
        </w:tc>
        <w:tc>
          <w:tcPr>
            <w:tcW w:w="0" w:type="auto"/>
            <w:tcBorders>
              <w:top w:val="nil"/>
              <w:left w:val="nil"/>
              <w:bottom w:val="single" w:sz="4" w:space="0" w:color="000000"/>
              <w:right w:val="single" w:sz="8" w:space="0" w:color="000000"/>
            </w:tcBorders>
            <w:shd w:val="clear" w:color="auto" w:fill="auto"/>
            <w:noWrap/>
            <w:vAlign w:val="center"/>
            <w:hideMark/>
          </w:tcPr>
          <w:p w14:paraId="12DFE4B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57.14%</w:t>
            </w:r>
          </w:p>
        </w:tc>
      </w:tr>
      <w:tr w:rsidR="00EA2B24" w:rsidRPr="00412B28" w14:paraId="7D7A1ED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A6B15A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929695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4B9FD7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6E3DFBD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92</w:t>
            </w:r>
          </w:p>
        </w:tc>
        <w:tc>
          <w:tcPr>
            <w:tcW w:w="0" w:type="auto"/>
            <w:tcBorders>
              <w:top w:val="nil"/>
              <w:left w:val="nil"/>
              <w:bottom w:val="single" w:sz="4" w:space="0" w:color="000000"/>
              <w:right w:val="single" w:sz="12" w:space="0" w:color="000000"/>
            </w:tcBorders>
            <w:shd w:val="clear" w:color="auto" w:fill="auto"/>
            <w:noWrap/>
            <w:vAlign w:val="center"/>
            <w:hideMark/>
          </w:tcPr>
          <w:p w14:paraId="5AF48FF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343338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221</w:t>
            </w:r>
          </w:p>
        </w:tc>
        <w:tc>
          <w:tcPr>
            <w:tcW w:w="0" w:type="auto"/>
            <w:tcBorders>
              <w:top w:val="nil"/>
              <w:left w:val="nil"/>
              <w:bottom w:val="single" w:sz="4" w:space="0" w:color="000000"/>
              <w:right w:val="single" w:sz="8" w:space="0" w:color="000000"/>
            </w:tcBorders>
            <w:shd w:val="clear" w:color="auto" w:fill="auto"/>
            <w:noWrap/>
            <w:vAlign w:val="center"/>
            <w:hideMark/>
          </w:tcPr>
          <w:p w14:paraId="741C51C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1.93%</w:t>
            </w:r>
          </w:p>
        </w:tc>
      </w:tr>
      <w:tr w:rsidR="00EA2B24" w:rsidRPr="00412B28" w14:paraId="3996C86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0FD754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688B23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529626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7FB22B9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w:t>
            </w:r>
          </w:p>
        </w:tc>
        <w:tc>
          <w:tcPr>
            <w:tcW w:w="0" w:type="auto"/>
            <w:tcBorders>
              <w:top w:val="nil"/>
              <w:left w:val="nil"/>
              <w:bottom w:val="single" w:sz="4" w:space="0" w:color="000000"/>
              <w:right w:val="single" w:sz="12" w:space="0" w:color="000000"/>
            </w:tcBorders>
            <w:shd w:val="clear" w:color="auto" w:fill="auto"/>
            <w:noWrap/>
            <w:vAlign w:val="center"/>
            <w:hideMark/>
          </w:tcPr>
          <w:p w14:paraId="713F35F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105429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w:t>
            </w:r>
          </w:p>
        </w:tc>
        <w:tc>
          <w:tcPr>
            <w:tcW w:w="0" w:type="auto"/>
            <w:tcBorders>
              <w:top w:val="nil"/>
              <w:left w:val="nil"/>
              <w:bottom w:val="single" w:sz="4" w:space="0" w:color="000000"/>
              <w:right w:val="single" w:sz="8" w:space="0" w:color="000000"/>
            </w:tcBorders>
            <w:shd w:val="clear" w:color="auto" w:fill="auto"/>
            <w:noWrap/>
            <w:vAlign w:val="center"/>
            <w:hideMark/>
          </w:tcPr>
          <w:p w14:paraId="61D8147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0.16%</w:t>
            </w:r>
          </w:p>
        </w:tc>
      </w:tr>
      <w:tr w:rsidR="00EA2B24" w:rsidRPr="00412B28" w14:paraId="516A0D91"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8927B0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6864EB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986FC3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4A8721E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449</w:t>
            </w:r>
          </w:p>
        </w:tc>
        <w:tc>
          <w:tcPr>
            <w:tcW w:w="0" w:type="auto"/>
            <w:tcBorders>
              <w:top w:val="nil"/>
              <w:left w:val="nil"/>
              <w:bottom w:val="single" w:sz="4" w:space="0" w:color="000000"/>
              <w:right w:val="single" w:sz="12" w:space="0" w:color="000000"/>
            </w:tcBorders>
            <w:shd w:val="clear" w:color="auto" w:fill="auto"/>
            <w:noWrap/>
            <w:vAlign w:val="center"/>
            <w:hideMark/>
          </w:tcPr>
          <w:p w14:paraId="3D2D47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D1B1C7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592</w:t>
            </w:r>
          </w:p>
        </w:tc>
        <w:tc>
          <w:tcPr>
            <w:tcW w:w="0" w:type="auto"/>
            <w:tcBorders>
              <w:top w:val="nil"/>
              <w:left w:val="nil"/>
              <w:bottom w:val="single" w:sz="4" w:space="0" w:color="000000"/>
              <w:right w:val="single" w:sz="8" w:space="0" w:color="000000"/>
            </w:tcBorders>
            <w:shd w:val="clear" w:color="auto" w:fill="auto"/>
            <w:noWrap/>
            <w:vAlign w:val="center"/>
            <w:hideMark/>
          </w:tcPr>
          <w:p w14:paraId="642097B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5.17%</w:t>
            </w:r>
          </w:p>
        </w:tc>
      </w:tr>
      <w:tr w:rsidR="00EA2B24" w:rsidRPr="00412B28" w14:paraId="005D178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C9760B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0665718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CC0C1AC"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09D2D2D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11140</w:t>
            </w:r>
          </w:p>
        </w:tc>
        <w:tc>
          <w:tcPr>
            <w:tcW w:w="0" w:type="auto"/>
            <w:tcBorders>
              <w:top w:val="nil"/>
              <w:left w:val="nil"/>
              <w:bottom w:val="single" w:sz="4" w:space="0" w:color="000000"/>
              <w:right w:val="single" w:sz="12" w:space="0" w:color="000000"/>
            </w:tcBorders>
            <w:shd w:val="clear" w:color="000000" w:fill="DDEBF7"/>
            <w:noWrap/>
            <w:vAlign w:val="center"/>
            <w:hideMark/>
          </w:tcPr>
          <w:p w14:paraId="77EEE5D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2F4F06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11447</w:t>
            </w:r>
          </w:p>
        </w:tc>
        <w:tc>
          <w:tcPr>
            <w:tcW w:w="0" w:type="auto"/>
            <w:tcBorders>
              <w:top w:val="nil"/>
              <w:left w:val="nil"/>
              <w:bottom w:val="single" w:sz="4" w:space="0" w:color="000000"/>
              <w:right w:val="single" w:sz="8" w:space="0" w:color="000000"/>
            </w:tcBorders>
            <w:shd w:val="clear" w:color="000000" w:fill="DDEBF7"/>
            <w:noWrap/>
            <w:vAlign w:val="center"/>
            <w:hideMark/>
          </w:tcPr>
          <w:p w14:paraId="29B7845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4D5CC36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E5BB38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F0287E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F246C8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43658C7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659</w:t>
            </w:r>
          </w:p>
        </w:tc>
        <w:tc>
          <w:tcPr>
            <w:tcW w:w="0" w:type="auto"/>
            <w:tcBorders>
              <w:top w:val="nil"/>
              <w:left w:val="nil"/>
              <w:bottom w:val="single" w:sz="4" w:space="0" w:color="000000"/>
              <w:right w:val="single" w:sz="12" w:space="0" w:color="000000"/>
            </w:tcBorders>
            <w:shd w:val="clear" w:color="auto" w:fill="auto"/>
            <w:noWrap/>
            <w:vAlign w:val="center"/>
            <w:hideMark/>
          </w:tcPr>
          <w:p w14:paraId="29CB1F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21.78%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07323C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649</w:t>
            </w:r>
          </w:p>
        </w:tc>
        <w:tc>
          <w:tcPr>
            <w:tcW w:w="0" w:type="auto"/>
            <w:tcBorders>
              <w:top w:val="nil"/>
              <w:left w:val="nil"/>
              <w:bottom w:val="single" w:sz="4" w:space="0" w:color="000000"/>
              <w:right w:val="single" w:sz="8" w:space="0" w:color="000000"/>
            </w:tcBorders>
            <w:shd w:val="clear" w:color="auto" w:fill="auto"/>
            <w:noWrap/>
            <w:vAlign w:val="center"/>
            <w:hideMark/>
          </w:tcPr>
          <w:p w14:paraId="0C30F61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19.50%</w:t>
            </w:r>
          </w:p>
        </w:tc>
      </w:tr>
      <w:tr w:rsidR="00EA2B24" w:rsidRPr="00412B28" w14:paraId="0B95A70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AC1A02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12A18E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709AE2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496A16F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w:t>
            </w:r>
          </w:p>
        </w:tc>
        <w:tc>
          <w:tcPr>
            <w:tcW w:w="0" w:type="auto"/>
            <w:tcBorders>
              <w:top w:val="nil"/>
              <w:left w:val="nil"/>
              <w:bottom w:val="single" w:sz="4" w:space="0" w:color="000000"/>
              <w:right w:val="single" w:sz="12" w:space="0" w:color="000000"/>
            </w:tcBorders>
            <w:shd w:val="clear" w:color="auto" w:fill="auto"/>
            <w:noWrap/>
            <w:vAlign w:val="center"/>
            <w:hideMark/>
          </w:tcPr>
          <w:p w14:paraId="05FF8F4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829055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w:t>
            </w:r>
          </w:p>
        </w:tc>
        <w:tc>
          <w:tcPr>
            <w:tcW w:w="0" w:type="auto"/>
            <w:tcBorders>
              <w:top w:val="nil"/>
              <w:left w:val="nil"/>
              <w:bottom w:val="single" w:sz="4" w:space="0" w:color="000000"/>
              <w:right w:val="single" w:sz="8" w:space="0" w:color="000000"/>
            </w:tcBorders>
            <w:shd w:val="clear" w:color="auto" w:fill="auto"/>
            <w:noWrap/>
            <w:vAlign w:val="center"/>
            <w:hideMark/>
          </w:tcPr>
          <w:p w14:paraId="18BFA7D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0.60%</w:t>
            </w:r>
          </w:p>
        </w:tc>
      </w:tr>
      <w:tr w:rsidR="00EA2B24" w:rsidRPr="00412B28" w14:paraId="59BED25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735E14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90F646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E8BFC4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7B599AA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2231</w:t>
            </w:r>
          </w:p>
        </w:tc>
        <w:tc>
          <w:tcPr>
            <w:tcW w:w="0" w:type="auto"/>
            <w:tcBorders>
              <w:top w:val="nil"/>
              <w:left w:val="nil"/>
              <w:bottom w:val="single" w:sz="4" w:space="0" w:color="000000"/>
              <w:right w:val="single" w:sz="12" w:space="0" w:color="000000"/>
            </w:tcBorders>
            <w:shd w:val="clear" w:color="auto" w:fill="auto"/>
            <w:noWrap/>
            <w:vAlign w:val="center"/>
            <w:hideMark/>
          </w:tcPr>
          <w:p w14:paraId="378F3D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D261F1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2427</w:t>
            </w:r>
          </w:p>
        </w:tc>
        <w:tc>
          <w:tcPr>
            <w:tcW w:w="0" w:type="auto"/>
            <w:tcBorders>
              <w:top w:val="nil"/>
              <w:left w:val="nil"/>
              <w:bottom w:val="single" w:sz="4" w:space="0" w:color="000000"/>
              <w:right w:val="single" w:sz="8" w:space="0" w:color="000000"/>
            </w:tcBorders>
            <w:shd w:val="clear" w:color="auto" w:fill="auto"/>
            <w:noWrap/>
            <w:vAlign w:val="center"/>
            <w:hideMark/>
          </w:tcPr>
          <w:p w14:paraId="0A82DF5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72.93%</w:t>
            </w:r>
          </w:p>
        </w:tc>
      </w:tr>
      <w:tr w:rsidR="00EA2B24" w:rsidRPr="00412B28" w14:paraId="387B03F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89917C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430CBA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F02D57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Obaveštena inspekcija</w:t>
            </w:r>
          </w:p>
        </w:tc>
        <w:tc>
          <w:tcPr>
            <w:tcW w:w="0" w:type="auto"/>
            <w:tcBorders>
              <w:top w:val="nil"/>
              <w:left w:val="nil"/>
              <w:bottom w:val="single" w:sz="4" w:space="0" w:color="000000"/>
              <w:right w:val="single" w:sz="4" w:space="0" w:color="000000"/>
            </w:tcBorders>
            <w:shd w:val="clear" w:color="auto" w:fill="auto"/>
            <w:noWrap/>
            <w:vAlign w:val="bottom"/>
            <w:hideMark/>
          </w:tcPr>
          <w:p w14:paraId="7AC4D8E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w:t>
            </w:r>
          </w:p>
        </w:tc>
        <w:tc>
          <w:tcPr>
            <w:tcW w:w="0" w:type="auto"/>
            <w:tcBorders>
              <w:top w:val="nil"/>
              <w:left w:val="nil"/>
              <w:bottom w:val="single" w:sz="4" w:space="0" w:color="000000"/>
              <w:right w:val="single" w:sz="12" w:space="0" w:color="000000"/>
            </w:tcBorders>
            <w:shd w:val="clear" w:color="auto" w:fill="auto"/>
            <w:noWrap/>
            <w:vAlign w:val="center"/>
            <w:hideMark/>
          </w:tcPr>
          <w:p w14:paraId="6CC0F99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235002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w:t>
            </w:r>
          </w:p>
        </w:tc>
        <w:tc>
          <w:tcPr>
            <w:tcW w:w="0" w:type="auto"/>
            <w:tcBorders>
              <w:top w:val="nil"/>
              <w:left w:val="nil"/>
              <w:bottom w:val="single" w:sz="4" w:space="0" w:color="000000"/>
              <w:right w:val="single" w:sz="8" w:space="0" w:color="000000"/>
            </w:tcBorders>
            <w:shd w:val="clear" w:color="auto" w:fill="auto"/>
            <w:noWrap/>
            <w:vAlign w:val="center"/>
            <w:hideMark/>
          </w:tcPr>
          <w:p w14:paraId="0652FB3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0.96%</w:t>
            </w:r>
          </w:p>
        </w:tc>
      </w:tr>
      <w:tr w:rsidR="00EA2B24" w:rsidRPr="00412B28" w14:paraId="494E87A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253853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92AD6E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B82B3F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203F852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12" w:space="0" w:color="000000"/>
            </w:tcBorders>
            <w:shd w:val="clear" w:color="auto" w:fill="auto"/>
            <w:noWrap/>
            <w:vAlign w:val="center"/>
            <w:hideMark/>
          </w:tcPr>
          <w:p w14:paraId="3FE3919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854393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8" w:space="0" w:color="000000"/>
            </w:tcBorders>
            <w:shd w:val="clear" w:color="auto" w:fill="auto"/>
            <w:noWrap/>
            <w:vAlign w:val="center"/>
            <w:hideMark/>
          </w:tcPr>
          <w:p w14:paraId="722324F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0.18%</w:t>
            </w:r>
          </w:p>
        </w:tc>
      </w:tr>
      <w:tr w:rsidR="00EA2B24" w:rsidRPr="00412B28" w14:paraId="2A9E382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4B6DCD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642453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7675D6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6375FD6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97</w:t>
            </w:r>
          </w:p>
        </w:tc>
        <w:tc>
          <w:tcPr>
            <w:tcW w:w="0" w:type="auto"/>
            <w:tcBorders>
              <w:top w:val="nil"/>
              <w:left w:val="nil"/>
              <w:bottom w:val="single" w:sz="4" w:space="0" w:color="000000"/>
              <w:right w:val="single" w:sz="12" w:space="0" w:color="000000"/>
            </w:tcBorders>
            <w:shd w:val="clear" w:color="auto" w:fill="auto"/>
            <w:noWrap/>
            <w:vAlign w:val="center"/>
            <w:hideMark/>
          </w:tcPr>
          <w:p w14:paraId="4086FD8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5B83AB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194</w:t>
            </w:r>
          </w:p>
        </w:tc>
        <w:tc>
          <w:tcPr>
            <w:tcW w:w="0" w:type="auto"/>
            <w:tcBorders>
              <w:top w:val="nil"/>
              <w:left w:val="nil"/>
              <w:bottom w:val="single" w:sz="4" w:space="0" w:color="000000"/>
              <w:right w:val="single" w:sz="8" w:space="0" w:color="000000"/>
            </w:tcBorders>
            <w:shd w:val="clear" w:color="auto" w:fill="auto"/>
            <w:noWrap/>
            <w:vAlign w:val="center"/>
            <w:hideMark/>
          </w:tcPr>
          <w:p w14:paraId="57B089A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5.83%</w:t>
            </w:r>
          </w:p>
        </w:tc>
      </w:tr>
      <w:tr w:rsidR="00EA2B24" w:rsidRPr="00412B28" w14:paraId="45303D8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2DCA0D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511F5F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0D1623F5"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256E20F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3026</w:t>
            </w:r>
          </w:p>
        </w:tc>
        <w:tc>
          <w:tcPr>
            <w:tcW w:w="0" w:type="auto"/>
            <w:tcBorders>
              <w:top w:val="nil"/>
              <w:left w:val="nil"/>
              <w:bottom w:val="single" w:sz="4" w:space="0" w:color="000000"/>
              <w:right w:val="single" w:sz="12" w:space="0" w:color="000000"/>
            </w:tcBorders>
            <w:shd w:val="clear" w:color="000000" w:fill="DDEBF7"/>
            <w:noWrap/>
            <w:vAlign w:val="center"/>
            <w:hideMark/>
          </w:tcPr>
          <w:p w14:paraId="0CF31E4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65DCC03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3328</w:t>
            </w:r>
          </w:p>
        </w:tc>
        <w:tc>
          <w:tcPr>
            <w:tcW w:w="0" w:type="auto"/>
            <w:tcBorders>
              <w:top w:val="nil"/>
              <w:left w:val="nil"/>
              <w:bottom w:val="single" w:sz="4" w:space="0" w:color="000000"/>
              <w:right w:val="single" w:sz="8" w:space="0" w:color="000000"/>
            </w:tcBorders>
            <w:shd w:val="clear" w:color="000000" w:fill="DDEBF7"/>
            <w:noWrap/>
            <w:vAlign w:val="center"/>
            <w:hideMark/>
          </w:tcPr>
          <w:p w14:paraId="60C6C99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47BEA3F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6B5738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A1DFC2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B60270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42C6523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12" w:space="0" w:color="000000"/>
            </w:tcBorders>
            <w:shd w:val="clear" w:color="auto" w:fill="auto"/>
            <w:noWrap/>
            <w:vAlign w:val="center"/>
            <w:hideMark/>
          </w:tcPr>
          <w:p w14:paraId="4D4C1E6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33.33%</w:t>
            </w:r>
          </w:p>
        </w:tc>
        <w:tc>
          <w:tcPr>
            <w:tcW w:w="0" w:type="auto"/>
            <w:tcBorders>
              <w:top w:val="nil"/>
              <w:left w:val="single" w:sz="4" w:space="0" w:color="000000"/>
              <w:bottom w:val="nil"/>
              <w:right w:val="single" w:sz="4" w:space="0" w:color="000000"/>
            </w:tcBorders>
            <w:shd w:val="clear" w:color="auto" w:fill="auto"/>
            <w:noWrap/>
            <w:vAlign w:val="center"/>
            <w:hideMark/>
          </w:tcPr>
          <w:p w14:paraId="7C37583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nil"/>
              <w:right w:val="single" w:sz="8" w:space="0" w:color="000000"/>
            </w:tcBorders>
            <w:shd w:val="clear" w:color="auto" w:fill="auto"/>
            <w:noWrap/>
            <w:vAlign w:val="center"/>
            <w:hideMark/>
          </w:tcPr>
          <w:p w14:paraId="724121E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147513F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7A4F6B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E9AEA3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816DD0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502A01C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w:t>
            </w:r>
          </w:p>
        </w:tc>
        <w:tc>
          <w:tcPr>
            <w:tcW w:w="0" w:type="auto"/>
            <w:tcBorders>
              <w:top w:val="nil"/>
              <w:left w:val="nil"/>
              <w:bottom w:val="single" w:sz="4" w:space="0" w:color="000000"/>
              <w:right w:val="single" w:sz="12" w:space="0" w:color="000000"/>
            </w:tcBorders>
            <w:shd w:val="clear" w:color="auto" w:fill="auto"/>
            <w:noWrap/>
            <w:vAlign w:val="center"/>
            <w:hideMark/>
          </w:tcPr>
          <w:p w14:paraId="7692030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66.67%</w:t>
            </w:r>
          </w:p>
        </w:tc>
        <w:tc>
          <w:tcPr>
            <w:tcW w:w="0" w:type="auto"/>
            <w:tcBorders>
              <w:top w:val="single" w:sz="4" w:space="0" w:color="000000"/>
              <w:left w:val="nil"/>
              <w:bottom w:val="single" w:sz="4" w:space="0" w:color="000000"/>
              <w:right w:val="single" w:sz="4" w:space="0" w:color="000000"/>
            </w:tcBorders>
            <w:shd w:val="clear" w:color="auto" w:fill="auto"/>
            <w:noWrap/>
            <w:vAlign w:val="bottom"/>
            <w:hideMark/>
          </w:tcPr>
          <w:p w14:paraId="5A8B336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single" w:sz="4" w:space="0" w:color="000000"/>
              <w:left w:val="nil"/>
              <w:bottom w:val="single" w:sz="4" w:space="0" w:color="000000"/>
              <w:right w:val="single" w:sz="8" w:space="0" w:color="000000"/>
            </w:tcBorders>
            <w:shd w:val="clear" w:color="auto" w:fill="auto"/>
            <w:noWrap/>
            <w:vAlign w:val="center"/>
            <w:hideMark/>
          </w:tcPr>
          <w:p w14:paraId="293FED0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55F6EB7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A8CA0B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FFE2AC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4BAF04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52A0962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75AE3A0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37F4034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272F204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7EFBEDF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CB3DE4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B62ACB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388FCC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2955B09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57644BF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3DC3755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E7A257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2D88A95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1E41AB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6E24C3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293342B"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1445536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18</w:t>
            </w:r>
          </w:p>
        </w:tc>
        <w:tc>
          <w:tcPr>
            <w:tcW w:w="0" w:type="auto"/>
            <w:tcBorders>
              <w:top w:val="nil"/>
              <w:left w:val="nil"/>
              <w:bottom w:val="single" w:sz="4" w:space="0" w:color="000000"/>
              <w:right w:val="single" w:sz="12" w:space="0" w:color="000000"/>
            </w:tcBorders>
            <w:shd w:val="clear" w:color="000000" w:fill="DDEBF7"/>
            <w:noWrap/>
            <w:vAlign w:val="center"/>
            <w:hideMark/>
          </w:tcPr>
          <w:p w14:paraId="429E558A"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bottom"/>
            <w:hideMark/>
          </w:tcPr>
          <w:p w14:paraId="4F4459E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0C3A2420"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EA2B24" w:rsidRPr="00412B28" w14:paraId="6BAA578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ED5D7B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1CC117D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nil"/>
              <w:bottom w:val="single" w:sz="4" w:space="0" w:color="000000"/>
              <w:right w:val="single" w:sz="12" w:space="0" w:color="000000"/>
            </w:tcBorders>
            <w:shd w:val="clear" w:color="auto" w:fill="auto"/>
            <w:noWrap/>
            <w:vAlign w:val="bottom"/>
            <w:hideMark/>
          </w:tcPr>
          <w:p w14:paraId="36BB777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50E3794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720</w:t>
            </w:r>
          </w:p>
        </w:tc>
        <w:tc>
          <w:tcPr>
            <w:tcW w:w="0" w:type="auto"/>
            <w:tcBorders>
              <w:top w:val="nil"/>
              <w:left w:val="nil"/>
              <w:bottom w:val="single" w:sz="4" w:space="0" w:color="000000"/>
              <w:right w:val="single" w:sz="12" w:space="0" w:color="000000"/>
            </w:tcBorders>
            <w:shd w:val="clear" w:color="auto" w:fill="auto"/>
            <w:noWrap/>
            <w:vAlign w:val="center"/>
            <w:hideMark/>
          </w:tcPr>
          <w:p w14:paraId="41AFAF1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28.54%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BDC141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667</w:t>
            </w:r>
          </w:p>
        </w:tc>
        <w:tc>
          <w:tcPr>
            <w:tcW w:w="0" w:type="auto"/>
            <w:tcBorders>
              <w:top w:val="nil"/>
              <w:left w:val="nil"/>
              <w:bottom w:val="single" w:sz="4" w:space="0" w:color="000000"/>
              <w:right w:val="single" w:sz="8" w:space="0" w:color="000000"/>
            </w:tcBorders>
            <w:shd w:val="clear" w:color="auto" w:fill="auto"/>
            <w:noWrap/>
            <w:vAlign w:val="center"/>
            <w:hideMark/>
          </w:tcPr>
          <w:p w14:paraId="14FA917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25.67%</w:t>
            </w:r>
          </w:p>
        </w:tc>
      </w:tr>
      <w:tr w:rsidR="00EA2B24" w:rsidRPr="00412B28" w14:paraId="3B2FC81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0ED51E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B6AEB3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FCFA6C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1C3F06C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12" w:space="0" w:color="000000"/>
            </w:tcBorders>
            <w:shd w:val="clear" w:color="auto" w:fill="auto"/>
            <w:noWrap/>
            <w:vAlign w:val="center"/>
            <w:hideMark/>
          </w:tcPr>
          <w:p w14:paraId="38F43C5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CBC927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w:t>
            </w:r>
          </w:p>
        </w:tc>
        <w:tc>
          <w:tcPr>
            <w:tcW w:w="0" w:type="auto"/>
            <w:tcBorders>
              <w:top w:val="nil"/>
              <w:left w:val="nil"/>
              <w:bottom w:val="single" w:sz="4" w:space="0" w:color="000000"/>
              <w:right w:val="single" w:sz="8" w:space="0" w:color="000000"/>
            </w:tcBorders>
            <w:shd w:val="clear" w:color="auto" w:fill="auto"/>
            <w:noWrap/>
            <w:vAlign w:val="center"/>
            <w:hideMark/>
          </w:tcPr>
          <w:p w14:paraId="394C323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1.19%</w:t>
            </w:r>
          </w:p>
        </w:tc>
      </w:tr>
      <w:tr w:rsidR="00EA2B24" w:rsidRPr="00412B28" w14:paraId="6096EF3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31BFF3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41A80D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7CD001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2E881E6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1602</w:t>
            </w:r>
          </w:p>
        </w:tc>
        <w:tc>
          <w:tcPr>
            <w:tcW w:w="0" w:type="auto"/>
            <w:tcBorders>
              <w:top w:val="nil"/>
              <w:left w:val="nil"/>
              <w:bottom w:val="single" w:sz="4" w:space="0" w:color="000000"/>
              <w:right w:val="single" w:sz="12" w:space="0" w:color="000000"/>
            </w:tcBorders>
            <w:shd w:val="clear" w:color="auto" w:fill="auto"/>
            <w:noWrap/>
            <w:vAlign w:val="center"/>
            <w:hideMark/>
          </w:tcPr>
          <w:p w14:paraId="370274C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63.50%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4462A8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1671</w:t>
            </w:r>
          </w:p>
        </w:tc>
        <w:tc>
          <w:tcPr>
            <w:tcW w:w="0" w:type="auto"/>
            <w:tcBorders>
              <w:top w:val="nil"/>
              <w:left w:val="nil"/>
              <w:bottom w:val="single" w:sz="4" w:space="0" w:color="000000"/>
              <w:right w:val="single" w:sz="8" w:space="0" w:color="000000"/>
            </w:tcBorders>
            <w:shd w:val="clear" w:color="auto" w:fill="auto"/>
            <w:noWrap/>
            <w:vAlign w:val="center"/>
            <w:hideMark/>
          </w:tcPr>
          <w:p w14:paraId="42DAD7D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64.32%</w:t>
            </w:r>
          </w:p>
        </w:tc>
      </w:tr>
      <w:tr w:rsidR="00EA2B24" w:rsidRPr="00412B28" w14:paraId="3E288F3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9637C2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189EAAF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nil"/>
              <w:bottom w:val="single" w:sz="4" w:space="0" w:color="000000"/>
              <w:right w:val="single" w:sz="12" w:space="0" w:color="000000"/>
            </w:tcBorders>
            <w:shd w:val="clear" w:color="auto" w:fill="auto"/>
            <w:noWrap/>
            <w:vAlign w:val="bottom"/>
            <w:hideMark/>
          </w:tcPr>
          <w:p w14:paraId="1A12054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4060263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w:t>
            </w:r>
          </w:p>
        </w:tc>
        <w:tc>
          <w:tcPr>
            <w:tcW w:w="0" w:type="auto"/>
            <w:tcBorders>
              <w:top w:val="nil"/>
              <w:left w:val="nil"/>
              <w:bottom w:val="single" w:sz="4" w:space="0" w:color="000000"/>
              <w:right w:val="single" w:sz="12" w:space="0" w:color="000000"/>
            </w:tcBorders>
            <w:shd w:val="clear" w:color="auto" w:fill="auto"/>
            <w:noWrap/>
            <w:vAlign w:val="center"/>
            <w:hideMark/>
          </w:tcPr>
          <w:p w14:paraId="43A6EE2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60A8C9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w:t>
            </w:r>
          </w:p>
        </w:tc>
        <w:tc>
          <w:tcPr>
            <w:tcW w:w="0" w:type="auto"/>
            <w:tcBorders>
              <w:top w:val="nil"/>
              <w:left w:val="nil"/>
              <w:bottom w:val="single" w:sz="4" w:space="0" w:color="000000"/>
              <w:right w:val="single" w:sz="8" w:space="0" w:color="000000"/>
            </w:tcBorders>
            <w:shd w:val="clear" w:color="auto" w:fill="auto"/>
            <w:noWrap/>
            <w:vAlign w:val="center"/>
            <w:hideMark/>
          </w:tcPr>
          <w:p w14:paraId="0DC0F2A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2.31%</w:t>
            </w:r>
          </w:p>
        </w:tc>
      </w:tr>
      <w:tr w:rsidR="00EA2B24" w:rsidRPr="00412B28" w14:paraId="68F43D0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50ACF1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AB7F30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DF36AE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7E58D01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3034212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AE7C4E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8" w:space="0" w:color="000000"/>
            </w:tcBorders>
            <w:shd w:val="clear" w:color="auto" w:fill="auto"/>
            <w:noWrap/>
            <w:vAlign w:val="center"/>
            <w:hideMark/>
          </w:tcPr>
          <w:p w14:paraId="087AC56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0.12%</w:t>
            </w:r>
          </w:p>
        </w:tc>
      </w:tr>
      <w:tr w:rsidR="00EA2B24" w:rsidRPr="00412B28" w14:paraId="452E146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CD57D3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530D09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CBEFA3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2591BCC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142</w:t>
            </w:r>
          </w:p>
        </w:tc>
        <w:tc>
          <w:tcPr>
            <w:tcW w:w="0" w:type="auto"/>
            <w:tcBorders>
              <w:top w:val="nil"/>
              <w:left w:val="nil"/>
              <w:bottom w:val="single" w:sz="4" w:space="0" w:color="000000"/>
              <w:right w:val="single" w:sz="12" w:space="0" w:color="000000"/>
            </w:tcBorders>
            <w:shd w:val="clear" w:color="auto" w:fill="auto"/>
            <w:noWrap/>
            <w:vAlign w:val="center"/>
            <w:hideMark/>
          </w:tcPr>
          <w:p w14:paraId="63045CA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5.63%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964947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166</w:t>
            </w:r>
          </w:p>
        </w:tc>
        <w:tc>
          <w:tcPr>
            <w:tcW w:w="0" w:type="auto"/>
            <w:tcBorders>
              <w:top w:val="nil"/>
              <w:left w:val="nil"/>
              <w:bottom w:val="single" w:sz="4" w:space="0" w:color="000000"/>
              <w:right w:val="single" w:sz="8" w:space="0" w:color="000000"/>
            </w:tcBorders>
            <w:shd w:val="clear" w:color="auto" w:fill="auto"/>
            <w:noWrap/>
            <w:vAlign w:val="center"/>
            <w:hideMark/>
          </w:tcPr>
          <w:p w14:paraId="62A092D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6.39%</w:t>
            </w:r>
          </w:p>
        </w:tc>
      </w:tr>
      <w:tr w:rsidR="00EA2B24" w:rsidRPr="00412B28" w14:paraId="4019DE0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3D091A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37060E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494332D9"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32028500"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2523</w:t>
            </w:r>
          </w:p>
        </w:tc>
        <w:tc>
          <w:tcPr>
            <w:tcW w:w="0" w:type="auto"/>
            <w:tcBorders>
              <w:top w:val="nil"/>
              <w:left w:val="nil"/>
              <w:bottom w:val="single" w:sz="4" w:space="0" w:color="000000"/>
              <w:right w:val="single" w:sz="12" w:space="0" w:color="000000"/>
            </w:tcBorders>
            <w:shd w:val="clear" w:color="000000" w:fill="DDEBF7"/>
            <w:noWrap/>
            <w:vAlign w:val="center"/>
            <w:hideMark/>
          </w:tcPr>
          <w:p w14:paraId="25B5267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3192934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2598</w:t>
            </w:r>
          </w:p>
        </w:tc>
        <w:tc>
          <w:tcPr>
            <w:tcW w:w="0" w:type="auto"/>
            <w:tcBorders>
              <w:top w:val="nil"/>
              <w:left w:val="nil"/>
              <w:bottom w:val="single" w:sz="4" w:space="0" w:color="000000"/>
              <w:right w:val="single" w:sz="8" w:space="0" w:color="000000"/>
            </w:tcBorders>
            <w:shd w:val="clear" w:color="000000" w:fill="DDEBF7"/>
            <w:noWrap/>
            <w:vAlign w:val="center"/>
            <w:hideMark/>
          </w:tcPr>
          <w:p w14:paraId="5F28ED0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7B759D0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B67FDD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1F81597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nil"/>
              <w:bottom w:val="single" w:sz="4" w:space="0" w:color="000000"/>
              <w:right w:val="single" w:sz="12" w:space="0" w:color="000000"/>
            </w:tcBorders>
            <w:shd w:val="clear" w:color="auto" w:fill="auto"/>
            <w:noWrap/>
            <w:vAlign w:val="bottom"/>
            <w:hideMark/>
          </w:tcPr>
          <w:p w14:paraId="40525E4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32F7DC8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89</w:t>
            </w:r>
          </w:p>
        </w:tc>
        <w:tc>
          <w:tcPr>
            <w:tcW w:w="0" w:type="auto"/>
            <w:tcBorders>
              <w:top w:val="nil"/>
              <w:left w:val="nil"/>
              <w:bottom w:val="single" w:sz="4" w:space="0" w:color="000000"/>
              <w:right w:val="single" w:sz="12" w:space="0" w:color="000000"/>
            </w:tcBorders>
            <w:shd w:val="clear" w:color="auto" w:fill="auto"/>
            <w:noWrap/>
            <w:vAlign w:val="center"/>
            <w:hideMark/>
          </w:tcPr>
          <w:p w14:paraId="69D30D5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21.71%</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60B4941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85</w:t>
            </w:r>
          </w:p>
        </w:tc>
        <w:tc>
          <w:tcPr>
            <w:tcW w:w="0" w:type="auto"/>
            <w:tcBorders>
              <w:top w:val="nil"/>
              <w:left w:val="nil"/>
              <w:bottom w:val="single" w:sz="4" w:space="0" w:color="000000"/>
              <w:right w:val="single" w:sz="8" w:space="0" w:color="000000"/>
            </w:tcBorders>
            <w:shd w:val="clear" w:color="auto" w:fill="auto"/>
            <w:noWrap/>
            <w:vAlign w:val="bottom"/>
            <w:hideMark/>
          </w:tcPr>
          <w:p w14:paraId="0AA1C7A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17.49%</w:t>
            </w:r>
          </w:p>
        </w:tc>
      </w:tr>
      <w:tr w:rsidR="00EA2B24" w:rsidRPr="00412B28" w14:paraId="767B810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A15C7F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0A5585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23C283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18DF17C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12" w:space="0" w:color="000000"/>
            </w:tcBorders>
            <w:shd w:val="clear" w:color="auto" w:fill="auto"/>
            <w:noWrap/>
            <w:vAlign w:val="center"/>
            <w:hideMark/>
          </w:tcPr>
          <w:p w14:paraId="419EF7D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0.98%</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0A95E95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8" w:space="0" w:color="000000"/>
            </w:tcBorders>
            <w:shd w:val="clear" w:color="auto" w:fill="auto"/>
            <w:noWrap/>
            <w:vAlign w:val="bottom"/>
            <w:hideMark/>
          </w:tcPr>
          <w:p w14:paraId="34247A7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0.62%</w:t>
            </w:r>
          </w:p>
        </w:tc>
      </w:tr>
      <w:tr w:rsidR="00EA2B24" w:rsidRPr="00412B28" w14:paraId="1885330F"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B12845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06B2B6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A6D2B1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491B0A4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290</w:t>
            </w:r>
          </w:p>
        </w:tc>
        <w:tc>
          <w:tcPr>
            <w:tcW w:w="0" w:type="auto"/>
            <w:tcBorders>
              <w:top w:val="nil"/>
              <w:left w:val="nil"/>
              <w:bottom w:val="single" w:sz="4" w:space="0" w:color="000000"/>
              <w:right w:val="single" w:sz="12" w:space="0" w:color="000000"/>
            </w:tcBorders>
            <w:shd w:val="clear" w:color="auto" w:fill="auto"/>
            <w:noWrap/>
            <w:vAlign w:val="center"/>
            <w:hideMark/>
          </w:tcPr>
          <w:p w14:paraId="2D66995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70.73%</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5414897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356</w:t>
            </w:r>
          </w:p>
        </w:tc>
        <w:tc>
          <w:tcPr>
            <w:tcW w:w="0" w:type="auto"/>
            <w:tcBorders>
              <w:top w:val="nil"/>
              <w:left w:val="nil"/>
              <w:bottom w:val="single" w:sz="4" w:space="0" w:color="000000"/>
              <w:right w:val="single" w:sz="8" w:space="0" w:color="000000"/>
            </w:tcBorders>
            <w:shd w:val="clear" w:color="auto" w:fill="auto"/>
            <w:noWrap/>
            <w:vAlign w:val="bottom"/>
            <w:hideMark/>
          </w:tcPr>
          <w:p w14:paraId="32EBBB8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73.25%</w:t>
            </w:r>
          </w:p>
        </w:tc>
      </w:tr>
      <w:tr w:rsidR="00EA2B24" w:rsidRPr="00412B28" w14:paraId="69D22702"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9048F3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EF6A60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74CB9E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0584BED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509920F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0.49%</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1D931AD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8" w:space="0" w:color="000000"/>
            </w:tcBorders>
            <w:shd w:val="clear" w:color="auto" w:fill="auto"/>
            <w:noWrap/>
            <w:vAlign w:val="bottom"/>
            <w:hideMark/>
          </w:tcPr>
          <w:p w14:paraId="2F79AC4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1.44%</w:t>
            </w:r>
          </w:p>
        </w:tc>
      </w:tr>
      <w:tr w:rsidR="00EA2B24" w:rsidRPr="00412B28" w14:paraId="619D299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E2F590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9786C6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BE401C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55256FB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183B5DF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0.24%</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389116E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bottom"/>
            <w:hideMark/>
          </w:tcPr>
          <w:p w14:paraId="3127DED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0.41%</w:t>
            </w:r>
          </w:p>
        </w:tc>
      </w:tr>
      <w:tr w:rsidR="00EA2B24" w:rsidRPr="00412B28" w14:paraId="2C6E5EE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5522C6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C7E200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D9F26E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4DA5140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w:t>
            </w:r>
          </w:p>
        </w:tc>
        <w:tc>
          <w:tcPr>
            <w:tcW w:w="0" w:type="auto"/>
            <w:tcBorders>
              <w:top w:val="nil"/>
              <w:left w:val="nil"/>
              <w:bottom w:val="single" w:sz="4" w:space="0" w:color="000000"/>
              <w:right w:val="single" w:sz="12" w:space="0" w:color="000000"/>
            </w:tcBorders>
            <w:shd w:val="clear" w:color="auto" w:fill="auto"/>
            <w:noWrap/>
            <w:vAlign w:val="center"/>
            <w:hideMark/>
          </w:tcPr>
          <w:p w14:paraId="50FE711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5.85%</w:t>
            </w:r>
          </w:p>
        </w:tc>
        <w:tc>
          <w:tcPr>
            <w:tcW w:w="0" w:type="auto"/>
            <w:tcBorders>
              <w:top w:val="nil"/>
              <w:left w:val="single" w:sz="4" w:space="0" w:color="000000"/>
              <w:bottom w:val="single" w:sz="4" w:space="0" w:color="000000"/>
              <w:right w:val="single" w:sz="4" w:space="0" w:color="000000"/>
            </w:tcBorders>
            <w:shd w:val="clear" w:color="000000" w:fill="FFFFFF"/>
            <w:noWrap/>
            <w:vAlign w:val="bottom"/>
            <w:hideMark/>
          </w:tcPr>
          <w:p w14:paraId="4C46493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w:t>
            </w:r>
          </w:p>
        </w:tc>
        <w:tc>
          <w:tcPr>
            <w:tcW w:w="0" w:type="auto"/>
            <w:tcBorders>
              <w:top w:val="nil"/>
              <w:left w:val="nil"/>
              <w:bottom w:val="single" w:sz="4" w:space="0" w:color="000000"/>
              <w:right w:val="single" w:sz="8" w:space="0" w:color="000000"/>
            </w:tcBorders>
            <w:shd w:val="clear" w:color="auto" w:fill="auto"/>
            <w:noWrap/>
            <w:vAlign w:val="bottom"/>
            <w:hideMark/>
          </w:tcPr>
          <w:p w14:paraId="3F72A69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6.79%</w:t>
            </w:r>
          </w:p>
        </w:tc>
      </w:tr>
      <w:tr w:rsidR="00EA2B24" w:rsidRPr="00412B28" w14:paraId="23E1F50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13C830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97BE16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10835DA0"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1AAB8CD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410</w:t>
            </w:r>
          </w:p>
        </w:tc>
        <w:tc>
          <w:tcPr>
            <w:tcW w:w="0" w:type="auto"/>
            <w:tcBorders>
              <w:top w:val="nil"/>
              <w:left w:val="nil"/>
              <w:bottom w:val="single" w:sz="4" w:space="0" w:color="000000"/>
              <w:right w:val="single" w:sz="12" w:space="0" w:color="000000"/>
            </w:tcBorders>
            <w:shd w:val="clear" w:color="000000" w:fill="DDEBF7"/>
            <w:noWrap/>
            <w:vAlign w:val="center"/>
            <w:hideMark/>
          </w:tcPr>
          <w:p w14:paraId="42477D3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bottom"/>
            <w:hideMark/>
          </w:tcPr>
          <w:p w14:paraId="4B9B375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486</w:t>
            </w:r>
          </w:p>
        </w:tc>
        <w:tc>
          <w:tcPr>
            <w:tcW w:w="0" w:type="auto"/>
            <w:tcBorders>
              <w:top w:val="nil"/>
              <w:left w:val="nil"/>
              <w:bottom w:val="single" w:sz="4" w:space="0" w:color="000000"/>
              <w:right w:val="single" w:sz="8" w:space="0" w:color="000000"/>
            </w:tcBorders>
            <w:shd w:val="clear" w:color="000000" w:fill="DDEBF7"/>
            <w:noWrap/>
            <w:vAlign w:val="bottom"/>
            <w:hideMark/>
          </w:tcPr>
          <w:p w14:paraId="1CA5E8D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5DA423AF" w14:textId="77777777" w:rsidTr="00D41708">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vAlign w:val="center"/>
            <w:hideMark/>
          </w:tcPr>
          <w:p w14:paraId="2E8178CA" w14:textId="77777777" w:rsidR="00EA2B24" w:rsidRPr="00412B28" w:rsidRDefault="00EA2B24" w:rsidP="00D41708">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REŠENjA O ODOBRENjU RADOVA</w:t>
            </w:r>
          </w:p>
        </w:tc>
        <w:tc>
          <w:tcPr>
            <w:tcW w:w="0" w:type="auto"/>
            <w:tcBorders>
              <w:top w:val="nil"/>
              <w:left w:val="nil"/>
              <w:bottom w:val="nil"/>
              <w:right w:val="nil"/>
            </w:tcBorders>
            <w:shd w:val="clear" w:color="auto" w:fill="auto"/>
            <w:noWrap/>
            <w:vAlign w:val="bottom"/>
            <w:hideMark/>
          </w:tcPr>
          <w:p w14:paraId="3803AB2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FCA0C3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0542E53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5151</w:t>
            </w:r>
          </w:p>
        </w:tc>
        <w:tc>
          <w:tcPr>
            <w:tcW w:w="0" w:type="auto"/>
            <w:tcBorders>
              <w:top w:val="nil"/>
              <w:left w:val="nil"/>
              <w:bottom w:val="single" w:sz="4" w:space="0" w:color="000000"/>
              <w:right w:val="single" w:sz="12" w:space="0" w:color="000000"/>
            </w:tcBorders>
            <w:shd w:val="clear" w:color="auto" w:fill="auto"/>
            <w:noWrap/>
            <w:vAlign w:val="center"/>
            <w:hideMark/>
          </w:tcPr>
          <w:p w14:paraId="7260E71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21.06%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A8D60D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4675</w:t>
            </w:r>
          </w:p>
        </w:tc>
        <w:tc>
          <w:tcPr>
            <w:tcW w:w="0" w:type="auto"/>
            <w:tcBorders>
              <w:top w:val="nil"/>
              <w:left w:val="nil"/>
              <w:bottom w:val="single" w:sz="4" w:space="0" w:color="000000"/>
              <w:right w:val="single" w:sz="8" w:space="0" w:color="000000"/>
            </w:tcBorders>
            <w:shd w:val="clear" w:color="auto" w:fill="auto"/>
            <w:noWrap/>
            <w:vAlign w:val="center"/>
            <w:hideMark/>
          </w:tcPr>
          <w:p w14:paraId="6CC85CF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20.37%</w:t>
            </w:r>
          </w:p>
        </w:tc>
      </w:tr>
      <w:tr w:rsidR="00EA2B24" w:rsidRPr="00412B28" w14:paraId="08D6266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CF9DF6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8FBF1F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47E8DA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560C782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179</w:t>
            </w:r>
          </w:p>
        </w:tc>
        <w:tc>
          <w:tcPr>
            <w:tcW w:w="0" w:type="auto"/>
            <w:tcBorders>
              <w:top w:val="nil"/>
              <w:left w:val="nil"/>
              <w:bottom w:val="single" w:sz="4" w:space="0" w:color="000000"/>
              <w:right w:val="single" w:sz="12" w:space="0" w:color="000000"/>
            </w:tcBorders>
            <w:shd w:val="clear" w:color="auto" w:fill="auto"/>
            <w:noWrap/>
            <w:vAlign w:val="center"/>
            <w:hideMark/>
          </w:tcPr>
          <w:p w14:paraId="376B985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5BFFF5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297</w:t>
            </w:r>
          </w:p>
        </w:tc>
        <w:tc>
          <w:tcPr>
            <w:tcW w:w="0" w:type="auto"/>
            <w:tcBorders>
              <w:top w:val="nil"/>
              <w:left w:val="nil"/>
              <w:bottom w:val="single" w:sz="4" w:space="0" w:color="000000"/>
              <w:right w:val="single" w:sz="8" w:space="0" w:color="000000"/>
            </w:tcBorders>
            <w:shd w:val="clear" w:color="auto" w:fill="auto"/>
            <w:noWrap/>
            <w:vAlign w:val="center"/>
            <w:hideMark/>
          </w:tcPr>
          <w:p w14:paraId="21B3C69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1.29%</w:t>
            </w:r>
          </w:p>
        </w:tc>
      </w:tr>
      <w:tr w:rsidR="00EA2B24" w:rsidRPr="00412B28" w14:paraId="269538A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A8B58C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EDA196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00D13A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50B6DC8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18412</w:t>
            </w:r>
          </w:p>
        </w:tc>
        <w:tc>
          <w:tcPr>
            <w:tcW w:w="0" w:type="auto"/>
            <w:tcBorders>
              <w:top w:val="nil"/>
              <w:left w:val="nil"/>
              <w:bottom w:val="single" w:sz="4" w:space="0" w:color="000000"/>
              <w:right w:val="single" w:sz="12" w:space="0" w:color="000000"/>
            </w:tcBorders>
            <w:shd w:val="clear" w:color="auto" w:fill="auto"/>
            <w:noWrap/>
            <w:vAlign w:val="center"/>
            <w:hideMark/>
          </w:tcPr>
          <w:p w14:paraId="12372D7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75.27%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9D802D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16992</w:t>
            </w:r>
          </w:p>
        </w:tc>
        <w:tc>
          <w:tcPr>
            <w:tcW w:w="0" w:type="auto"/>
            <w:tcBorders>
              <w:top w:val="nil"/>
              <w:left w:val="nil"/>
              <w:bottom w:val="single" w:sz="4" w:space="0" w:color="000000"/>
              <w:right w:val="single" w:sz="8" w:space="0" w:color="000000"/>
            </w:tcBorders>
            <w:shd w:val="clear" w:color="auto" w:fill="auto"/>
            <w:noWrap/>
            <w:vAlign w:val="center"/>
            <w:hideMark/>
          </w:tcPr>
          <w:p w14:paraId="1EF1354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74.04%</w:t>
            </w:r>
          </w:p>
        </w:tc>
      </w:tr>
      <w:tr w:rsidR="00EA2B24" w:rsidRPr="00412B28" w14:paraId="468D59C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5AB85C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0373F9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28E5A3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6A27E73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97</w:t>
            </w:r>
          </w:p>
        </w:tc>
        <w:tc>
          <w:tcPr>
            <w:tcW w:w="0" w:type="auto"/>
            <w:tcBorders>
              <w:top w:val="nil"/>
              <w:left w:val="nil"/>
              <w:bottom w:val="single" w:sz="4" w:space="0" w:color="000000"/>
              <w:right w:val="single" w:sz="12" w:space="0" w:color="000000"/>
            </w:tcBorders>
            <w:shd w:val="clear" w:color="auto" w:fill="auto"/>
            <w:noWrap/>
            <w:vAlign w:val="center"/>
            <w:hideMark/>
          </w:tcPr>
          <w:p w14:paraId="17DD1C4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89231E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202</w:t>
            </w:r>
          </w:p>
        </w:tc>
        <w:tc>
          <w:tcPr>
            <w:tcW w:w="0" w:type="auto"/>
            <w:tcBorders>
              <w:top w:val="nil"/>
              <w:left w:val="nil"/>
              <w:bottom w:val="single" w:sz="4" w:space="0" w:color="000000"/>
              <w:right w:val="single" w:sz="8" w:space="0" w:color="000000"/>
            </w:tcBorders>
            <w:shd w:val="clear" w:color="auto" w:fill="auto"/>
            <w:noWrap/>
            <w:vAlign w:val="center"/>
            <w:hideMark/>
          </w:tcPr>
          <w:p w14:paraId="3B910C3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0.88%</w:t>
            </w:r>
          </w:p>
        </w:tc>
      </w:tr>
      <w:tr w:rsidR="00EA2B24" w:rsidRPr="00412B28" w14:paraId="7B7A0C7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7BA77B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7909A4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17C537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299BC23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12" w:space="0" w:color="000000"/>
            </w:tcBorders>
            <w:shd w:val="clear" w:color="auto" w:fill="auto"/>
            <w:noWrap/>
            <w:vAlign w:val="center"/>
            <w:hideMark/>
          </w:tcPr>
          <w:p w14:paraId="5777AA9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4D7B26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w:t>
            </w:r>
          </w:p>
        </w:tc>
        <w:tc>
          <w:tcPr>
            <w:tcW w:w="0" w:type="auto"/>
            <w:tcBorders>
              <w:top w:val="nil"/>
              <w:left w:val="nil"/>
              <w:bottom w:val="single" w:sz="4" w:space="0" w:color="000000"/>
              <w:right w:val="single" w:sz="8" w:space="0" w:color="000000"/>
            </w:tcBorders>
            <w:shd w:val="clear" w:color="auto" w:fill="auto"/>
            <w:noWrap/>
            <w:vAlign w:val="center"/>
            <w:hideMark/>
          </w:tcPr>
          <w:p w14:paraId="01E2F91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0.12%</w:t>
            </w:r>
          </w:p>
        </w:tc>
      </w:tr>
      <w:tr w:rsidR="00EA2B24" w:rsidRPr="00412B28" w14:paraId="47E157D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43D24C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8B88DE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B29C0A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7BD15ED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593</w:t>
            </w:r>
          </w:p>
        </w:tc>
        <w:tc>
          <w:tcPr>
            <w:tcW w:w="0" w:type="auto"/>
            <w:tcBorders>
              <w:top w:val="nil"/>
              <w:left w:val="nil"/>
              <w:bottom w:val="single" w:sz="4" w:space="0" w:color="000000"/>
              <w:right w:val="single" w:sz="12" w:space="0" w:color="000000"/>
            </w:tcBorders>
            <w:shd w:val="clear" w:color="auto" w:fill="auto"/>
            <w:noWrap/>
            <w:vAlign w:val="center"/>
            <w:hideMark/>
          </w:tcPr>
          <w:p w14:paraId="2A2FA46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0C32F6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758</w:t>
            </w:r>
          </w:p>
        </w:tc>
        <w:tc>
          <w:tcPr>
            <w:tcW w:w="0" w:type="auto"/>
            <w:tcBorders>
              <w:top w:val="nil"/>
              <w:left w:val="nil"/>
              <w:bottom w:val="single" w:sz="4" w:space="0" w:color="000000"/>
              <w:right w:val="single" w:sz="8" w:space="0" w:color="000000"/>
            </w:tcBorders>
            <w:shd w:val="clear" w:color="auto" w:fill="auto"/>
            <w:noWrap/>
            <w:vAlign w:val="center"/>
            <w:hideMark/>
          </w:tcPr>
          <w:p w14:paraId="5AFD70E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3.30%</w:t>
            </w:r>
          </w:p>
        </w:tc>
      </w:tr>
      <w:tr w:rsidR="00EA2B24" w:rsidRPr="00412B28" w14:paraId="567D471F"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AF4879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0202583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Izdavanje rešenja o odobrenju izvođenja radova </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EFEFDD7"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075CDC0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24462</w:t>
            </w:r>
          </w:p>
        </w:tc>
        <w:tc>
          <w:tcPr>
            <w:tcW w:w="0" w:type="auto"/>
            <w:tcBorders>
              <w:top w:val="nil"/>
              <w:left w:val="nil"/>
              <w:bottom w:val="single" w:sz="4" w:space="0" w:color="000000"/>
              <w:right w:val="single" w:sz="12" w:space="0" w:color="000000"/>
            </w:tcBorders>
            <w:shd w:val="clear" w:color="000000" w:fill="DDEBF7"/>
            <w:noWrap/>
            <w:vAlign w:val="center"/>
            <w:hideMark/>
          </w:tcPr>
          <w:p w14:paraId="1070D40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381E25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22951</w:t>
            </w:r>
          </w:p>
        </w:tc>
        <w:tc>
          <w:tcPr>
            <w:tcW w:w="0" w:type="auto"/>
            <w:tcBorders>
              <w:top w:val="nil"/>
              <w:left w:val="nil"/>
              <w:bottom w:val="single" w:sz="4" w:space="0" w:color="000000"/>
              <w:right w:val="single" w:sz="8" w:space="0" w:color="000000"/>
            </w:tcBorders>
            <w:shd w:val="clear" w:color="000000" w:fill="DDEBF7"/>
            <w:noWrap/>
            <w:vAlign w:val="center"/>
            <w:hideMark/>
          </w:tcPr>
          <w:p w14:paraId="38D4CB0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7B2B396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F1E54F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9AE665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299E76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45506B8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597</w:t>
            </w:r>
          </w:p>
        </w:tc>
        <w:tc>
          <w:tcPr>
            <w:tcW w:w="0" w:type="auto"/>
            <w:tcBorders>
              <w:top w:val="nil"/>
              <w:left w:val="nil"/>
              <w:bottom w:val="single" w:sz="4" w:space="0" w:color="000000"/>
              <w:right w:val="single" w:sz="12" w:space="0" w:color="000000"/>
            </w:tcBorders>
            <w:shd w:val="clear" w:color="auto" w:fill="auto"/>
            <w:noWrap/>
            <w:vAlign w:val="center"/>
            <w:hideMark/>
          </w:tcPr>
          <w:p w14:paraId="3939406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19.04%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4698C8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536</w:t>
            </w:r>
          </w:p>
        </w:tc>
        <w:tc>
          <w:tcPr>
            <w:tcW w:w="0" w:type="auto"/>
            <w:tcBorders>
              <w:top w:val="nil"/>
              <w:left w:val="nil"/>
              <w:bottom w:val="single" w:sz="4" w:space="0" w:color="000000"/>
              <w:right w:val="single" w:sz="8" w:space="0" w:color="000000"/>
            </w:tcBorders>
            <w:shd w:val="clear" w:color="auto" w:fill="auto"/>
            <w:noWrap/>
            <w:vAlign w:val="center"/>
            <w:hideMark/>
          </w:tcPr>
          <w:p w14:paraId="40403B2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17.26%</w:t>
            </w:r>
          </w:p>
        </w:tc>
      </w:tr>
      <w:tr w:rsidR="00EA2B24" w:rsidRPr="00412B28" w14:paraId="44FC362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445777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804C44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9EBC76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Zahtev odbijen </w:t>
            </w:r>
          </w:p>
        </w:tc>
        <w:tc>
          <w:tcPr>
            <w:tcW w:w="0" w:type="auto"/>
            <w:tcBorders>
              <w:top w:val="nil"/>
              <w:left w:val="nil"/>
              <w:bottom w:val="single" w:sz="4" w:space="0" w:color="000000"/>
              <w:right w:val="single" w:sz="4" w:space="0" w:color="000000"/>
            </w:tcBorders>
            <w:shd w:val="clear" w:color="auto" w:fill="auto"/>
            <w:noWrap/>
            <w:vAlign w:val="bottom"/>
            <w:hideMark/>
          </w:tcPr>
          <w:p w14:paraId="554D261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w:t>
            </w:r>
          </w:p>
        </w:tc>
        <w:tc>
          <w:tcPr>
            <w:tcW w:w="0" w:type="auto"/>
            <w:tcBorders>
              <w:top w:val="nil"/>
              <w:left w:val="nil"/>
              <w:bottom w:val="single" w:sz="4" w:space="0" w:color="000000"/>
              <w:right w:val="single" w:sz="12" w:space="0" w:color="000000"/>
            </w:tcBorders>
            <w:shd w:val="clear" w:color="auto" w:fill="auto"/>
            <w:noWrap/>
            <w:vAlign w:val="center"/>
            <w:hideMark/>
          </w:tcPr>
          <w:p w14:paraId="0BBBF7C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51CA36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w:t>
            </w:r>
          </w:p>
        </w:tc>
        <w:tc>
          <w:tcPr>
            <w:tcW w:w="0" w:type="auto"/>
            <w:tcBorders>
              <w:top w:val="nil"/>
              <w:left w:val="nil"/>
              <w:bottom w:val="single" w:sz="4" w:space="0" w:color="000000"/>
              <w:right w:val="single" w:sz="8" w:space="0" w:color="000000"/>
            </w:tcBorders>
            <w:shd w:val="clear" w:color="auto" w:fill="auto"/>
            <w:noWrap/>
            <w:vAlign w:val="center"/>
            <w:hideMark/>
          </w:tcPr>
          <w:p w14:paraId="76B626D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0.87%</w:t>
            </w:r>
          </w:p>
        </w:tc>
      </w:tr>
      <w:tr w:rsidR="00EA2B24" w:rsidRPr="00412B28" w14:paraId="7BEF66A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AB67DB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6019F8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75129B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2FBB775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2402</w:t>
            </w:r>
          </w:p>
        </w:tc>
        <w:tc>
          <w:tcPr>
            <w:tcW w:w="0" w:type="auto"/>
            <w:tcBorders>
              <w:top w:val="nil"/>
              <w:left w:val="nil"/>
              <w:bottom w:val="single" w:sz="4" w:space="0" w:color="000000"/>
              <w:right w:val="single" w:sz="12" w:space="0" w:color="000000"/>
            </w:tcBorders>
            <w:shd w:val="clear" w:color="auto" w:fill="auto"/>
            <w:noWrap/>
            <w:vAlign w:val="center"/>
            <w:hideMark/>
          </w:tcPr>
          <w:p w14:paraId="45DD9D6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76.62%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1ECEBC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2395</w:t>
            </w:r>
          </w:p>
        </w:tc>
        <w:tc>
          <w:tcPr>
            <w:tcW w:w="0" w:type="auto"/>
            <w:tcBorders>
              <w:top w:val="nil"/>
              <w:left w:val="nil"/>
              <w:bottom w:val="single" w:sz="4" w:space="0" w:color="000000"/>
              <w:right w:val="single" w:sz="8" w:space="0" w:color="000000"/>
            </w:tcBorders>
            <w:shd w:val="clear" w:color="auto" w:fill="auto"/>
            <w:noWrap/>
            <w:vAlign w:val="center"/>
            <w:hideMark/>
          </w:tcPr>
          <w:p w14:paraId="591E56A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77.11%</w:t>
            </w:r>
          </w:p>
        </w:tc>
      </w:tr>
      <w:tr w:rsidR="00EA2B24" w:rsidRPr="00412B28" w14:paraId="1AE5D3A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A42565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DF7CFB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6E8F74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2263171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12" w:space="0" w:color="000000"/>
            </w:tcBorders>
            <w:shd w:val="clear" w:color="auto" w:fill="auto"/>
            <w:noWrap/>
            <w:vAlign w:val="center"/>
            <w:hideMark/>
          </w:tcPr>
          <w:p w14:paraId="4E78AA7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6304F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w:t>
            </w:r>
          </w:p>
        </w:tc>
        <w:tc>
          <w:tcPr>
            <w:tcW w:w="0" w:type="auto"/>
            <w:tcBorders>
              <w:top w:val="nil"/>
              <w:left w:val="nil"/>
              <w:bottom w:val="single" w:sz="4" w:space="0" w:color="000000"/>
              <w:right w:val="single" w:sz="8" w:space="0" w:color="000000"/>
            </w:tcBorders>
            <w:shd w:val="clear" w:color="auto" w:fill="auto"/>
            <w:noWrap/>
            <w:vAlign w:val="center"/>
            <w:hideMark/>
          </w:tcPr>
          <w:p w14:paraId="06558BE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0.71%</w:t>
            </w:r>
          </w:p>
        </w:tc>
      </w:tr>
      <w:tr w:rsidR="00EA2B24" w:rsidRPr="00412B28" w14:paraId="14229562"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DF544E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560EAD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21F333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71FCCCB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0A47C0B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DB7D8C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8" w:space="0" w:color="000000"/>
            </w:tcBorders>
            <w:shd w:val="clear" w:color="auto" w:fill="auto"/>
            <w:noWrap/>
            <w:vAlign w:val="center"/>
            <w:hideMark/>
          </w:tcPr>
          <w:p w14:paraId="110551D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0.03%</w:t>
            </w:r>
          </w:p>
        </w:tc>
      </w:tr>
      <w:tr w:rsidR="00EA2B24" w:rsidRPr="00412B28" w14:paraId="6ED1735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DC97B0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580F49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F33F7C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47B687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99</w:t>
            </w:r>
          </w:p>
        </w:tc>
        <w:tc>
          <w:tcPr>
            <w:tcW w:w="0" w:type="auto"/>
            <w:tcBorders>
              <w:top w:val="nil"/>
              <w:left w:val="nil"/>
              <w:bottom w:val="single" w:sz="4" w:space="0" w:color="000000"/>
              <w:right w:val="single" w:sz="12" w:space="0" w:color="000000"/>
            </w:tcBorders>
            <w:shd w:val="clear" w:color="auto" w:fill="auto"/>
            <w:noWrap/>
            <w:vAlign w:val="center"/>
            <w:hideMark/>
          </w:tcPr>
          <w:p w14:paraId="4077636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F2C4BD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125</w:t>
            </w:r>
          </w:p>
        </w:tc>
        <w:tc>
          <w:tcPr>
            <w:tcW w:w="0" w:type="auto"/>
            <w:tcBorders>
              <w:top w:val="nil"/>
              <w:left w:val="nil"/>
              <w:bottom w:val="single" w:sz="4" w:space="0" w:color="000000"/>
              <w:right w:val="single" w:sz="8" w:space="0" w:color="000000"/>
            </w:tcBorders>
            <w:shd w:val="clear" w:color="auto" w:fill="auto"/>
            <w:noWrap/>
            <w:vAlign w:val="center"/>
            <w:hideMark/>
          </w:tcPr>
          <w:p w14:paraId="21665B8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4.02%</w:t>
            </w:r>
          </w:p>
        </w:tc>
      </w:tr>
      <w:tr w:rsidR="00EA2B24" w:rsidRPr="00412B28" w14:paraId="54418D7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443177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CE80D1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D4A211C"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1FE52A82"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3135</w:t>
            </w:r>
          </w:p>
        </w:tc>
        <w:tc>
          <w:tcPr>
            <w:tcW w:w="0" w:type="auto"/>
            <w:tcBorders>
              <w:top w:val="nil"/>
              <w:left w:val="nil"/>
              <w:bottom w:val="single" w:sz="4" w:space="0" w:color="000000"/>
              <w:right w:val="single" w:sz="12" w:space="0" w:color="000000"/>
            </w:tcBorders>
            <w:shd w:val="clear" w:color="000000" w:fill="DDEBF7"/>
            <w:noWrap/>
            <w:vAlign w:val="center"/>
            <w:hideMark/>
          </w:tcPr>
          <w:p w14:paraId="359C701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4D857C1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3106</w:t>
            </w:r>
          </w:p>
        </w:tc>
        <w:tc>
          <w:tcPr>
            <w:tcW w:w="0" w:type="auto"/>
            <w:tcBorders>
              <w:top w:val="nil"/>
              <w:left w:val="nil"/>
              <w:bottom w:val="single" w:sz="4" w:space="0" w:color="000000"/>
              <w:right w:val="single" w:sz="8" w:space="0" w:color="000000"/>
            </w:tcBorders>
            <w:shd w:val="clear" w:color="000000" w:fill="DDEBF7"/>
            <w:noWrap/>
            <w:vAlign w:val="center"/>
            <w:hideMark/>
          </w:tcPr>
          <w:p w14:paraId="14F69F1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5A120C02"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1DE02B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D1A646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rešenja o odobrenju izvođenja radova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88A48B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5C15509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12" w:space="0" w:color="000000"/>
            </w:tcBorders>
            <w:shd w:val="clear" w:color="auto" w:fill="auto"/>
            <w:noWrap/>
            <w:vAlign w:val="center"/>
            <w:hideMark/>
          </w:tcPr>
          <w:p w14:paraId="38C20AE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47.06%</w:t>
            </w:r>
          </w:p>
        </w:tc>
        <w:tc>
          <w:tcPr>
            <w:tcW w:w="0" w:type="auto"/>
            <w:tcBorders>
              <w:top w:val="nil"/>
              <w:left w:val="single" w:sz="4" w:space="0" w:color="000000"/>
              <w:bottom w:val="nil"/>
              <w:right w:val="single" w:sz="4" w:space="0" w:color="000000"/>
            </w:tcBorders>
            <w:shd w:val="clear" w:color="auto" w:fill="auto"/>
            <w:noWrap/>
            <w:vAlign w:val="center"/>
            <w:hideMark/>
          </w:tcPr>
          <w:p w14:paraId="0728E31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nil"/>
              <w:right w:val="single" w:sz="8" w:space="0" w:color="000000"/>
            </w:tcBorders>
            <w:shd w:val="clear" w:color="auto" w:fill="auto"/>
            <w:noWrap/>
            <w:vAlign w:val="center"/>
            <w:hideMark/>
          </w:tcPr>
          <w:p w14:paraId="469B978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76D6EA7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163986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4D940B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rešenja o odobrenju izvođenja radova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D947BE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446246E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12" w:space="0" w:color="000000"/>
            </w:tcBorders>
            <w:shd w:val="clear" w:color="auto" w:fill="auto"/>
            <w:noWrap/>
            <w:vAlign w:val="center"/>
            <w:hideMark/>
          </w:tcPr>
          <w:p w14:paraId="0946DAA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52.94%</w:t>
            </w:r>
          </w:p>
        </w:tc>
        <w:tc>
          <w:tcPr>
            <w:tcW w:w="0" w:type="auto"/>
            <w:tcBorders>
              <w:top w:val="single" w:sz="4" w:space="0" w:color="000000"/>
              <w:left w:val="nil"/>
              <w:bottom w:val="single" w:sz="4" w:space="0" w:color="000000"/>
              <w:right w:val="single" w:sz="4" w:space="0" w:color="000000"/>
            </w:tcBorders>
            <w:shd w:val="clear" w:color="auto" w:fill="auto"/>
            <w:noWrap/>
            <w:vAlign w:val="bottom"/>
            <w:hideMark/>
          </w:tcPr>
          <w:p w14:paraId="7E3FA84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single" w:sz="4" w:space="0" w:color="000000"/>
              <w:left w:val="nil"/>
              <w:bottom w:val="single" w:sz="4" w:space="0" w:color="000000"/>
              <w:right w:val="single" w:sz="8" w:space="0" w:color="000000"/>
            </w:tcBorders>
            <w:shd w:val="clear" w:color="auto" w:fill="auto"/>
            <w:noWrap/>
            <w:vAlign w:val="center"/>
            <w:hideMark/>
          </w:tcPr>
          <w:p w14:paraId="6B27F46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6A04EE8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DED4D6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3BFBD4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rešenja o odobrenju izvođenja radova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DCD9B4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03CB7D2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308D83E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400A385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320525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1A4774D1"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A3EF5E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C6D52E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rešenja o odobrenju izvođenja radova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91123A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3192AEE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634D25A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21A9EE3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F25054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4BEA496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259467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75F173E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rešenja o odobrenju izvođenja radova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4AF89752"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3DD2115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17</w:t>
            </w:r>
          </w:p>
        </w:tc>
        <w:tc>
          <w:tcPr>
            <w:tcW w:w="0" w:type="auto"/>
            <w:tcBorders>
              <w:top w:val="nil"/>
              <w:left w:val="nil"/>
              <w:bottom w:val="single" w:sz="4" w:space="0" w:color="000000"/>
              <w:right w:val="single" w:sz="12" w:space="0" w:color="000000"/>
            </w:tcBorders>
            <w:shd w:val="clear" w:color="000000" w:fill="DDEBF7"/>
            <w:noWrap/>
            <w:vAlign w:val="center"/>
            <w:hideMark/>
          </w:tcPr>
          <w:p w14:paraId="3EF0D7D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bottom"/>
            <w:hideMark/>
          </w:tcPr>
          <w:p w14:paraId="3894BEF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3D6E4F70"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EA2B24" w:rsidRPr="00412B28" w14:paraId="57204DF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60E42A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C205C9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08C9E7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4DA8090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w:t>
            </w:r>
          </w:p>
        </w:tc>
        <w:tc>
          <w:tcPr>
            <w:tcW w:w="0" w:type="auto"/>
            <w:tcBorders>
              <w:top w:val="nil"/>
              <w:left w:val="nil"/>
              <w:bottom w:val="single" w:sz="4" w:space="0" w:color="000000"/>
              <w:right w:val="single" w:sz="12" w:space="0" w:color="000000"/>
            </w:tcBorders>
            <w:shd w:val="clear" w:color="auto" w:fill="auto"/>
            <w:noWrap/>
            <w:vAlign w:val="center"/>
            <w:hideMark/>
          </w:tcPr>
          <w:p w14:paraId="426E5A0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17.31%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E80C99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w:t>
            </w:r>
          </w:p>
        </w:tc>
        <w:tc>
          <w:tcPr>
            <w:tcW w:w="0" w:type="auto"/>
            <w:tcBorders>
              <w:top w:val="nil"/>
              <w:left w:val="nil"/>
              <w:bottom w:val="single" w:sz="4" w:space="0" w:color="000000"/>
              <w:right w:val="single" w:sz="8" w:space="0" w:color="000000"/>
            </w:tcBorders>
            <w:shd w:val="clear" w:color="auto" w:fill="auto"/>
            <w:noWrap/>
            <w:vAlign w:val="center"/>
            <w:hideMark/>
          </w:tcPr>
          <w:p w14:paraId="4DC3444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16.11%</w:t>
            </w:r>
          </w:p>
        </w:tc>
      </w:tr>
      <w:tr w:rsidR="00EA2B24" w:rsidRPr="00412B28" w14:paraId="12FE3E2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D5C9AB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single" w:sz="4" w:space="0" w:color="000000"/>
              <w:left w:val="nil"/>
              <w:bottom w:val="nil"/>
              <w:right w:val="nil"/>
            </w:tcBorders>
            <w:shd w:val="clear" w:color="auto" w:fill="auto"/>
            <w:noWrap/>
            <w:vAlign w:val="bottom"/>
            <w:hideMark/>
          </w:tcPr>
          <w:p w14:paraId="34A8DE2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D5EB54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455CAF4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0FBDB5E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BF90B3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8" w:space="0" w:color="000000"/>
            </w:tcBorders>
            <w:shd w:val="clear" w:color="auto" w:fill="auto"/>
            <w:noWrap/>
            <w:vAlign w:val="center"/>
            <w:hideMark/>
          </w:tcPr>
          <w:p w14:paraId="1C30B0E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1.88%</w:t>
            </w:r>
          </w:p>
        </w:tc>
      </w:tr>
      <w:tr w:rsidR="00EA2B24" w:rsidRPr="00412B28" w14:paraId="6F4E205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EA2D0D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732487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F136D0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17497C6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288</w:t>
            </w:r>
          </w:p>
        </w:tc>
        <w:tc>
          <w:tcPr>
            <w:tcW w:w="0" w:type="auto"/>
            <w:tcBorders>
              <w:top w:val="nil"/>
              <w:left w:val="nil"/>
              <w:bottom w:val="single" w:sz="4" w:space="0" w:color="000000"/>
              <w:right w:val="single" w:sz="12" w:space="0" w:color="000000"/>
            </w:tcBorders>
            <w:shd w:val="clear" w:color="auto" w:fill="auto"/>
            <w:noWrap/>
            <w:vAlign w:val="center"/>
            <w:hideMark/>
          </w:tcPr>
          <w:p w14:paraId="7937633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74.42%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CE664B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353</w:t>
            </w:r>
          </w:p>
        </w:tc>
        <w:tc>
          <w:tcPr>
            <w:tcW w:w="0" w:type="auto"/>
            <w:tcBorders>
              <w:top w:val="nil"/>
              <w:left w:val="nil"/>
              <w:bottom w:val="single" w:sz="4" w:space="0" w:color="000000"/>
              <w:right w:val="single" w:sz="8" w:space="0" w:color="000000"/>
            </w:tcBorders>
            <w:shd w:val="clear" w:color="auto" w:fill="auto"/>
            <w:noWrap/>
            <w:vAlign w:val="center"/>
            <w:hideMark/>
          </w:tcPr>
          <w:p w14:paraId="0DB18BD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73.85%</w:t>
            </w:r>
          </w:p>
        </w:tc>
      </w:tr>
      <w:tr w:rsidR="00EA2B24" w:rsidRPr="00412B28" w14:paraId="5C8DB2C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33B07F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AAD534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6611F7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66FFF88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12" w:space="0" w:color="000000"/>
            </w:tcBorders>
            <w:shd w:val="clear" w:color="auto" w:fill="auto"/>
            <w:noWrap/>
            <w:vAlign w:val="center"/>
            <w:hideMark/>
          </w:tcPr>
          <w:p w14:paraId="04EF5CD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DCA7F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w:t>
            </w:r>
          </w:p>
        </w:tc>
        <w:tc>
          <w:tcPr>
            <w:tcW w:w="0" w:type="auto"/>
            <w:tcBorders>
              <w:top w:val="nil"/>
              <w:left w:val="nil"/>
              <w:bottom w:val="single" w:sz="4" w:space="0" w:color="000000"/>
              <w:right w:val="single" w:sz="8" w:space="0" w:color="000000"/>
            </w:tcBorders>
            <w:shd w:val="clear" w:color="auto" w:fill="auto"/>
            <w:noWrap/>
            <w:vAlign w:val="center"/>
            <w:hideMark/>
          </w:tcPr>
          <w:p w14:paraId="0C7AC2B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2.51%</w:t>
            </w:r>
          </w:p>
        </w:tc>
      </w:tr>
      <w:tr w:rsidR="00EA2B24" w:rsidRPr="00412B28" w14:paraId="022C858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310B8F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3949D7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768DD5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bottom"/>
            <w:hideMark/>
          </w:tcPr>
          <w:p w14:paraId="7D00B5B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1F47F62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6BB643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7E00DD0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0.42%</w:t>
            </w:r>
          </w:p>
        </w:tc>
      </w:tr>
      <w:tr w:rsidR="00EA2B24" w:rsidRPr="00412B28" w14:paraId="1DFE31B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10C3FA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DF1A8F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AEB829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47FD751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w:t>
            </w:r>
          </w:p>
        </w:tc>
        <w:tc>
          <w:tcPr>
            <w:tcW w:w="0" w:type="auto"/>
            <w:tcBorders>
              <w:top w:val="nil"/>
              <w:left w:val="nil"/>
              <w:bottom w:val="single" w:sz="4" w:space="0" w:color="000000"/>
              <w:right w:val="single" w:sz="12" w:space="0" w:color="000000"/>
            </w:tcBorders>
            <w:shd w:val="clear" w:color="auto" w:fill="auto"/>
            <w:noWrap/>
            <w:vAlign w:val="center"/>
            <w:hideMark/>
          </w:tcPr>
          <w:p w14:paraId="6181702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5.68%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DB7A97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8" w:space="0" w:color="000000"/>
            </w:tcBorders>
            <w:shd w:val="clear" w:color="auto" w:fill="auto"/>
            <w:noWrap/>
            <w:vAlign w:val="center"/>
            <w:hideMark/>
          </w:tcPr>
          <w:p w14:paraId="49ECD6E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5.23%</w:t>
            </w:r>
          </w:p>
        </w:tc>
      </w:tr>
      <w:tr w:rsidR="00EA2B24" w:rsidRPr="00412B28" w14:paraId="31146DA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BC7123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5F130A7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886724A"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58DB7E0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387</w:t>
            </w:r>
          </w:p>
        </w:tc>
        <w:tc>
          <w:tcPr>
            <w:tcW w:w="0" w:type="auto"/>
            <w:tcBorders>
              <w:top w:val="nil"/>
              <w:left w:val="nil"/>
              <w:bottom w:val="single" w:sz="4" w:space="0" w:color="000000"/>
              <w:right w:val="single" w:sz="12" w:space="0" w:color="000000"/>
            </w:tcBorders>
            <w:shd w:val="clear" w:color="000000" w:fill="DDEBF7"/>
            <w:noWrap/>
            <w:vAlign w:val="center"/>
            <w:hideMark/>
          </w:tcPr>
          <w:p w14:paraId="777E201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3CA2EF5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478</w:t>
            </w:r>
          </w:p>
        </w:tc>
        <w:tc>
          <w:tcPr>
            <w:tcW w:w="0" w:type="auto"/>
            <w:tcBorders>
              <w:top w:val="nil"/>
              <w:left w:val="nil"/>
              <w:bottom w:val="single" w:sz="4" w:space="0" w:color="000000"/>
              <w:right w:val="single" w:sz="8" w:space="0" w:color="000000"/>
            </w:tcBorders>
            <w:shd w:val="clear" w:color="000000" w:fill="DDEBF7"/>
            <w:noWrap/>
            <w:vAlign w:val="center"/>
            <w:hideMark/>
          </w:tcPr>
          <w:p w14:paraId="51C5ECA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30C7AF1"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7C069B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BA4E34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FB00B6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4FB2953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12" w:space="0" w:color="000000"/>
            </w:tcBorders>
            <w:shd w:val="clear" w:color="auto" w:fill="auto"/>
            <w:noWrap/>
            <w:vAlign w:val="center"/>
            <w:hideMark/>
          </w:tcPr>
          <w:p w14:paraId="1112F8F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18.75%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FE6902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8" w:space="0" w:color="000000"/>
            </w:tcBorders>
            <w:shd w:val="clear" w:color="auto" w:fill="auto"/>
            <w:noWrap/>
            <w:vAlign w:val="center"/>
            <w:hideMark/>
          </w:tcPr>
          <w:p w14:paraId="6B34C8E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18.64%</w:t>
            </w:r>
          </w:p>
        </w:tc>
      </w:tr>
      <w:tr w:rsidR="00EA2B24" w:rsidRPr="00412B28" w14:paraId="5E55634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0D569C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6471B2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0E8B14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69E6E1E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5974B88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DD7DE9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0D82647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3.39%</w:t>
            </w:r>
          </w:p>
        </w:tc>
      </w:tr>
      <w:tr w:rsidR="00EA2B24" w:rsidRPr="00412B28" w14:paraId="2BBC739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CCE752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7715B9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2D49F4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31F0442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12" w:space="0" w:color="000000"/>
            </w:tcBorders>
            <w:shd w:val="clear" w:color="auto" w:fill="auto"/>
            <w:noWrap/>
            <w:vAlign w:val="center"/>
            <w:hideMark/>
          </w:tcPr>
          <w:p w14:paraId="6974988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78.13%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90CD25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44</w:t>
            </w:r>
          </w:p>
        </w:tc>
        <w:tc>
          <w:tcPr>
            <w:tcW w:w="0" w:type="auto"/>
            <w:tcBorders>
              <w:top w:val="nil"/>
              <w:left w:val="nil"/>
              <w:bottom w:val="single" w:sz="4" w:space="0" w:color="000000"/>
              <w:right w:val="single" w:sz="8" w:space="0" w:color="000000"/>
            </w:tcBorders>
            <w:shd w:val="clear" w:color="auto" w:fill="auto"/>
            <w:noWrap/>
            <w:vAlign w:val="center"/>
            <w:hideMark/>
          </w:tcPr>
          <w:p w14:paraId="3BEDC57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74.58%</w:t>
            </w:r>
          </w:p>
        </w:tc>
      </w:tr>
      <w:tr w:rsidR="00EA2B24" w:rsidRPr="00412B28" w14:paraId="1655A8A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7AB452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088556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940929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0D44FD6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2ABA4D7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83BC0A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375A17F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3.39%</w:t>
            </w:r>
          </w:p>
        </w:tc>
      </w:tr>
      <w:tr w:rsidR="00EA2B24" w:rsidRPr="00412B28" w14:paraId="41A9269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F33232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7D8298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rešenja o odobrenju izvođenja radova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5ABE90F0"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5BCB200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32</w:t>
            </w:r>
          </w:p>
        </w:tc>
        <w:tc>
          <w:tcPr>
            <w:tcW w:w="0" w:type="auto"/>
            <w:tcBorders>
              <w:top w:val="nil"/>
              <w:left w:val="nil"/>
              <w:bottom w:val="single" w:sz="4" w:space="0" w:color="000000"/>
              <w:right w:val="single" w:sz="12" w:space="0" w:color="000000"/>
            </w:tcBorders>
            <w:shd w:val="clear" w:color="000000" w:fill="DDEBF7"/>
            <w:noWrap/>
            <w:vAlign w:val="center"/>
            <w:hideMark/>
          </w:tcPr>
          <w:p w14:paraId="1A997CE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D5945C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59</w:t>
            </w:r>
          </w:p>
        </w:tc>
        <w:tc>
          <w:tcPr>
            <w:tcW w:w="0" w:type="auto"/>
            <w:tcBorders>
              <w:top w:val="nil"/>
              <w:left w:val="nil"/>
              <w:bottom w:val="single" w:sz="4" w:space="0" w:color="000000"/>
              <w:right w:val="single" w:sz="8" w:space="0" w:color="000000"/>
            </w:tcBorders>
            <w:shd w:val="clear" w:color="000000" w:fill="DDEBF7"/>
            <w:noWrap/>
            <w:vAlign w:val="center"/>
            <w:hideMark/>
          </w:tcPr>
          <w:p w14:paraId="34D7461A"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14BAF368" w14:textId="77777777" w:rsidTr="00D41708">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vAlign w:val="center"/>
            <w:hideMark/>
          </w:tcPr>
          <w:p w14:paraId="113B46B4" w14:textId="77777777" w:rsidR="00EA2B24" w:rsidRPr="00412B28" w:rsidRDefault="00EA2B24" w:rsidP="00D41708">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PRIVREMENE GRAĐEVINSKE DOZVOLE</w:t>
            </w:r>
          </w:p>
        </w:tc>
        <w:tc>
          <w:tcPr>
            <w:tcW w:w="0" w:type="auto"/>
            <w:tcBorders>
              <w:top w:val="nil"/>
              <w:left w:val="nil"/>
              <w:bottom w:val="nil"/>
              <w:right w:val="nil"/>
            </w:tcBorders>
            <w:shd w:val="clear" w:color="auto" w:fill="auto"/>
            <w:noWrap/>
            <w:vAlign w:val="bottom"/>
            <w:hideMark/>
          </w:tcPr>
          <w:p w14:paraId="2A142FE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37F43F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245FC6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72</w:t>
            </w:r>
          </w:p>
        </w:tc>
        <w:tc>
          <w:tcPr>
            <w:tcW w:w="0" w:type="auto"/>
            <w:tcBorders>
              <w:top w:val="nil"/>
              <w:left w:val="nil"/>
              <w:bottom w:val="single" w:sz="4" w:space="0" w:color="000000"/>
              <w:right w:val="single" w:sz="12" w:space="0" w:color="000000"/>
            </w:tcBorders>
            <w:shd w:val="clear" w:color="auto" w:fill="auto"/>
            <w:noWrap/>
            <w:vAlign w:val="center"/>
            <w:hideMark/>
          </w:tcPr>
          <w:p w14:paraId="094D3AE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43.37%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2D9F6A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w:t>
            </w:r>
          </w:p>
        </w:tc>
        <w:tc>
          <w:tcPr>
            <w:tcW w:w="0" w:type="auto"/>
            <w:tcBorders>
              <w:top w:val="nil"/>
              <w:left w:val="nil"/>
              <w:bottom w:val="single" w:sz="4" w:space="0" w:color="000000"/>
              <w:right w:val="single" w:sz="8" w:space="0" w:color="000000"/>
            </w:tcBorders>
            <w:shd w:val="clear" w:color="auto" w:fill="auto"/>
            <w:noWrap/>
            <w:vAlign w:val="center"/>
            <w:hideMark/>
          </w:tcPr>
          <w:p w14:paraId="2ED74D3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45.81%</w:t>
            </w:r>
          </w:p>
        </w:tc>
      </w:tr>
      <w:tr w:rsidR="00EA2B24" w:rsidRPr="00412B28" w14:paraId="059D0522"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31892E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0C7A11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57D04D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683093F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2AAA147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9E11FD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2C8F04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1.29%</w:t>
            </w:r>
          </w:p>
        </w:tc>
      </w:tr>
      <w:tr w:rsidR="00EA2B24" w:rsidRPr="00412B28" w14:paraId="6D6BECC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3DA98D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426E98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3DA473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67EA30D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76</w:t>
            </w:r>
          </w:p>
        </w:tc>
        <w:tc>
          <w:tcPr>
            <w:tcW w:w="0" w:type="auto"/>
            <w:tcBorders>
              <w:top w:val="nil"/>
              <w:left w:val="nil"/>
              <w:bottom w:val="single" w:sz="4" w:space="0" w:color="000000"/>
              <w:right w:val="single" w:sz="12" w:space="0" w:color="000000"/>
            </w:tcBorders>
            <w:shd w:val="clear" w:color="auto" w:fill="auto"/>
            <w:noWrap/>
            <w:vAlign w:val="center"/>
            <w:hideMark/>
          </w:tcPr>
          <w:p w14:paraId="1E61771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45.78%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C234B6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68</w:t>
            </w:r>
          </w:p>
        </w:tc>
        <w:tc>
          <w:tcPr>
            <w:tcW w:w="0" w:type="auto"/>
            <w:tcBorders>
              <w:top w:val="nil"/>
              <w:left w:val="nil"/>
              <w:bottom w:val="single" w:sz="4" w:space="0" w:color="000000"/>
              <w:right w:val="single" w:sz="8" w:space="0" w:color="000000"/>
            </w:tcBorders>
            <w:shd w:val="clear" w:color="auto" w:fill="auto"/>
            <w:noWrap/>
            <w:vAlign w:val="center"/>
            <w:hideMark/>
          </w:tcPr>
          <w:p w14:paraId="1111A82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43.87%</w:t>
            </w:r>
          </w:p>
        </w:tc>
      </w:tr>
      <w:tr w:rsidR="00EA2B24" w:rsidRPr="00412B28" w14:paraId="43773652"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067729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BA51FF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8C9322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bottom"/>
            <w:hideMark/>
          </w:tcPr>
          <w:p w14:paraId="29951AB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12" w:space="0" w:color="000000"/>
            </w:tcBorders>
            <w:shd w:val="clear" w:color="auto" w:fill="auto"/>
            <w:noWrap/>
            <w:vAlign w:val="center"/>
            <w:hideMark/>
          </w:tcPr>
          <w:p w14:paraId="582DD80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1C6968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8" w:space="0" w:color="000000"/>
            </w:tcBorders>
            <w:shd w:val="clear" w:color="auto" w:fill="auto"/>
            <w:noWrap/>
            <w:vAlign w:val="center"/>
            <w:hideMark/>
          </w:tcPr>
          <w:p w14:paraId="6A89CC8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2.58%</w:t>
            </w:r>
          </w:p>
        </w:tc>
      </w:tr>
      <w:tr w:rsidR="00EA2B24" w:rsidRPr="00412B28" w14:paraId="64FB567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F6BD03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62095F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B2519F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3961E34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12" w:space="0" w:color="000000"/>
            </w:tcBorders>
            <w:shd w:val="clear" w:color="auto" w:fill="auto"/>
            <w:noWrap/>
            <w:vAlign w:val="center"/>
            <w:hideMark/>
          </w:tcPr>
          <w:p w14:paraId="7B59371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8A369D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8" w:space="0" w:color="000000"/>
            </w:tcBorders>
            <w:shd w:val="clear" w:color="auto" w:fill="auto"/>
            <w:noWrap/>
            <w:vAlign w:val="center"/>
            <w:hideMark/>
          </w:tcPr>
          <w:p w14:paraId="201F1F2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6.45%</w:t>
            </w:r>
          </w:p>
        </w:tc>
      </w:tr>
      <w:tr w:rsidR="00EA2B24" w:rsidRPr="00412B28" w14:paraId="6A6661A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931D72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817893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9F72C71"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0A70A66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166</w:t>
            </w:r>
          </w:p>
        </w:tc>
        <w:tc>
          <w:tcPr>
            <w:tcW w:w="0" w:type="auto"/>
            <w:tcBorders>
              <w:top w:val="nil"/>
              <w:left w:val="nil"/>
              <w:bottom w:val="single" w:sz="4" w:space="0" w:color="000000"/>
              <w:right w:val="single" w:sz="12" w:space="0" w:color="000000"/>
            </w:tcBorders>
            <w:shd w:val="clear" w:color="000000" w:fill="DDEBF7"/>
            <w:noWrap/>
            <w:vAlign w:val="center"/>
            <w:hideMark/>
          </w:tcPr>
          <w:p w14:paraId="1EAC452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1E51E6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155</w:t>
            </w:r>
          </w:p>
        </w:tc>
        <w:tc>
          <w:tcPr>
            <w:tcW w:w="0" w:type="auto"/>
            <w:tcBorders>
              <w:top w:val="nil"/>
              <w:left w:val="nil"/>
              <w:bottom w:val="single" w:sz="4" w:space="0" w:color="000000"/>
              <w:right w:val="single" w:sz="8" w:space="0" w:color="000000"/>
            </w:tcBorders>
            <w:shd w:val="clear" w:color="000000" w:fill="DDEBF7"/>
            <w:noWrap/>
            <w:vAlign w:val="center"/>
            <w:hideMark/>
          </w:tcPr>
          <w:p w14:paraId="5DCBB18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569621B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4BD4D2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D4603A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206C48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78AF5FD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w:t>
            </w:r>
          </w:p>
        </w:tc>
        <w:tc>
          <w:tcPr>
            <w:tcW w:w="0" w:type="auto"/>
            <w:tcBorders>
              <w:top w:val="nil"/>
              <w:left w:val="nil"/>
              <w:bottom w:val="single" w:sz="4" w:space="0" w:color="000000"/>
              <w:right w:val="single" w:sz="12" w:space="0" w:color="000000"/>
            </w:tcBorders>
            <w:shd w:val="clear" w:color="auto" w:fill="auto"/>
            <w:noWrap/>
            <w:vAlign w:val="center"/>
            <w:hideMark/>
          </w:tcPr>
          <w:p w14:paraId="7AFC964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25.42%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71E975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8" w:space="0" w:color="000000"/>
            </w:tcBorders>
            <w:shd w:val="clear" w:color="auto" w:fill="auto"/>
            <w:noWrap/>
            <w:vAlign w:val="center"/>
            <w:hideMark/>
          </w:tcPr>
          <w:p w14:paraId="7BA07AD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28.00%</w:t>
            </w:r>
          </w:p>
        </w:tc>
      </w:tr>
      <w:tr w:rsidR="00EA2B24" w:rsidRPr="00412B28" w14:paraId="0AA84D4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899250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single" w:sz="4" w:space="0" w:color="000000"/>
              <w:left w:val="nil"/>
              <w:bottom w:val="nil"/>
              <w:right w:val="nil"/>
            </w:tcBorders>
            <w:shd w:val="clear" w:color="auto" w:fill="auto"/>
            <w:noWrap/>
            <w:vAlign w:val="bottom"/>
            <w:hideMark/>
          </w:tcPr>
          <w:p w14:paraId="062D6CE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7B8D0F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bottom"/>
            <w:hideMark/>
          </w:tcPr>
          <w:p w14:paraId="28343EF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775F36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5.08%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AA9B21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8" w:space="0" w:color="000000"/>
            </w:tcBorders>
            <w:shd w:val="clear" w:color="auto" w:fill="auto"/>
            <w:noWrap/>
            <w:vAlign w:val="center"/>
            <w:hideMark/>
          </w:tcPr>
          <w:p w14:paraId="7B230CA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2.00%</w:t>
            </w:r>
          </w:p>
        </w:tc>
      </w:tr>
      <w:tr w:rsidR="00EA2B24" w:rsidRPr="00412B28" w14:paraId="038FD1C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5A8D5F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9260BC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39F76A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479729C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w:t>
            </w:r>
          </w:p>
        </w:tc>
        <w:tc>
          <w:tcPr>
            <w:tcW w:w="0" w:type="auto"/>
            <w:tcBorders>
              <w:top w:val="nil"/>
              <w:left w:val="nil"/>
              <w:bottom w:val="single" w:sz="4" w:space="0" w:color="000000"/>
              <w:right w:val="single" w:sz="12" w:space="0" w:color="000000"/>
            </w:tcBorders>
            <w:shd w:val="clear" w:color="auto" w:fill="auto"/>
            <w:noWrap/>
            <w:vAlign w:val="center"/>
            <w:hideMark/>
          </w:tcPr>
          <w:p w14:paraId="0D2A73C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67.80%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0A7C9B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8" w:space="0" w:color="000000"/>
            </w:tcBorders>
            <w:shd w:val="clear" w:color="auto" w:fill="auto"/>
            <w:noWrap/>
            <w:vAlign w:val="center"/>
            <w:hideMark/>
          </w:tcPr>
          <w:p w14:paraId="2FF2756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60.00%</w:t>
            </w:r>
          </w:p>
        </w:tc>
      </w:tr>
      <w:tr w:rsidR="00EA2B24" w:rsidRPr="00412B28" w14:paraId="28B2AEE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F6FB0C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ADED62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1CA980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2436C95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64D6DA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17847E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1E6BCD6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10.00%</w:t>
            </w:r>
          </w:p>
        </w:tc>
      </w:tr>
      <w:tr w:rsidR="00EA2B24" w:rsidRPr="00412B28" w14:paraId="7C5AC4E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9EC6AE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DCEB08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6D563DB8"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208ABB8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59</w:t>
            </w:r>
          </w:p>
        </w:tc>
        <w:tc>
          <w:tcPr>
            <w:tcW w:w="0" w:type="auto"/>
            <w:tcBorders>
              <w:top w:val="nil"/>
              <w:left w:val="nil"/>
              <w:bottom w:val="single" w:sz="4" w:space="0" w:color="000000"/>
              <w:right w:val="single" w:sz="12" w:space="0" w:color="000000"/>
            </w:tcBorders>
            <w:shd w:val="clear" w:color="000000" w:fill="DDEBF7"/>
            <w:noWrap/>
            <w:vAlign w:val="center"/>
            <w:hideMark/>
          </w:tcPr>
          <w:p w14:paraId="0548CAF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49E290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50</w:t>
            </w:r>
          </w:p>
        </w:tc>
        <w:tc>
          <w:tcPr>
            <w:tcW w:w="0" w:type="auto"/>
            <w:tcBorders>
              <w:top w:val="nil"/>
              <w:left w:val="nil"/>
              <w:bottom w:val="single" w:sz="4" w:space="0" w:color="000000"/>
              <w:right w:val="single" w:sz="8" w:space="0" w:color="000000"/>
            </w:tcBorders>
            <w:shd w:val="clear" w:color="000000" w:fill="DDEBF7"/>
            <w:noWrap/>
            <w:vAlign w:val="center"/>
            <w:hideMark/>
          </w:tcPr>
          <w:p w14:paraId="529A166A"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33C70EC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14107C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76D3E46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privremene građevinske dozvole na osnovu usaglašenog zahteva (pre uvođenja CEOP-a)</w:t>
            </w:r>
          </w:p>
        </w:tc>
        <w:tc>
          <w:tcPr>
            <w:tcW w:w="0" w:type="auto"/>
            <w:tcBorders>
              <w:top w:val="nil"/>
              <w:left w:val="nil"/>
              <w:bottom w:val="single" w:sz="4" w:space="0" w:color="000000"/>
              <w:right w:val="single" w:sz="12" w:space="0" w:color="000000"/>
            </w:tcBorders>
            <w:shd w:val="clear" w:color="auto" w:fill="auto"/>
            <w:noWrap/>
            <w:vAlign w:val="bottom"/>
            <w:hideMark/>
          </w:tcPr>
          <w:p w14:paraId="39EE73C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0BDD496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4356BF2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71F00BD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21040F2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7D2AA6D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68EFBE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662A05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privremene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0ACFD5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3780027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44EB85D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1A7A778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7492C0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39AEF2F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84E621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215CED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privremene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9AC063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oradi</w:t>
            </w:r>
          </w:p>
        </w:tc>
        <w:tc>
          <w:tcPr>
            <w:tcW w:w="0" w:type="auto"/>
            <w:tcBorders>
              <w:top w:val="nil"/>
              <w:left w:val="nil"/>
              <w:bottom w:val="single" w:sz="4" w:space="0" w:color="000000"/>
              <w:right w:val="single" w:sz="4" w:space="0" w:color="000000"/>
            </w:tcBorders>
            <w:shd w:val="clear" w:color="auto" w:fill="auto"/>
            <w:noWrap/>
            <w:vAlign w:val="center"/>
            <w:hideMark/>
          </w:tcPr>
          <w:p w14:paraId="1776263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2AA60B5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3F0CE06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C093E7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453DBC5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7AABD9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C3788D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Izdavanje/izmena privremene građevinske dozvole na osnovu usaglašenog zahteva (pre uvođenja CEOP-a)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988A0A7"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498801A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12" w:space="0" w:color="000000"/>
            </w:tcBorders>
            <w:shd w:val="clear" w:color="000000" w:fill="DDEBF7"/>
            <w:noWrap/>
            <w:vAlign w:val="bottom"/>
            <w:hideMark/>
          </w:tcPr>
          <w:p w14:paraId="01B36AF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4" w:space="0" w:color="000000"/>
            </w:tcBorders>
            <w:shd w:val="clear" w:color="000000" w:fill="DDEBF7"/>
            <w:noWrap/>
            <w:vAlign w:val="bottom"/>
            <w:hideMark/>
          </w:tcPr>
          <w:p w14:paraId="5B1B214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3AD9812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EA2B24" w:rsidRPr="00412B28" w14:paraId="1364FE7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C70493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AB6F3B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7AFA63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Zahted odbijen</w:t>
            </w:r>
          </w:p>
        </w:tc>
        <w:tc>
          <w:tcPr>
            <w:tcW w:w="0" w:type="auto"/>
            <w:tcBorders>
              <w:top w:val="nil"/>
              <w:left w:val="nil"/>
              <w:bottom w:val="single" w:sz="4" w:space="0" w:color="000000"/>
              <w:right w:val="single" w:sz="4" w:space="0" w:color="000000"/>
            </w:tcBorders>
            <w:shd w:val="clear" w:color="auto" w:fill="auto"/>
            <w:noWrap/>
            <w:vAlign w:val="bottom"/>
            <w:hideMark/>
          </w:tcPr>
          <w:p w14:paraId="3889634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09B365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247DCD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8" w:space="0" w:color="000000"/>
            </w:tcBorders>
            <w:shd w:val="clear" w:color="auto" w:fill="auto"/>
            <w:noWrap/>
            <w:vAlign w:val="center"/>
            <w:hideMark/>
          </w:tcPr>
          <w:p w14:paraId="59F126A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28.00%</w:t>
            </w:r>
          </w:p>
        </w:tc>
      </w:tr>
      <w:tr w:rsidR="00EA2B24" w:rsidRPr="00412B28" w14:paraId="07FDFE7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48298E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single" w:sz="4" w:space="0" w:color="000000"/>
              <w:left w:val="nil"/>
              <w:bottom w:val="nil"/>
              <w:right w:val="nil"/>
            </w:tcBorders>
            <w:shd w:val="clear" w:color="auto" w:fill="auto"/>
            <w:noWrap/>
            <w:vAlign w:val="bottom"/>
            <w:hideMark/>
          </w:tcPr>
          <w:p w14:paraId="4130E44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BB27C7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595EBB8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224DD88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F7897C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8" w:space="0" w:color="000000"/>
            </w:tcBorders>
            <w:shd w:val="clear" w:color="auto" w:fill="auto"/>
            <w:noWrap/>
            <w:vAlign w:val="center"/>
            <w:hideMark/>
          </w:tcPr>
          <w:p w14:paraId="7062590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2.00%</w:t>
            </w:r>
          </w:p>
        </w:tc>
      </w:tr>
      <w:tr w:rsidR="00EA2B24" w:rsidRPr="00412B28" w14:paraId="31345D45"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617F99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0CDFD7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981137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bottom"/>
            <w:hideMark/>
          </w:tcPr>
          <w:p w14:paraId="37D3E11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12" w:space="0" w:color="000000"/>
            </w:tcBorders>
            <w:shd w:val="clear" w:color="auto" w:fill="auto"/>
            <w:noWrap/>
            <w:vAlign w:val="center"/>
            <w:hideMark/>
          </w:tcPr>
          <w:p w14:paraId="56701A8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50.00%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5B6BD0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8" w:space="0" w:color="000000"/>
            </w:tcBorders>
            <w:shd w:val="clear" w:color="auto" w:fill="auto"/>
            <w:noWrap/>
            <w:vAlign w:val="center"/>
            <w:hideMark/>
          </w:tcPr>
          <w:p w14:paraId="6E7FA04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60.00%</w:t>
            </w:r>
          </w:p>
        </w:tc>
      </w:tr>
      <w:tr w:rsidR="00EA2B24" w:rsidRPr="00412B28" w14:paraId="5F03ECDD"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0EAF09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01D9AF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ACFC19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bottom"/>
            <w:hideMark/>
          </w:tcPr>
          <w:p w14:paraId="6F4283F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65CE5B5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893487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054FBCA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10.00%</w:t>
            </w:r>
          </w:p>
        </w:tc>
      </w:tr>
      <w:tr w:rsidR="00EA2B24" w:rsidRPr="00412B28" w14:paraId="4900F48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4A2B09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605DE76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0D822924"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557106B2"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w:t>
            </w:r>
          </w:p>
        </w:tc>
        <w:tc>
          <w:tcPr>
            <w:tcW w:w="0" w:type="auto"/>
            <w:tcBorders>
              <w:top w:val="nil"/>
              <w:left w:val="nil"/>
              <w:bottom w:val="single" w:sz="4" w:space="0" w:color="000000"/>
              <w:right w:val="single" w:sz="12" w:space="0" w:color="000000"/>
            </w:tcBorders>
            <w:shd w:val="clear" w:color="000000" w:fill="DDEBF7"/>
            <w:noWrap/>
            <w:vAlign w:val="center"/>
            <w:hideMark/>
          </w:tcPr>
          <w:p w14:paraId="6C1AB27A"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73DEE0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50</w:t>
            </w:r>
          </w:p>
        </w:tc>
        <w:tc>
          <w:tcPr>
            <w:tcW w:w="0" w:type="auto"/>
            <w:tcBorders>
              <w:top w:val="nil"/>
              <w:left w:val="nil"/>
              <w:bottom w:val="single" w:sz="4" w:space="0" w:color="000000"/>
              <w:right w:val="single" w:sz="8" w:space="0" w:color="000000"/>
            </w:tcBorders>
            <w:shd w:val="clear" w:color="000000" w:fill="DDEBF7"/>
            <w:noWrap/>
            <w:vAlign w:val="center"/>
            <w:hideMark/>
          </w:tcPr>
          <w:p w14:paraId="7DE1582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45C33FC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4B1461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FDACDE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819DFD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bottom"/>
            <w:hideMark/>
          </w:tcPr>
          <w:p w14:paraId="43AC716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498653E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100.00%</w:t>
            </w:r>
          </w:p>
        </w:tc>
        <w:tc>
          <w:tcPr>
            <w:tcW w:w="0" w:type="auto"/>
            <w:tcBorders>
              <w:top w:val="nil"/>
              <w:left w:val="nil"/>
              <w:bottom w:val="single" w:sz="4" w:space="0" w:color="000000"/>
              <w:right w:val="single" w:sz="4" w:space="0" w:color="000000"/>
            </w:tcBorders>
            <w:shd w:val="clear" w:color="auto" w:fill="auto"/>
            <w:noWrap/>
            <w:vAlign w:val="center"/>
            <w:hideMark/>
          </w:tcPr>
          <w:p w14:paraId="414DB19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bottom"/>
            <w:hideMark/>
          </w:tcPr>
          <w:p w14:paraId="5CA1C9B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4B18F92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E71884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48622B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privremene građevinske dozvole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8EE0045"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bottom"/>
            <w:hideMark/>
          </w:tcPr>
          <w:p w14:paraId="5D8D4FB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w:t>
            </w:r>
          </w:p>
        </w:tc>
        <w:tc>
          <w:tcPr>
            <w:tcW w:w="0" w:type="auto"/>
            <w:tcBorders>
              <w:top w:val="nil"/>
              <w:left w:val="nil"/>
              <w:bottom w:val="single" w:sz="4" w:space="0" w:color="000000"/>
              <w:right w:val="single" w:sz="12" w:space="0" w:color="000000"/>
            </w:tcBorders>
            <w:shd w:val="clear" w:color="000000" w:fill="DDEBF7"/>
            <w:noWrap/>
            <w:vAlign w:val="center"/>
            <w:hideMark/>
          </w:tcPr>
          <w:p w14:paraId="113770F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center"/>
            <w:hideMark/>
          </w:tcPr>
          <w:p w14:paraId="16F4FBD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bottom"/>
            <w:hideMark/>
          </w:tcPr>
          <w:p w14:paraId="4F6E0740"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EA2B24" w:rsidRPr="00412B28" w14:paraId="7AED8C24" w14:textId="77777777" w:rsidTr="00D41708">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noWrap/>
            <w:vAlign w:val="center"/>
            <w:hideMark/>
          </w:tcPr>
          <w:p w14:paraId="181BB513" w14:textId="77777777" w:rsidR="00EA2B24" w:rsidRPr="00412B28" w:rsidRDefault="00EA2B24" w:rsidP="00D41708">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UPOTREBNE DOZVOLE</w:t>
            </w:r>
          </w:p>
        </w:tc>
        <w:tc>
          <w:tcPr>
            <w:tcW w:w="0" w:type="auto"/>
            <w:tcBorders>
              <w:top w:val="nil"/>
              <w:left w:val="nil"/>
              <w:bottom w:val="nil"/>
              <w:right w:val="nil"/>
            </w:tcBorders>
            <w:shd w:val="clear" w:color="auto" w:fill="auto"/>
            <w:noWrap/>
            <w:vAlign w:val="bottom"/>
            <w:hideMark/>
          </w:tcPr>
          <w:p w14:paraId="79FE543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CF0E82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Dokument je pripremljen</w:t>
            </w:r>
          </w:p>
        </w:tc>
        <w:tc>
          <w:tcPr>
            <w:tcW w:w="0" w:type="auto"/>
            <w:tcBorders>
              <w:top w:val="nil"/>
              <w:left w:val="nil"/>
              <w:bottom w:val="single" w:sz="4" w:space="0" w:color="000000"/>
              <w:right w:val="single" w:sz="4" w:space="0" w:color="000000"/>
            </w:tcBorders>
            <w:shd w:val="clear" w:color="000000" w:fill="FFFFFF"/>
            <w:noWrap/>
            <w:vAlign w:val="center"/>
            <w:hideMark/>
          </w:tcPr>
          <w:p w14:paraId="31068F2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2699</w:t>
            </w:r>
          </w:p>
        </w:tc>
        <w:tc>
          <w:tcPr>
            <w:tcW w:w="0" w:type="auto"/>
            <w:tcBorders>
              <w:top w:val="nil"/>
              <w:left w:val="nil"/>
              <w:bottom w:val="single" w:sz="4" w:space="0" w:color="000000"/>
              <w:right w:val="single" w:sz="12" w:space="0" w:color="000000"/>
            </w:tcBorders>
            <w:shd w:val="clear" w:color="000000" w:fill="FFFFFF"/>
            <w:noWrap/>
            <w:vAlign w:val="center"/>
            <w:hideMark/>
          </w:tcPr>
          <w:p w14:paraId="63AEE8D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35.97%</w:t>
            </w:r>
          </w:p>
        </w:tc>
        <w:tc>
          <w:tcPr>
            <w:tcW w:w="0" w:type="auto"/>
            <w:tcBorders>
              <w:top w:val="nil"/>
              <w:left w:val="nil"/>
              <w:bottom w:val="nil"/>
              <w:right w:val="single" w:sz="4" w:space="0" w:color="000000"/>
            </w:tcBorders>
            <w:shd w:val="clear" w:color="auto" w:fill="auto"/>
            <w:noWrap/>
            <w:vAlign w:val="center"/>
            <w:hideMark/>
          </w:tcPr>
          <w:p w14:paraId="48267A5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nil"/>
              <w:right w:val="single" w:sz="8" w:space="0" w:color="000000"/>
            </w:tcBorders>
            <w:shd w:val="clear" w:color="auto" w:fill="auto"/>
            <w:noWrap/>
            <w:vAlign w:val="center"/>
            <w:hideMark/>
          </w:tcPr>
          <w:p w14:paraId="0730EC8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3AD6990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626304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216B63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C58113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000000" w:fill="FFFFFF"/>
            <w:noWrap/>
            <w:vAlign w:val="center"/>
            <w:hideMark/>
          </w:tcPr>
          <w:p w14:paraId="1999A3F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12" w:space="0" w:color="000000"/>
            </w:tcBorders>
            <w:shd w:val="clear" w:color="000000" w:fill="FFFFFF"/>
            <w:noWrap/>
            <w:vAlign w:val="center"/>
            <w:hideMark/>
          </w:tcPr>
          <w:p w14:paraId="3634B0B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E6C693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2851</w:t>
            </w:r>
          </w:p>
        </w:tc>
        <w:tc>
          <w:tcPr>
            <w:tcW w:w="0" w:type="auto"/>
            <w:tcBorders>
              <w:top w:val="single" w:sz="4" w:space="0" w:color="000000"/>
              <w:left w:val="nil"/>
              <w:bottom w:val="single" w:sz="4" w:space="0" w:color="000000"/>
              <w:right w:val="single" w:sz="8" w:space="0" w:color="000000"/>
            </w:tcBorders>
            <w:shd w:val="clear" w:color="auto" w:fill="auto"/>
            <w:noWrap/>
            <w:vAlign w:val="center"/>
            <w:hideMark/>
          </w:tcPr>
          <w:p w14:paraId="400C81A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31.61%</w:t>
            </w:r>
          </w:p>
        </w:tc>
      </w:tr>
      <w:tr w:rsidR="00EA2B24" w:rsidRPr="00412B28" w14:paraId="66767BA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5B914E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862E13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465EC6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000000" w:fill="FFFFFF"/>
            <w:noWrap/>
            <w:vAlign w:val="center"/>
            <w:hideMark/>
          </w:tcPr>
          <w:p w14:paraId="152A9F2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4146</w:t>
            </w:r>
          </w:p>
        </w:tc>
        <w:tc>
          <w:tcPr>
            <w:tcW w:w="0" w:type="auto"/>
            <w:tcBorders>
              <w:top w:val="nil"/>
              <w:left w:val="nil"/>
              <w:bottom w:val="single" w:sz="4" w:space="0" w:color="000000"/>
              <w:right w:val="single" w:sz="12" w:space="0" w:color="000000"/>
            </w:tcBorders>
            <w:shd w:val="clear" w:color="000000" w:fill="FFFFFF"/>
            <w:noWrap/>
            <w:vAlign w:val="center"/>
            <w:hideMark/>
          </w:tcPr>
          <w:p w14:paraId="1F2796E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55.26%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CD59EB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w:t>
            </w:r>
          </w:p>
        </w:tc>
        <w:tc>
          <w:tcPr>
            <w:tcW w:w="0" w:type="auto"/>
            <w:tcBorders>
              <w:top w:val="nil"/>
              <w:left w:val="nil"/>
              <w:bottom w:val="single" w:sz="4" w:space="0" w:color="000000"/>
              <w:right w:val="single" w:sz="8" w:space="0" w:color="000000"/>
            </w:tcBorders>
            <w:shd w:val="clear" w:color="auto" w:fill="auto"/>
            <w:noWrap/>
            <w:vAlign w:val="center"/>
            <w:hideMark/>
          </w:tcPr>
          <w:p w14:paraId="3A36E18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0.30%</w:t>
            </w:r>
          </w:p>
        </w:tc>
      </w:tr>
      <w:tr w:rsidR="00EA2B24" w:rsidRPr="00412B28" w14:paraId="6BC04DD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A7211A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51B192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BA14BA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000000" w:fill="FFFFFF"/>
            <w:noWrap/>
            <w:vAlign w:val="center"/>
            <w:hideMark/>
          </w:tcPr>
          <w:p w14:paraId="25DF447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w:t>
            </w:r>
          </w:p>
        </w:tc>
        <w:tc>
          <w:tcPr>
            <w:tcW w:w="0" w:type="auto"/>
            <w:tcBorders>
              <w:top w:val="nil"/>
              <w:left w:val="nil"/>
              <w:bottom w:val="single" w:sz="4" w:space="0" w:color="000000"/>
              <w:right w:val="single" w:sz="12" w:space="0" w:color="000000"/>
            </w:tcBorders>
            <w:shd w:val="clear" w:color="000000" w:fill="FFFFFF"/>
            <w:noWrap/>
            <w:vAlign w:val="center"/>
            <w:hideMark/>
          </w:tcPr>
          <w:p w14:paraId="015369E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813358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5168</w:t>
            </w:r>
          </w:p>
        </w:tc>
        <w:tc>
          <w:tcPr>
            <w:tcW w:w="0" w:type="auto"/>
            <w:tcBorders>
              <w:top w:val="nil"/>
              <w:left w:val="nil"/>
              <w:bottom w:val="single" w:sz="4" w:space="0" w:color="000000"/>
              <w:right w:val="single" w:sz="8" w:space="0" w:color="000000"/>
            </w:tcBorders>
            <w:shd w:val="clear" w:color="auto" w:fill="auto"/>
            <w:noWrap/>
            <w:vAlign w:val="center"/>
            <w:hideMark/>
          </w:tcPr>
          <w:p w14:paraId="13F9A8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57.30%</w:t>
            </w:r>
          </w:p>
        </w:tc>
      </w:tr>
      <w:tr w:rsidR="00EA2B24" w:rsidRPr="00412B28" w14:paraId="78A44AE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B7834C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D8DD5A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54AC20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000000" w:fill="FFFFFF"/>
            <w:noWrap/>
            <w:vAlign w:val="center"/>
            <w:hideMark/>
          </w:tcPr>
          <w:p w14:paraId="4001AC1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36</w:t>
            </w:r>
          </w:p>
        </w:tc>
        <w:tc>
          <w:tcPr>
            <w:tcW w:w="0" w:type="auto"/>
            <w:tcBorders>
              <w:top w:val="nil"/>
              <w:left w:val="nil"/>
              <w:bottom w:val="single" w:sz="4" w:space="0" w:color="000000"/>
              <w:right w:val="single" w:sz="12" w:space="0" w:color="000000"/>
            </w:tcBorders>
            <w:shd w:val="clear" w:color="000000" w:fill="FFFFFF"/>
            <w:noWrap/>
            <w:vAlign w:val="center"/>
            <w:hideMark/>
          </w:tcPr>
          <w:p w14:paraId="1B34586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2315EE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108</w:t>
            </w:r>
          </w:p>
        </w:tc>
        <w:tc>
          <w:tcPr>
            <w:tcW w:w="0" w:type="auto"/>
            <w:tcBorders>
              <w:top w:val="nil"/>
              <w:left w:val="nil"/>
              <w:bottom w:val="single" w:sz="4" w:space="0" w:color="000000"/>
              <w:right w:val="single" w:sz="8" w:space="0" w:color="000000"/>
            </w:tcBorders>
            <w:shd w:val="clear" w:color="auto" w:fill="auto"/>
            <w:noWrap/>
            <w:vAlign w:val="center"/>
            <w:hideMark/>
          </w:tcPr>
          <w:p w14:paraId="7B11E5A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1.20%</w:t>
            </w:r>
          </w:p>
        </w:tc>
      </w:tr>
      <w:tr w:rsidR="00EA2B24" w:rsidRPr="00412B28" w14:paraId="3C4D7D6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1DA56E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044FE2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1D6683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000000" w:fill="FFFFFF"/>
            <w:noWrap/>
            <w:vAlign w:val="bottom"/>
            <w:hideMark/>
          </w:tcPr>
          <w:p w14:paraId="09690E9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1E60FC4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9BA6E8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w:t>
            </w:r>
          </w:p>
        </w:tc>
        <w:tc>
          <w:tcPr>
            <w:tcW w:w="0" w:type="auto"/>
            <w:tcBorders>
              <w:top w:val="nil"/>
              <w:left w:val="nil"/>
              <w:bottom w:val="single" w:sz="4" w:space="0" w:color="000000"/>
              <w:right w:val="single" w:sz="8" w:space="0" w:color="000000"/>
            </w:tcBorders>
            <w:shd w:val="clear" w:color="auto" w:fill="auto"/>
            <w:noWrap/>
            <w:vAlign w:val="center"/>
            <w:hideMark/>
          </w:tcPr>
          <w:p w14:paraId="502F293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0.79%</w:t>
            </w:r>
          </w:p>
        </w:tc>
      </w:tr>
      <w:tr w:rsidR="00EA2B24" w:rsidRPr="00412B28" w14:paraId="63100BA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3D0780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F99E42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DD1D7A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Pripremljen akt</w:t>
            </w:r>
          </w:p>
        </w:tc>
        <w:tc>
          <w:tcPr>
            <w:tcW w:w="0" w:type="auto"/>
            <w:tcBorders>
              <w:top w:val="nil"/>
              <w:left w:val="nil"/>
              <w:bottom w:val="single" w:sz="4" w:space="0" w:color="000000"/>
              <w:right w:val="single" w:sz="4" w:space="0" w:color="000000"/>
            </w:tcBorders>
            <w:shd w:val="clear" w:color="000000" w:fill="FFFFFF"/>
            <w:noWrap/>
            <w:vAlign w:val="bottom"/>
            <w:hideMark/>
          </w:tcPr>
          <w:p w14:paraId="764AD95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3080B6F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4F741B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2CA2227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646DEAC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99C3E9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A1A0BC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442EB4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Pripremljen nacrt akta</w:t>
            </w:r>
          </w:p>
        </w:tc>
        <w:tc>
          <w:tcPr>
            <w:tcW w:w="0" w:type="auto"/>
            <w:tcBorders>
              <w:top w:val="nil"/>
              <w:left w:val="nil"/>
              <w:bottom w:val="single" w:sz="4" w:space="0" w:color="000000"/>
              <w:right w:val="single" w:sz="4" w:space="0" w:color="000000"/>
            </w:tcBorders>
            <w:shd w:val="clear" w:color="000000" w:fill="FFFFFF"/>
            <w:noWrap/>
            <w:vAlign w:val="bottom"/>
            <w:hideMark/>
          </w:tcPr>
          <w:p w14:paraId="26489A6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4A57F6D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BA5BAB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FF9278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149DE73A"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7D425A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0B6AB8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ADF24A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000000" w:fill="FFFFFF"/>
            <w:noWrap/>
            <w:vAlign w:val="center"/>
            <w:hideMark/>
          </w:tcPr>
          <w:p w14:paraId="2D8EB10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552</w:t>
            </w:r>
          </w:p>
        </w:tc>
        <w:tc>
          <w:tcPr>
            <w:tcW w:w="0" w:type="auto"/>
            <w:tcBorders>
              <w:top w:val="nil"/>
              <w:left w:val="nil"/>
              <w:bottom w:val="single" w:sz="4" w:space="0" w:color="000000"/>
              <w:right w:val="single" w:sz="12" w:space="0" w:color="000000"/>
            </w:tcBorders>
            <w:shd w:val="clear" w:color="000000" w:fill="FFFFFF"/>
            <w:noWrap/>
            <w:vAlign w:val="center"/>
            <w:hideMark/>
          </w:tcPr>
          <w:p w14:paraId="562A2B8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AD435D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794</w:t>
            </w:r>
          </w:p>
        </w:tc>
        <w:tc>
          <w:tcPr>
            <w:tcW w:w="0" w:type="auto"/>
            <w:tcBorders>
              <w:top w:val="nil"/>
              <w:left w:val="nil"/>
              <w:bottom w:val="single" w:sz="4" w:space="0" w:color="000000"/>
              <w:right w:val="single" w:sz="8" w:space="0" w:color="000000"/>
            </w:tcBorders>
            <w:shd w:val="clear" w:color="auto" w:fill="auto"/>
            <w:noWrap/>
            <w:vAlign w:val="center"/>
            <w:hideMark/>
          </w:tcPr>
          <w:p w14:paraId="2A22D04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8.80%</w:t>
            </w:r>
          </w:p>
        </w:tc>
      </w:tr>
      <w:tr w:rsidR="00EA2B24" w:rsidRPr="00412B28" w14:paraId="2174AC13"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8BC59F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CD40D8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E18DC99"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0AD3B58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7503</w:t>
            </w:r>
          </w:p>
        </w:tc>
        <w:tc>
          <w:tcPr>
            <w:tcW w:w="0" w:type="auto"/>
            <w:tcBorders>
              <w:top w:val="nil"/>
              <w:left w:val="nil"/>
              <w:bottom w:val="single" w:sz="4" w:space="0" w:color="000000"/>
              <w:right w:val="single" w:sz="12" w:space="0" w:color="000000"/>
            </w:tcBorders>
            <w:shd w:val="clear" w:color="000000" w:fill="DDEBF7"/>
            <w:noWrap/>
            <w:vAlign w:val="center"/>
            <w:hideMark/>
          </w:tcPr>
          <w:p w14:paraId="76E7844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ACABD9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9019</w:t>
            </w:r>
          </w:p>
        </w:tc>
        <w:tc>
          <w:tcPr>
            <w:tcW w:w="0" w:type="auto"/>
            <w:tcBorders>
              <w:top w:val="nil"/>
              <w:left w:val="nil"/>
              <w:bottom w:val="single" w:sz="4" w:space="0" w:color="000000"/>
              <w:right w:val="single" w:sz="8" w:space="0" w:color="000000"/>
            </w:tcBorders>
            <w:shd w:val="clear" w:color="000000" w:fill="DDEBF7"/>
            <w:noWrap/>
            <w:vAlign w:val="center"/>
            <w:hideMark/>
          </w:tcPr>
          <w:p w14:paraId="3ED8E27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4997DC81"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3FA1B4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CF4A25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5003FA7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43AD20A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637</w:t>
            </w:r>
          </w:p>
        </w:tc>
        <w:tc>
          <w:tcPr>
            <w:tcW w:w="0" w:type="auto"/>
            <w:tcBorders>
              <w:top w:val="nil"/>
              <w:left w:val="nil"/>
              <w:bottom w:val="single" w:sz="4" w:space="0" w:color="000000"/>
              <w:right w:val="single" w:sz="12" w:space="0" w:color="000000"/>
            </w:tcBorders>
            <w:shd w:val="clear" w:color="auto" w:fill="auto"/>
            <w:noWrap/>
            <w:vAlign w:val="center"/>
            <w:hideMark/>
          </w:tcPr>
          <w:p w14:paraId="63CB0DB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30.51%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FDB391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652</w:t>
            </w:r>
          </w:p>
        </w:tc>
        <w:tc>
          <w:tcPr>
            <w:tcW w:w="0" w:type="auto"/>
            <w:tcBorders>
              <w:top w:val="nil"/>
              <w:left w:val="nil"/>
              <w:bottom w:val="single" w:sz="4" w:space="0" w:color="000000"/>
              <w:right w:val="single" w:sz="8" w:space="0" w:color="000000"/>
            </w:tcBorders>
            <w:shd w:val="clear" w:color="auto" w:fill="auto"/>
            <w:noWrap/>
            <w:vAlign w:val="center"/>
            <w:hideMark/>
          </w:tcPr>
          <w:p w14:paraId="182B20D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26.50%</w:t>
            </w:r>
          </w:p>
        </w:tc>
      </w:tr>
      <w:tr w:rsidR="00EA2B24" w:rsidRPr="00412B28" w14:paraId="6DD89AB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1F3192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617DFC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1CF0B88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center"/>
            <w:hideMark/>
          </w:tcPr>
          <w:p w14:paraId="59E2CCD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12" w:space="0" w:color="000000"/>
            </w:tcBorders>
            <w:shd w:val="clear" w:color="auto" w:fill="auto"/>
            <w:noWrap/>
            <w:vAlign w:val="center"/>
            <w:hideMark/>
          </w:tcPr>
          <w:p w14:paraId="6CD9DCE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CFC609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8" w:space="0" w:color="000000"/>
            </w:tcBorders>
            <w:shd w:val="clear" w:color="auto" w:fill="auto"/>
            <w:noWrap/>
            <w:vAlign w:val="center"/>
            <w:hideMark/>
          </w:tcPr>
          <w:p w14:paraId="791320A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0.33%</w:t>
            </w:r>
          </w:p>
        </w:tc>
      </w:tr>
      <w:tr w:rsidR="00EA2B24" w:rsidRPr="00412B28" w14:paraId="0C899428"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9B4DFB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AF712A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13923ED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6C82B41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1235</w:t>
            </w:r>
          </w:p>
        </w:tc>
        <w:tc>
          <w:tcPr>
            <w:tcW w:w="0" w:type="auto"/>
            <w:tcBorders>
              <w:top w:val="nil"/>
              <w:left w:val="nil"/>
              <w:bottom w:val="single" w:sz="4" w:space="0" w:color="000000"/>
              <w:right w:val="single" w:sz="12" w:space="0" w:color="000000"/>
            </w:tcBorders>
            <w:shd w:val="clear" w:color="auto" w:fill="auto"/>
            <w:noWrap/>
            <w:vAlign w:val="center"/>
            <w:hideMark/>
          </w:tcPr>
          <w:p w14:paraId="6D43062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F51056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1578</w:t>
            </w:r>
          </w:p>
        </w:tc>
        <w:tc>
          <w:tcPr>
            <w:tcW w:w="0" w:type="auto"/>
            <w:tcBorders>
              <w:top w:val="nil"/>
              <w:left w:val="nil"/>
              <w:bottom w:val="single" w:sz="4" w:space="0" w:color="000000"/>
              <w:right w:val="single" w:sz="8" w:space="0" w:color="000000"/>
            </w:tcBorders>
            <w:shd w:val="clear" w:color="auto" w:fill="auto"/>
            <w:noWrap/>
            <w:vAlign w:val="center"/>
            <w:hideMark/>
          </w:tcPr>
          <w:p w14:paraId="224A040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64.15%</w:t>
            </w:r>
          </w:p>
        </w:tc>
      </w:tr>
      <w:tr w:rsidR="00EA2B24" w:rsidRPr="00412B28" w14:paraId="5E89622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5056F9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C95C78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69141BD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437D283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12" w:space="0" w:color="000000"/>
            </w:tcBorders>
            <w:shd w:val="clear" w:color="auto" w:fill="auto"/>
            <w:noWrap/>
            <w:vAlign w:val="center"/>
            <w:hideMark/>
          </w:tcPr>
          <w:p w14:paraId="337C1A9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B1532E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w:t>
            </w:r>
          </w:p>
        </w:tc>
        <w:tc>
          <w:tcPr>
            <w:tcW w:w="0" w:type="auto"/>
            <w:tcBorders>
              <w:top w:val="nil"/>
              <w:left w:val="nil"/>
              <w:bottom w:val="single" w:sz="4" w:space="0" w:color="000000"/>
              <w:right w:val="single" w:sz="8" w:space="0" w:color="000000"/>
            </w:tcBorders>
            <w:shd w:val="clear" w:color="auto" w:fill="auto"/>
            <w:noWrap/>
            <w:vAlign w:val="center"/>
            <w:hideMark/>
          </w:tcPr>
          <w:p w14:paraId="374EA12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1.30%</w:t>
            </w:r>
          </w:p>
        </w:tc>
      </w:tr>
      <w:tr w:rsidR="00EA2B24" w:rsidRPr="00412B28" w14:paraId="3E1EBD01"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788791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99972C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7ED4B12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center"/>
            <w:hideMark/>
          </w:tcPr>
          <w:p w14:paraId="409C165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12" w:space="0" w:color="000000"/>
            </w:tcBorders>
            <w:shd w:val="clear" w:color="auto" w:fill="auto"/>
            <w:noWrap/>
            <w:vAlign w:val="center"/>
            <w:hideMark/>
          </w:tcPr>
          <w:p w14:paraId="3F12731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1D6A8A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8" w:space="0" w:color="000000"/>
            </w:tcBorders>
            <w:shd w:val="clear" w:color="auto" w:fill="auto"/>
            <w:noWrap/>
            <w:vAlign w:val="center"/>
            <w:hideMark/>
          </w:tcPr>
          <w:p w14:paraId="6311D4D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1.02%</w:t>
            </w:r>
          </w:p>
        </w:tc>
      </w:tr>
      <w:tr w:rsidR="00EA2B24" w:rsidRPr="00412B28" w14:paraId="32803F99"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C45B01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88175A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798BD8A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0502FC4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187</w:t>
            </w:r>
          </w:p>
        </w:tc>
        <w:tc>
          <w:tcPr>
            <w:tcW w:w="0" w:type="auto"/>
            <w:tcBorders>
              <w:top w:val="nil"/>
              <w:left w:val="nil"/>
              <w:bottom w:val="single" w:sz="4" w:space="0" w:color="000000"/>
              <w:right w:val="single" w:sz="12" w:space="0" w:color="000000"/>
            </w:tcBorders>
            <w:shd w:val="clear" w:color="auto" w:fill="auto"/>
            <w:noWrap/>
            <w:vAlign w:val="center"/>
            <w:hideMark/>
          </w:tcPr>
          <w:p w14:paraId="5E94C4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8.96%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C33D58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165</w:t>
            </w:r>
          </w:p>
        </w:tc>
        <w:tc>
          <w:tcPr>
            <w:tcW w:w="0" w:type="auto"/>
            <w:tcBorders>
              <w:top w:val="nil"/>
              <w:left w:val="nil"/>
              <w:bottom w:val="single" w:sz="4" w:space="0" w:color="000000"/>
              <w:right w:val="single" w:sz="8" w:space="0" w:color="000000"/>
            </w:tcBorders>
            <w:shd w:val="clear" w:color="auto" w:fill="auto"/>
            <w:noWrap/>
            <w:vAlign w:val="center"/>
            <w:hideMark/>
          </w:tcPr>
          <w:p w14:paraId="3B93DC8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6.71%</w:t>
            </w:r>
          </w:p>
        </w:tc>
      </w:tr>
      <w:tr w:rsidR="00EA2B24" w:rsidRPr="00412B28" w14:paraId="1CFC7D9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D14A38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BD24EC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Izdavanje upotrebne dozvole na osnovi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6E2609E1"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4455DCC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2088</w:t>
            </w:r>
          </w:p>
        </w:tc>
        <w:tc>
          <w:tcPr>
            <w:tcW w:w="0" w:type="auto"/>
            <w:tcBorders>
              <w:top w:val="nil"/>
              <w:left w:val="nil"/>
              <w:bottom w:val="single" w:sz="4" w:space="0" w:color="000000"/>
              <w:right w:val="single" w:sz="12" w:space="0" w:color="000000"/>
            </w:tcBorders>
            <w:shd w:val="clear" w:color="000000" w:fill="DDEBF7"/>
            <w:noWrap/>
            <w:vAlign w:val="center"/>
            <w:hideMark/>
          </w:tcPr>
          <w:p w14:paraId="2D0452D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19EB5FB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2460</w:t>
            </w:r>
          </w:p>
        </w:tc>
        <w:tc>
          <w:tcPr>
            <w:tcW w:w="0" w:type="auto"/>
            <w:tcBorders>
              <w:top w:val="nil"/>
              <w:left w:val="nil"/>
              <w:bottom w:val="single" w:sz="4" w:space="0" w:color="000000"/>
              <w:right w:val="single" w:sz="8" w:space="0" w:color="000000"/>
            </w:tcBorders>
            <w:shd w:val="clear" w:color="000000" w:fill="DDEBF7"/>
            <w:noWrap/>
            <w:vAlign w:val="center"/>
            <w:hideMark/>
          </w:tcPr>
          <w:p w14:paraId="75C4E11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2E2803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D69ABF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9F80F5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3C71047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56C572A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6FCBF1D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7E0AA7E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w:t>
            </w:r>
          </w:p>
        </w:tc>
        <w:tc>
          <w:tcPr>
            <w:tcW w:w="0" w:type="auto"/>
            <w:tcBorders>
              <w:top w:val="nil"/>
              <w:left w:val="nil"/>
              <w:bottom w:val="single" w:sz="4" w:space="0" w:color="000000"/>
              <w:right w:val="single" w:sz="8" w:space="0" w:color="000000"/>
            </w:tcBorders>
            <w:shd w:val="clear" w:color="000000" w:fill="FFFFFF"/>
            <w:noWrap/>
            <w:vAlign w:val="center"/>
            <w:hideMark/>
          </w:tcPr>
          <w:p w14:paraId="79D7B25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24.49%</w:t>
            </w:r>
          </w:p>
        </w:tc>
      </w:tr>
      <w:tr w:rsidR="00EA2B24" w:rsidRPr="00412B28" w14:paraId="114EAE40"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65D7D2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6B96D30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nil"/>
              <w:bottom w:val="single" w:sz="4" w:space="0" w:color="000000"/>
              <w:right w:val="single" w:sz="12" w:space="0" w:color="000000"/>
            </w:tcBorders>
            <w:shd w:val="clear" w:color="000000" w:fill="FFFFFF"/>
            <w:noWrap/>
            <w:vAlign w:val="bottom"/>
            <w:hideMark/>
          </w:tcPr>
          <w:p w14:paraId="142989A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000000" w:fill="FFFFFF"/>
            <w:noWrap/>
            <w:vAlign w:val="center"/>
            <w:hideMark/>
          </w:tcPr>
          <w:p w14:paraId="1893BA9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766A1FA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604D199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62</w:t>
            </w:r>
          </w:p>
        </w:tc>
        <w:tc>
          <w:tcPr>
            <w:tcW w:w="0" w:type="auto"/>
            <w:tcBorders>
              <w:top w:val="nil"/>
              <w:left w:val="nil"/>
              <w:bottom w:val="single" w:sz="4" w:space="0" w:color="000000"/>
              <w:right w:val="single" w:sz="8" w:space="0" w:color="000000"/>
            </w:tcBorders>
            <w:shd w:val="clear" w:color="000000" w:fill="FFFFFF"/>
            <w:noWrap/>
            <w:vAlign w:val="center"/>
            <w:hideMark/>
          </w:tcPr>
          <w:p w14:paraId="08DC950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63.27%</w:t>
            </w:r>
          </w:p>
        </w:tc>
      </w:tr>
      <w:tr w:rsidR="00EA2B24" w:rsidRPr="00412B28" w14:paraId="24C4371B"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27F8C4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4234DD5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nil"/>
              <w:bottom w:val="single" w:sz="4" w:space="0" w:color="000000"/>
              <w:right w:val="single" w:sz="12" w:space="0" w:color="000000"/>
            </w:tcBorders>
            <w:shd w:val="clear" w:color="000000" w:fill="FFFFFF"/>
            <w:noWrap/>
            <w:vAlign w:val="bottom"/>
            <w:hideMark/>
          </w:tcPr>
          <w:p w14:paraId="011BA41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000000" w:fill="FFFFFF"/>
            <w:noWrap/>
            <w:vAlign w:val="center"/>
            <w:hideMark/>
          </w:tcPr>
          <w:p w14:paraId="1C724E7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6838CB6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65DF044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000000" w:fill="FFFFFF"/>
            <w:noWrap/>
            <w:vAlign w:val="center"/>
            <w:hideMark/>
          </w:tcPr>
          <w:p w14:paraId="37B48E4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5.10%</w:t>
            </w:r>
          </w:p>
        </w:tc>
      </w:tr>
      <w:tr w:rsidR="00EA2B24" w:rsidRPr="00412B28" w14:paraId="4A38A6DC"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682C87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32509BC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nil"/>
              <w:bottom w:val="single" w:sz="4" w:space="0" w:color="000000"/>
              <w:right w:val="single" w:sz="12" w:space="0" w:color="000000"/>
            </w:tcBorders>
            <w:shd w:val="clear" w:color="000000" w:fill="FFFFFF"/>
            <w:noWrap/>
            <w:vAlign w:val="bottom"/>
            <w:hideMark/>
          </w:tcPr>
          <w:p w14:paraId="5973E28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000000" w:fill="FFFFFF"/>
            <w:noWrap/>
            <w:vAlign w:val="center"/>
            <w:hideMark/>
          </w:tcPr>
          <w:p w14:paraId="4DC61D5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4460C40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4F4D6BE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w:t>
            </w:r>
          </w:p>
        </w:tc>
        <w:tc>
          <w:tcPr>
            <w:tcW w:w="0" w:type="auto"/>
            <w:tcBorders>
              <w:top w:val="nil"/>
              <w:left w:val="nil"/>
              <w:bottom w:val="single" w:sz="4" w:space="0" w:color="000000"/>
              <w:right w:val="single" w:sz="8" w:space="0" w:color="000000"/>
            </w:tcBorders>
            <w:shd w:val="clear" w:color="000000" w:fill="FFFFFF"/>
            <w:noWrap/>
            <w:vAlign w:val="center"/>
            <w:hideMark/>
          </w:tcPr>
          <w:p w14:paraId="6831669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3.06%</w:t>
            </w:r>
          </w:p>
        </w:tc>
      </w:tr>
      <w:tr w:rsidR="00EA2B24" w:rsidRPr="00412B28" w14:paraId="1C67F676"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A662C1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CB7982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6A55B40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74E7C3B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7A4CEBA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73FA005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w:t>
            </w:r>
          </w:p>
        </w:tc>
        <w:tc>
          <w:tcPr>
            <w:tcW w:w="0" w:type="auto"/>
            <w:tcBorders>
              <w:top w:val="nil"/>
              <w:left w:val="nil"/>
              <w:bottom w:val="single" w:sz="4" w:space="0" w:color="000000"/>
              <w:right w:val="single" w:sz="8" w:space="0" w:color="000000"/>
            </w:tcBorders>
            <w:shd w:val="clear" w:color="000000" w:fill="FFFFFF"/>
            <w:noWrap/>
            <w:vAlign w:val="center"/>
            <w:hideMark/>
          </w:tcPr>
          <w:p w14:paraId="58ED231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4.08%</w:t>
            </w:r>
          </w:p>
        </w:tc>
      </w:tr>
      <w:tr w:rsidR="00EA2B24" w:rsidRPr="00412B28" w14:paraId="7C6B1754"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B66BCD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single" w:sz="4" w:space="0" w:color="000000"/>
            </w:tcBorders>
            <w:shd w:val="clear" w:color="auto" w:fill="auto"/>
            <w:noWrap/>
            <w:vAlign w:val="bottom"/>
            <w:hideMark/>
          </w:tcPr>
          <w:p w14:paraId="0F66A7B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nil"/>
              <w:bottom w:val="single" w:sz="4" w:space="0" w:color="000000"/>
              <w:right w:val="single" w:sz="12" w:space="0" w:color="000000"/>
            </w:tcBorders>
            <w:shd w:val="clear" w:color="000000" w:fill="DDEBF7"/>
            <w:noWrap/>
            <w:vAlign w:val="bottom"/>
            <w:hideMark/>
          </w:tcPr>
          <w:p w14:paraId="703D191B"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72F903C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12" w:space="0" w:color="000000"/>
            </w:tcBorders>
            <w:shd w:val="clear" w:color="000000" w:fill="DDEBF7"/>
            <w:noWrap/>
            <w:vAlign w:val="bottom"/>
            <w:hideMark/>
          </w:tcPr>
          <w:p w14:paraId="5613344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39C93DD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98</w:t>
            </w:r>
          </w:p>
        </w:tc>
        <w:tc>
          <w:tcPr>
            <w:tcW w:w="0" w:type="auto"/>
            <w:tcBorders>
              <w:top w:val="nil"/>
              <w:left w:val="nil"/>
              <w:bottom w:val="single" w:sz="4" w:space="0" w:color="000000"/>
              <w:right w:val="single" w:sz="8" w:space="0" w:color="000000"/>
            </w:tcBorders>
            <w:shd w:val="clear" w:color="000000" w:fill="DDEBF7"/>
            <w:noWrap/>
            <w:vAlign w:val="center"/>
            <w:hideMark/>
          </w:tcPr>
          <w:p w14:paraId="7855535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15A9A8A1"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36AF2E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8F5EF8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7DF2AC7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61CF215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623E74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0F8C21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8" w:space="0" w:color="000000"/>
            </w:tcBorders>
            <w:shd w:val="clear" w:color="auto" w:fill="auto"/>
            <w:noWrap/>
            <w:vAlign w:val="center"/>
            <w:hideMark/>
          </w:tcPr>
          <w:p w14:paraId="323AD27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33.33%</w:t>
            </w:r>
          </w:p>
        </w:tc>
      </w:tr>
      <w:tr w:rsidR="00EA2B24" w:rsidRPr="00412B28" w14:paraId="5EF3C90E"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8B6EA3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0C438BD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nil"/>
              <w:bottom w:val="single" w:sz="4" w:space="0" w:color="000000"/>
              <w:right w:val="single" w:sz="12" w:space="0" w:color="000000"/>
            </w:tcBorders>
            <w:shd w:val="clear" w:color="000000" w:fill="FFFFFF"/>
            <w:noWrap/>
            <w:vAlign w:val="bottom"/>
            <w:hideMark/>
          </w:tcPr>
          <w:p w14:paraId="1658340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000000" w:fill="FFFFFF"/>
            <w:noWrap/>
            <w:vAlign w:val="center"/>
            <w:hideMark/>
          </w:tcPr>
          <w:p w14:paraId="50D105F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7DDE1C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CF6A4E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8" w:space="0" w:color="000000"/>
            </w:tcBorders>
            <w:shd w:val="clear" w:color="auto" w:fill="auto"/>
            <w:noWrap/>
            <w:vAlign w:val="center"/>
            <w:hideMark/>
          </w:tcPr>
          <w:p w14:paraId="2D20D0B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66.67%</w:t>
            </w:r>
          </w:p>
        </w:tc>
      </w:tr>
      <w:tr w:rsidR="00EA2B24" w:rsidRPr="00412B28" w14:paraId="7A80DBC7" w14:textId="77777777" w:rsidTr="00D41708">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975105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single" w:sz="4" w:space="0" w:color="000000"/>
            </w:tcBorders>
            <w:shd w:val="clear" w:color="auto" w:fill="auto"/>
            <w:noWrap/>
            <w:vAlign w:val="bottom"/>
            <w:hideMark/>
          </w:tcPr>
          <w:p w14:paraId="2B01269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Izmena upotrebne dozvole</w:t>
            </w:r>
          </w:p>
        </w:tc>
        <w:tc>
          <w:tcPr>
            <w:tcW w:w="0" w:type="auto"/>
            <w:tcBorders>
              <w:top w:val="nil"/>
              <w:left w:val="nil"/>
              <w:bottom w:val="single" w:sz="4" w:space="0" w:color="000000"/>
              <w:right w:val="single" w:sz="12" w:space="0" w:color="000000"/>
            </w:tcBorders>
            <w:shd w:val="clear" w:color="000000" w:fill="DDEBF7"/>
            <w:noWrap/>
            <w:vAlign w:val="bottom"/>
            <w:hideMark/>
          </w:tcPr>
          <w:p w14:paraId="6633074F"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4EAC5D55"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12" w:space="0" w:color="000000"/>
            </w:tcBorders>
            <w:shd w:val="clear" w:color="000000" w:fill="DDEBF7"/>
            <w:noWrap/>
            <w:vAlign w:val="bottom"/>
            <w:hideMark/>
          </w:tcPr>
          <w:p w14:paraId="4585547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706BAE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12</w:t>
            </w:r>
          </w:p>
        </w:tc>
        <w:tc>
          <w:tcPr>
            <w:tcW w:w="0" w:type="auto"/>
            <w:tcBorders>
              <w:top w:val="nil"/>
              <w:left w:val="nil"/>
              <w:bottom w:val="single" w:sz="4" w:space="0" w:color="000000"/>
              <w:right w:val="single" w:sz="8" w:space="0" w:color="000000"/>
            </w:tcBorders>
            <w:shd w:val="clear" w:color="000000" w:fill="DDEBF7"/>
            <w:noWrap/>
            <w:vAlign w:val="center"/>
            <w:hideMark/>
          </w:tcPr>
          <w:p w14:paraId="483D80B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7A21F29" w14:textId="77777777" w:rsidTr="00D41708">
        <w:trPr>
          <w:trHeight w:val="288"/>
        </w:trPr>
        <w:tc>
          <w:tcPr>
            <w:tcW w:w="0" w:type="auto"/>
            <w:vMerge w:val="restart"/>
            <w:tcBorders>
              <w:top w:val="nil"/>
              <w:left w:val="single" w:sz="8" w:space="0" w:color="000000"/>
              <w:bottom w:val="single" w:sz="8" w:space="0" w:color="000000"/>
              <w:right w:val="single" w:sz="12" w:space="0" w:color="000000"/>
            </w:tcBorders>
            <w:shd w:val="clear" w:color="auto" w:fill="auto"/>
            <w:vAlign w:val="center"/>
            <w:hideMark/>
          </w:tcPr>
          <w:p w14:paraId="3C7C4A91" w14:textId="77777777" w:rsidR="00EA2B24" w:rsidRPr="00412B28" w:rsidRDefault="00EA2B24" w:rsidP="00D41708">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OSTALI ZAHTEVI</w:t>
            </w:r>
          </w:p>
        </w:tc>
        <w:tc>
          <w:tcPr>
            <w:tcW w:w="0" w:type="auto"/>
            <w:tcBorders>
              <w:top w:val="nil"/>
              <w:left w:val="nil"/>
              <w:bottom w:val="nil"/>
              <w:right w:val="nil"/>
            </w:tcBorders>
            <w:shd w:val="clear" w:color="auto" w:fill="auto"/>
            <w:noWrap/>
            <w:vAlign w:val="bottom"/>
            <w:hideMark/>
          </w:tcPr>
          <w:p w14:paraId="07457E7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Dostavljanja projekta za izvođenje za objekte iz člana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01129E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000000" w:fill="FFFFFF"/>
            <w:noWrap/>
            <w:vAlign w:val="center"/>
            <w:hideMark/>
          </w:tcPr>
          <w:p w14:paraId="7D81E6E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7B84E1A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7.14%</w:t>
            </w:r>
          </w:p>
        </w:tc>
        <w:tc>
          <w:tcPr>
            <w:tcW w:w="0" w:type="auto"/>
            <w:tcBorders>
              <w:top w:val="nil"/>
              <w:left w:val="nil"/>
              <w:bottom w:val="single" w:sz="4" w:space="0" w:color="000000"/>
              <w:right w:val="single" w:sz="4" w:space="0" w:color="000000"/>
            </w:tcBorders>
            <w:shd w:val="clear" w:color="auto" w:fill="auto"/>
            <w:noWrap/>
            <w:vAlign w:val="center"/>
            <w:hideMark/>
          </w:tcPr>
          <w:p w14:paraId="33D259B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8" w:space="0" w:color="000000"/>
            </w:tcBorders>
            <w:shd w:val="clear" w:color="auto" w:fill="auto"/>
            <w:noWrap/>
            <w:vAlign w:val="center"/>
            <w:hideMark/>
          </w:tcPr>
          <w:p w14:paraId="27C9111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87.50%</w:t>
            </w:r>
          </w:p>
        </w:tc>
      </w:tr>
      <w:tr w:rsidR="00EA2B24" w:rsidRPr="00412B28" w14:paraId="38322236"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192466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3A2D2F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Dostavljanja projekta za izvođenje za objekte iz člana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8839AB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000000" w:fill="FFFFFF"/>
            <w:noWrap/>
            <w:vAlign w:val="center"/>
            <w:hideMark/>
          </w:tcPr>
          <w:p w14:paraId="7BD2D0E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000000" w:fill="FFFFFF"/>
            <w:noWrap/>
            <w:vAlign w:val="center"/>
            <w:hideMark/>
          </w:tcPr>
          <w:p w14:paraId="61A5A5E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71.43%</w:t>
            </w:r>
          </w:p>
        </w:tc>
        <w:tc>
          <w:tcPr>
            <w:tcW w:w="0" w:type="auto"/>
            <w:tcBorders>
              <w:top w:val="nil"/>
              <w:left w:val="nil"/>
              <w:bottom w:val="single" w:sz="4" w:space="0" w:color="000000"/>
              <w:right w:val="single" w:sz="4" w:space="0" w:color="000000"/>
            </w:tcBorders>
            <w:shd w:val="clear" w:color="auto" w:fill="auto"/>
            <w:noWrap/>
            <w:vAlign w:val="center"/>
            <w:hideMark/>
          </w:tcPr>
          <w:p w14:paraId="2ADB7E4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4188CD2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20C71A78"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657466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D3601D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Dostavljanja projekta za izvođenje za objekte iz člana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BF1762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000000" w:fill="FFFFFF"/>
            <w:noWrap/>
            <w:vAlign w:val="center"/>
            <w:hideMark/>
          </w:tcPr>
          <w:p w14:paraId="294DFF2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3043088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center"/>
            <w:hideMark/>
          </w:tcPr>
          <w:p w14:paraId="16AB498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4430D77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12.50%</w:t>
            </w:r>
          </w:p>
        </w:tc>
      </w:tr>
      <w:tr w:rsidR="00EA2B24" w:rsidRPr="00412B28" w14:paraId="513036D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14F3B7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7A853B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Dostavljanja projekta za izvođenje za objekte iz člana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F9F678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000000" w:fill="FFFFFF"/>
            <w:noWrap/>
            <w:vAlign w:val="center"/>
            <w:hideMark/>
          </w:tcPr>
          <w:p w14:paraId="2153385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12" w:space="0" w:color="000000"/>
            </w:tcBorders>
            <w:shd w:val="clear" w:color="000000" w:fill="FFFFFF"/>
            <w:noWrap/>
            <w:vAlign w:val="center"/>
            <w:hideMark/>
          </w:tcPr>
          <w:p w14:paraId="10A4AE4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21.43%</w:t>
            </w:r>
          </w:p>
        </w:tc>
        <w:tc>
          <w:tcPr>
            <w:tcW w:w="0" w:type="auto"/>
            <w:tcBorders>
              <w:top w:val="nil"/>
              <w:left w:val="nil"/>
              <w:bottom w:val="single" w:sz="4" w:space="0" w:color="000000"/>
              <w:right w:val="single" w:sz="4" w:space="0" w:color="000000"/>
            </w:tcBorders>
            <w:shd w:val="clear" w:color="auto" w:fill="auto"/>
            <w:noWrap/>
            <w:vAlign w:val="center"/>
            <w:hideMark/>
          </w:tcPr>
          <w:p w14:paraId="18BEC9B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A4E195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29BF0ED6"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1B3B99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6E351D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Dostavljanja projekta za izvođenje za objekte iz člana 133.</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9C65361"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4879A0A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14</w:t>
            </w:r>
          </w:p>
        </w:tc>
        <w:tc>
          <w:tcPr>
            <w:tcW w:w="0" w:type="auto"/>
            <w:tcBorders>
              <w:top w:val="nil"/>
              <w:left w:val="nil"/>
              <w:bottom w:val="single" w:sz="4" w:space="0" w:color="000000"/>
              <w:right w:val="single" w:sz="12" w:space="0" w:color="000000"/>
            </w:tcBorders>
            <w:shd w:val="clear" w:color="000000" w:fill="DDEBF7"/>
            <w:noWrap/>
            <w:vAlign w:val="center"/>
            <w:hideMark/>
          </w:tcPr>
          <w:p w14:paraId="7D142C02"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center"/>
            <w:hideMark/>
          </w:tcPr>
          <w:p w14:paraId="09E93BA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16</w:t>
            </w:r>
          </w:p>
        </w:tc>
        <w:tc>
          <w:tcPr>
            <w:tcW w:w="0" w:type="auto"/>
            <w:tcBorders>
              <w:top w:val="nil"/>
              <w:left w:val="nil"/>
              <w:bottom w:val="single" w:sz="4" w:space="0" w:color="000000"/>
              <w:right w:val="single" w:sz="8" w:space="0" w:color="000000"/>
            </w:tcBorders>
            <w:shd w:val="clear" w:color="000000" w:fill="DDEBF7"/>
            <w:noWrap/>
            <w:vAlign w:val="center"/>
            <w:hideMark/>
          </w:tcPr>
          <w:p w14:paraId="53A2DB2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7A132D5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1A8F82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A44531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A34ADA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31F631F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844</w:t>
            </w:r>
          </w:p>
        </w:tc>
        <w:tc>
          <w:tcPr>
            <w:tcW w:w="0" w:type="auto"/>
            <w:tcBorders>
              <w:top w:val="nil"/>
              <w:left w:val="nil"/>
              <w:bottom w:val="single" w:sz="4" w:space="0" w:color="000000"/>
              <w:right w:val="single" w:sz="12" w:space="0" w:color="000000"/>
            </w:tcBorders>
            <w:shd w:val="clear" w:color="auto" w:fill="auto"/>
            <w:noWrap/>
            <w:vAlign w:val="center"/>
            <w:hideMark/>
          </w:tcPr>
          <w:p w14:paraId="4CE78BD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9ECE9B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771</w:t>
            </w:r>
          </w:p>
        </w:tc>
        <w:tc>
          <w:tcPr>
            <w:tcW w:w="0" w:type="auto"/>
            <w:tcBorders>
              <w:top w:val="nil"/>
              <w:left w:val="nil"/>
              <w:bottom w:val="single" w:sz="4" w:space="0" w:color="000000"/>
              <w:right w:val="single" w:sz="8" w:space="0" w:color="000000"/>
            </w:tcBorders>
            <w:shd w:val="clear" w:color="auto" w:fill="auto"/>
            <w:noWrap/>
            <w:vAlign w:val="center"/>
            <w:hideMark/>
          </w:tcPr>
          <w:p w14:paraId="40CFAC5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28.46%</w:t>
            </w:r>
          </w:p>
        </w:tc>
      </w:tr>
      <w:tr w:rsidR="00EA2B24" w:rsidRPr="00412B28" w14:paraId="59B43487"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CBE609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E8CEE9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FAA710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center"/>
            <w:hideMark/>
          </w:tcPr>
          <w:p w14:paraId="08BFB0C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172</w:t>
            </w:r>
          </w:p>
        </w:tc>
        <w:tc>
          <w:tcPr>
            <w:tcW w:w="0" w:type="auto"/>
            <w:tcBorders>
              <w:top w:val="nil"/>
              <w:left w:val="nil"/>
              <w:bottom w:val="single" w:sz="4" w:space="0" w:color="000000"/>
              <w:right w:val="single" w:sz="12" w:space="0" w:color="000000"/>
            </w:tcBorders>
            <w:shd w:val="clear" w:color="auto" w:fill="auto"/>
            <w:noWrap/>
            <w:vAlign w:val="center"/>
            <w:hideMark/>
          </w:tcPr>
          <w:p w14:paraId="3CEE815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4E4AA6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216</w:t>
            </w:r>
          </w:p>
        </w:tc>
        <w:tc>
          <w:tcPr>
            <w:tcW w:w="0" w:type="auto"/>
            <w:tcBorders>
              <w:top w:val="nil"/>
              <w:left w:val="nil"/>
              <w:bottom w:val="single" w:sz="4" w:space="0" w:color="000000"/>
              <w:right w:val="single" w:sz="8" w:space="0" w:color="000000"/>
            </w:tcBorders>
            <w:shd w:val="clear" w:color="auto" w:fill="auto"/>
            <w:noWrap/>
            <w:vAlign w:val="center"/>
            <w:hideMark/>
          </w:tcPr>
          <w:p w14:paraId="736A8D1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7.97%</w:t>
            </w:r>
          </w:p>
        </w:tc>
      </w:tr>
      <w:tr w:rsidR="00EA2B24" w:rsidRPr="00412B28" w14:paraId="39B66A87"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14FF24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30ED32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AC76A1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1F3DD5E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1354</w:t>
            </w:r>
          </w:p>
        </w:tc>
        <w:tc>
          <w:tcPr>
            <w:tcW w:w="0" w:type="auto"/>
            <w:tcBorders>
              <w:top w:val="nil"/>
              <w:left w:val="nil"/>
              <w:bottom w:val="single" w:sz="4" w:space="0" w:color="000000"/>
              <w:right w:val="single" w:sz="12" w:space="0" w:color="000000"/>
            </w:tcBorders>
            <w:shd w:val="clear" w:color="auto" w:fill="auto"/>
            <w:noWrap/>
            <w:vAlign w:val="center"/>
            <w:hideMark/>
          </w:tcPr>
          <w:p w14:paraId="2244388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53.10%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E38F6D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1477</w:t>
            </w:r>
          </w:p>
        </w:tc>
        <w:tc>
          <w:tcPr>
            <w:tcW w:w="0" w:type="auto"/>
            <w:tcBorders>
              <w:top w:val="nil"/>
              <w:left w:val="nil"/>
              <w:bottom w:val="single" w:sz="4" w:space="0" w:color="000000"/>
              <w:right w:val="single" w:sz="8" w:space="0" w:color="000000"/>
            </w:tcBorders>
            <w:shd w:val="clear" w:color="auto" w:fill="auto"/>
            <w:noWrap/>
            <w:vAlign w:val="center"/>
            <w:hideMark/>
          </w:tcPr>
          <w:p w14:paraId="5A63977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54.52%</w:t>
            </w:r>
          </w:p>
        </w:tc>
      </w:tr>
      <w:tr w:rsidR="00EA2B24" w:rsidRPr="00412B28" w14:paraId="6273B83A"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6217CA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DB81B0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AF2189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44A6171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w:t>
            </w:r>
          </w:p>
        </w:tc>
        <w:tc>
          <w:tcPr>
            <w:tcW w:w="0" w:type="auto"/>
            <w:tcBorders>
              <w:top w:val="nil"/>
              <w:left w:val="nil"/>
              <w:bottom w:val="single" w:sz="4" w:space="0" w:color="000000"/>
              <w:right w:val="single" w:sz="12" w:space="0" w:color="000000"/>
            </w:tcBorders>
            <w:shd w:val="clear" w:color="auto" w:fill="auto"/>
            <w:noWrap/>
            <w:vAlign w:val="center"/>
            <w:hideMark/>
          </w:tcPr>
          <w:p w14:paraId="32D1D7E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7558CD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w:t>
            </w:r>
          </w:p>
        </w:tc>
        <w:tc>
          <w:tcPr>
            <w:tcW w:w="0" w:type="auto"/>
            <w:tcBorders>
              <w:top w:val="nil"/>
              <w:left w:val="nil"/>
              <w:bottom w:val="single" w:sz="4" w:space="0" w:color="000000"/>
              <w:right w:val="single" w:sz="8" w:space="0" w:color="000000"/>
            </w:tcBorders>
            <w:shd w:val="clear" w:color="auto" w:fill="auto"/>
            <w:noWrap/>
            <w:vAlign w:val="center"/>
            <w:hideMark/>
          </w:tcPr>
          <w:p w14:paraId="6809FE7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1.99%</w:t>
            </w:r>
          </w:p>
        </w:tc>
      </w:tr>
      <w:tr w:rsidR="00EA2B24" w:rsidRPr="00412B28" w14:paraId="26E504B1"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C6F6E3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9E462C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9AEB04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center"/>
            <w:hideMark/>
          </w:tcPr>
          <w:p w14:paraId="7DAE80C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12" w:space="0" w:color="000000"/>
            </w:tcBorders>
            <w:shd w:val="clear" w:color="auto" w:fill="auto"/>
            <w:noWrap/>
            <w:vAlign w:val="center"/>
            <w:hideMark/>
          </w:tcPr>
          <w:p w14:paraId="2A8ED6A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4CD19B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w:t>
            </w:r>
          </w:p>
        </w:tc>
        <w:tc>
          <w:tcPr>
            <w:tcW w:w="0" w:type="auto"/>
            <w:tcBorders>
              <w:top w:val="nil"/>
              <w:left w:val="nil"/>
              <w:bottom w:val="single" w:sz="4" w:space="0" w:color="000000"/>
              <w:right w:val="single" w:sz="8" w:space="0" w:color="000000"/>
            </w:tcBorders>
            <w:shd w:val="clear" w:color="auto" w:fill="auto"/>
            <w:noWrap/>
            <w:vAlign w:val="center"/>
            <w:hideMark/>
          </w:tcPr>
          <w:p w14:paraId="0B61181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0.44%</w:t>
            </w:r>
          </w:p>
        </w:tc>
      </w:tr>
      <w:tr w:rsidR="00EA2B24" w:rsidRPr="00412B28" w14:paraId="76357D24"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AF1BCD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6E642F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AA40D2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7299113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149</w:t>
            </w:r>
          </w:p>
        </w:tc>
        <w:tc>
          <w:tcPr>
            <w:tcW w:w="0" w:type="auto"/>
            <w:tcBorders>
              <w:top w:val="nil"/>
              <w:left w:val="nil"/>
              <w:bottom w:val="single" w:sz="4" w:space="0" w:color="000000"/>
              <w:right w:val="single" w:sz="12" w:space="0" w:color="000000"/>
            </w:tcBorders>
            <w:shd w:val="clear" w:color="auto" w:fill="auto"/>
            <w:noWrap/>
            <w:vAlign w:val="center"/>
            <w:hideMark/>
          </w:tcPr>
          <w:p w14:paraId="7537585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744826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179</w:t>
            </w:r>
          </w:p>
        </w:tc>
        <w:tc>
          <w:tcPr>
            <w:tcW w:w="0" w:type="auto"/>
            <w:tcBorders>
              <w:top w:val="nil"/>
              <w:left w:val="nil"/>
              <w:bottom w:val="single" w:sz="4" w:space="0" w:color="000000"/>
              <w:right w:val="single" w:sz="8" w:space="0" w:color="000000"/>
            </w:tcBorders>
            <w:shd w:val="clear" w:color="auto" w:fill="auto"/>
            <w:noWrap/>
            <w:vAlign w:val="center"/>
            <w:hideMark/>
          </w:tcPr>
          <w:p w14:paraId="4A4C8FC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6.61%</w:t>
            </w:r>
          </w:p>
        </w:tc>
      </w:tr>
      <w:tr w:rsidR="00EA2B24" w:rsidRPr="00412B28" w14:paraId="5AEC46D5"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D0ECDD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BFB32A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ED41002"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1876EB8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2550</w:t>
            </w:r>
          </w:p>
        </w:tc>
        <w:tc>
          <w:tcPr>
            <w:tcW w:w="0" w:type="auto"/>
            <w:tcBorders>
              <w:top w:val="nil"/>
              <w:left w:val="nil"/>
              <w:bottom w:val="single" w:sz="4" w:space="0" w:color="000000"/>
              <w:right w:val="single" w:sz="12" w:space="0" w:color="000000"/>
            </w:tcBorders>
            <w:shd w:val="clear" w:color="000000" w:fill="DDEBF7"/>
            <w:noWrap/>
            <w:vAlign w:val="center"/>
            <w:hideMark/>
          </w:tcPr>
          <w:p w14:paraId="25375D5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80563CB"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2709</w:t>
            </w:r>
          </w:p>
        </w:tc>
        <w:tc>
          <w:tcPr>
            <w:tcW w:w="0" w:type="auto"/>
            <w:tcBorders>
              <w:top w:val="nil"/>
              <w:left w:val="nil"/>
              <w:bottom w:val="single" w:sz="4" w:space="0" w:color="000000"/>
              <w:right w:val="single" w:sz="8" w:space="0" w:color="000000"/>
            </w:tcBorders>
            <w:shd w:val="clear" w:color="000000" w:fill="DDEBF7"/>
            <w:noWrap/>
            <w:vAlign w:val="center"/>
            <w:hideMark/>
          </w:tcPr>
          <w:p w14:paraId="61D246A0"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A074B62"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56649F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03195B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948DA9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Doneta konačna odluka</w:t>
            </w:r>
          </w:p>
        </w:tc>
        <w:tc>
          <w:tcPr>
            <w:tcW w:w="0" w:type="auto"/>
            <w:tcBorders>
              <w:top w:val="nil"/>
              <w:left w:val="nil"/>
              <w:bottom w:val="single" w:sz="4" w:space="0" w:color="000000"/>
              <w:right w:val="single" w:sz="4" w:space="0" w:color="000000"/>
            </w:tcBorders>
            <w:shd w:val="clear" w:color="auto" w:fill="auto"/>
            <w:noWrap/>
            <w:vAlign w:val="center"/>
            <w:hideMark/>
          </w:tcPr>
          <w:p w14:paraId="7AF7395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795F679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5C15F37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000000" w:fill="FFFFFF"/>
            <w:noWrap/>
            <w:vAlign w:val="center"/>
            <w:hideMark/>
          </w:tcPr>
          <w:p w14:paraId="512A979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5B1A3C73"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4E3D74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3C68F1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36D40F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616175F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108</w:t>
            </w:r>
          </w:p>
        </w:tc>
        <w:tc>
          <w:tcPr>
            <w:tcW w:w="0" w:type="auto"/>
            <w:tcBorders>
              <w:top w:val="nil"/>
              <w:left w:val="nil"/>
              <w:bottom w:val="single" w:sz="4" w:space="0" w:color="000000"/>
              <w:right w:val="single" w:sz="12" w:space="0" w:color="000000"/>
            </w:tcBorders>
            <w:shd w:val="clear" w:color="auto" w:fill="auto"/>
            <w:noWrap/>
            <w:vAlign w:val="center"/>
            <w:hideMark/>
          </w:tcPr>
          <w:p w14:paraId="72F6FD0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20.81%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85541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91</w:t>
            </w:r>
          </w:p>
        </w:tc>
        <w:tc>
          <w:tcPr>
            <w:tcW w:w="0" w:type="auto"/>
            <w:tcBorders>
              <w:top w:val="nil"/>
              <w:left w:val="nil"/>
              <w:bottom w:val="single" w:sz="4" w:space="0" w:color="000000"/>
              <w:right w:val="single" w:sz="8" w:space="0" w:color="000000"/>
            </w:tcBorders>
            <w:shd w:val="clear" w:color="auto" w:fill="auto"/>
            <w:noWrap/>
            <w:vAlign w:val="center"/>
            <w:hideMark/>
          </w:tcPr>
          <w:p w14:paraId="49AF09D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17.50%</w:t>
            </w:r>
          </w:p>
        </w:tc>
      </w:tr>
      <w:tr w:rsidR="00EA2B24" w:rsidRPr="00412B28" w14:paraId="21FA215F"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88DE777"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6F571F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1229B6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center"/>
            <w:hideMark/>
          </w:tcPr>
          <w:p w14:paraId="07B0838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53</w:t>
            </w:r>
          </w:p>
        </w:tc>
        <w:tc>
          <w:tcPr>
            <w:tcW w:w="0" w:type="auto"/>
            <w:tcBorders>
              <w:top w:val="nil"/>
              <w:left w:val="nil"/>
              <w:bottom w:val="single" w:sz="4" w:space="0" w:color="000000"/>
              <w:right w:val="single" w:sz="12" w:space="0" w:color="000000"/>
            </w:tcBorders>
            <w:shd w:val="clear" w:color="auto" w:fill="auto"/>
            <w:noWrap/>
            <w:vAlign w:val="center"/>
            <w:hideMark/>
          </w:tcPr>
          <w:p w14:paraId="19B1B17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10.21%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0F23EF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44</w:t>
            </w:r>
          </w:p>
        </w:tc>
        <w:tc>
          <w:tcPr>
            <w:tcW w:w="0" w:type="auto"/>
            <w:tcBorders>
              <w:top w:val="nil"/>
              <w:left w:val="nil"/>
              <w:bottom w:val="single" w:sz="4" w:space="0" w:color="000000"/>
              <w:right w:val="single" w:sz="8" w:space="0" w:color="000000"/>
            </w:tcBorders>
            <w:shd w:val="clear" w:color="auto" w:fill="auto"/>
            <w:noWrap/>
            <w:vAlign w:val="center"/>
            <w:hideMark/>
          </w:tcPr>
          <w:p w14:paraId="7866FCB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8.46%</w:t>
            </w:r>
          </w:p>
        </w:tc>
      </w:tr>
      <w:tr w:rsidR="00EA2B24" w:rsidRPr="00412B28" w14:paraId="25B94FCB"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3DEFD2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CA35BA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1FFC0E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5B98306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311</w:t>
            </w:r>
          </w:p>
        </w:tc>
        <w:tc>
          <w:tcPr>
            <w:tcW w:w="0" w:type="auto"/>
            <w:tcBorders>
              <w:top w:val="nil"/>
              <w:left w:val="nil"/>
              <w:bottom w:val="single" w:sz="4" w:space="0" w:color="000000"/>
              <w:right w:val="single" w:sz="12" w:space="0" w:color="000000"/>
            </w:tcBorders>
            <w:shd w:val="clear" w:color="auto" w:fill="auto"/>
            <w:noWrap/>
            <w:vAlign w:val="center"/>
            <w:hideMark/>
          </w:tcPr>
          <w:p w14:paraId="78862BD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59.92%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E4C04E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351</w:t>
            </w:r>
          </w:p>
        </w:tc>
        <w:tc>
          <w:tcPr>
            <w:tcW w:w="0" w:type="auto"/>
            <w:tcBorders>
              <w:top w:val="nil"/>
              <w:left w:val="nil"/>
              <w:bottom w:val="single" w:sz="4" w:space="0" w:color="000000"/>
              <w:right w:val="single" w:sz="8" w:space="0" w:color="000000"/>
            </w:tcBorders>
            <w:shd w:val="clear" w:color="auto" w:fill="auto"/>
            <w:noWrap/>
            <w:vAlign w:val="center"/>
            <w:hideMark/>
          </w:tcPr>
          <w:p w14:paraId="55652E9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67.50%</w:t>
            </w:r>
          </w:p>
        </w:tc>
      </w:tr>
      <w:tr w:rsidR="00EA2B24" w:rsidRPr="00412B28" w14:paraId="63131A8B"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136D8A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022DB4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442433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4D19D02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12" w:space="0" w:color="000000"/>
            </w:tcBorders>
            <w:shd w:val="clear" w:color="auto" w:fill="auto"/>
            <w:noWrap/>
            <w:vAlign w:val="center"/>
            <w:hideMark/>
          </w:tcPr>
          <w:p w14:paraId="725337F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D96E9B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8" w:space="0" w:color="000000"/>
            </w:tcBorders>
            <w:shd w:val="clear" w:color="auto" w:fill="auto"/>
            <w:noWrap/>
            <w:vAlign w:val="center"/>
            <w:hideMark/>
          </w:tcPr>
          <w:p w14:paraId="21916D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0.77%</w:t>
            </w:r>
          </w:p>
        </w:tc>
      </w:tr>
      <w:tr w:rsidR="00EA2B24" w:rsidRPr="00412B28" w14:paraId="63BCE5DE"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EEE24C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104ED4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50FD60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7B92691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w:t>
            </w:r>
          </w:p>
        </w:tc>
        <w:tc>
          <w:tcPr>
            <w:tcW w:w="0" w:type="auto"/>
            <w:tcBorders>
              <w:top w:val="nil"/>
              <w:left w:val="nil"/>
              <w:bottom w:val="single" w:sz="4" w:space="0" w:color="000000"/>
              <w:right w:val="single" w:sz="12" w:space="0" w:color="000000"/>
            </w:tcBorders>
            <w:shd w:val="clear" w:color="auto" w:fill="auto"/>
            <w:noWrap/>
            <w:vAlign w:val="center"/>
            <w:hideMark/>
          </w:tcPr>
          <w:p w14:paraId="3AD75B9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8.29%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2E0C86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8" w:space="0" w:color="000000"/>
            </w:tcBorders>
            <w:shd w:val="clear" w:color="auto" w:fill="auto"/>
            <w:noWrap/>
            <w:vAlign w:val="center"/>
            <w:hideMark/>
          </w:tcPr>
          <w:p w14:paraId="347410F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5.77%</w:t>
            </w:r>
          </w:p>
        </w:tc>
      </w:tr>
      <w:tr w:rsidR="00EA2B24" w:rsidRPr="00412B28" w14:paraId="6E367F07"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0CB70AE"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77AEA6C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Dostavljanje tehničke dokumentacije u pogledu mera zaštite od požara na osnovu usaglašenog zahteva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02417C96"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25553AD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519</w:t>
            </w:r>
          </w:p>
        </w:tc>
        <w:tc>
          <w:tcPr>
            <w:tcW w:w="0" w:type="auto"/>
            <w:tcBorders>
              <w:top w:val="nil"/>
              <w:left w:val="nil"/>
              <w:bottom w:val="single" w:sz="4" w:space="0" w:color="000000"/>
              <w:right w:val="single" w:sz="12" w:space="0" w:color="000000"/>
            </w:tcBorders>
            <w:shd w:val="clear" w:color="000000" w:fill="DDEBF7"/>
            <w:noWrap/>
            <w:vAlign w:val="center"/>
            <w:hideMark/>
          </w:tcPr>
          <w:p w14:paraId="51C02F37"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4E0364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520</w:t>
            </w:r>
          </w:p>
        </w:tc>
        <w:tc>
          <w:tcPr>
            <w:tcW w:w="0" w:type="auto"/>
            <w:tcBorders>
              <w:top w:val="nil"/>
              <w:left w:val="nil"/>
              <w:bottom w:val="single" w:sz="4" w:space="0" w:color="000000"/>
              <w:right w:val="single" w:sz="8" w:space="0" w:color="000000"/>
            </w:tcBorders>
            <w:shd w:val="clear" w:color="000000" w:fill="DDEBF7"/>
            <w:noWrap/>
            <w:vAlign w:val="center"/>
            <w:hideMark/>
          </w:tcPr>
          <w:p w14:paraId="388F582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8AF231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BB410B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05F279A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nil"/>
              <w:bottom w:val="single" w:sz="4" w:space="0" w:color="000000"/>
              <w:right w:val="single" w:sz="12" w:space="0" w:color="000000"/>
            </w:tcBorders>
            <w:shd w:val="clear" w:color="auto" w:fill="auto"/>
            <w:noWrap/>
            <w:vAlign w:val="bottom"/>
            <w:hideMark/>
          </w:tcPr>
          <w:p w14:paraId="4232ADF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000000" w:fill="FFFFFF"/>
            <w:noWrap/>
            <w:vAlign w:val="center"/>
            <w:hideMark/>
          </w:tcPr>
          <w:p w14:paraId="2D49184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1508</w:t>
            </w:r>
          </w:p>
        </w:tc>
        <w:tc>
          <w:tcPr>
            <w:tcW w:w="0" w:type="auto"/>
            <w:tcBorders>
              <w:top w:val="nil"/>
              <w:left w:val="nil"/>
              <w:bottom w:val="single" w:sz="4" w:space="0" w:color="000000"/>
              <w:right w:val="single" w:sz="12" w:space="0" w:color="000000"/>
            </w:tcBorders>
            <w:shd w:val="clear" w:color="000000" w:fill="FFFFFF"/>
            <w:noWrap/>
            <w:vAlign w:val="center"/>
            <w:hideMark/>
          </w:tcPr>
          <w:p w14:paraId="6835281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19.71%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A4F10E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1478</w:t>
            </w:r>
          </w:p>
        </w:tc>
        <w:tc>
          <w:tcPr>
            <w:tcW w:w="0" w:type="auto"/>
            <w:tcBorders>
              <w:top w:val="nil"/>
              <w:left w:val="nil"/>
              <w:bottom w:val="single" w:sz="4" w:space="0" w:color="000000"/>
              <w:right w:val="single" w:sz="8" w:space="0" w:color="000000"/>
            </w:tcBorders>
            <w:shd w:val="clear" w:color="auto" w:fill="auto"/>
            <w:noWrap/>
            <w:vAlign w:val="center"/>
            <w:hideMark/>
          </w:tcPr>
          <w:p w14:paraId="264964D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17.74%</w:t>
            </w:r>
          </w:p>
        </w:tc>
      </w:tr>
      <w:tr w:rsidR="00EA2B24" w:rsidRPr="00412B28" w14:paraId="603B33A2"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1E1002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FD045E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417091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Zhtev odbijen</w:t>
            </w:r>
          </w:p>
        </w:tc>
        <w:tc>
          <w:tcPr>
            <w:tcW w:w="0" w:type="auto"/>
            <w:tcBorders>
              <w:top w:val="nil"/>
              <w:left w:val="nil"/>
              <w:bottom w:val="single" w:sz="4" w:space="0" w:color="000000"/>
              <w:right w:val="single" w:sz="4" w:space="0" w:color="000000"/>
            </w:tcBorders>
            <w:shd w:val="clear" w:color="000000" w:fill="FFFFFF"/>
            <w:noWrap/>
            <w:vAlign w:val="center"/>
            <w:hideMark/>
          </w:tcPr>
          <w:p w14:paraId="02C54E9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w:t>
            </w:r>
          </w:p>
        </w:tc>
        <w:tc>
          <w:tcPr>
            <w:tcW w:w="0" w:type="auto"/>
            <w:tcBorders>
              <w:top w:val="nil"/>
              <w:left w:val="nil"/>
              <w:bottom w:val="single" w:sz="4" w:space="0" w:color="000000"/>
              <w:right w:val="single" w:sz="12" w:space="0" w:color="000000"/>
            </w:tcBorders>
            <w:shd w:val="clear" w:color="000000" w:fill="FFFFFF"/>
            <w:noWrap/>
            <w:vAlign w:val="center"/>
            <w:hideMark/>
          </w:tcPr>
          <w:p w14:paraId="6665B5E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70022B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w:t>
            </w:r>
          </w:p>
        </w:tc>
        <w:tc>
          <w:tcPr>
            <w:tcW w:w="0" w:type="auto"/>
            <w:tcBorders>
              <w:top w:val="nil"/>
              <w:left w:val="nil"/>
              <w:bottom w:val="single" w:sz="4" w:space="0" w:color="000000"/>
              <w:right w:val="single" w:sz="8" w:space="0" w:color="000000"/>
            </w:tcBorders>
            <w:shd w:val="clear" w:color="auto" w:fill="auto"/>
            <w:noWrap/>
            <w:vAlign w:val="center"/>
            <w:hideMark/>
          </w:tcPr>
          <w:p w14:paraId="0B41392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1.26%</w:t>
            </w:r>
          </w:p>
        </w:tc>
      </w:tr>
      <w:tr w:rsidR="00EA2B24" w:rsidRPr="00412B28" w14:paraId="1CAF2072"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A38C83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F658AD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58C686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000000" w:fill="FFFFFF"/>
            <w:noWrap/>
            <w:vAlign w:val="center"/>
            <w:hideMark/>
          </w:tcPr>
          <w:p w14:paraId="768DC2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5425</w:t>
            </w:r>
          </w:p>
        </w:tc>
        <w:tc>
          <w:tcPr>
            <w:tcW w:w="0" w:type="auto"/>
            <w:tcBorders>
              <w:top w:val="nil"/>
              <w:left w:val="nil"/>
              <w:bottom w:val="single" w:sz="4" w:space="0" w:color="000000"/>
              <w:right w:val="single" w:sz="12" w:space="0" w:color="000000"/>
            </w:tcBorders>
            <w:shd w:val="clear" w:color="000000" w:fill="FFFFFF"/>
            <w:noWrap/>
            <w:vAlign w:val="center"/>
            <w:hideMark/>
          </w:tcPr>
          <w:p w14:paraId="375A8B5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70.92%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7A09D5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5851</w:t>
            </w:r>
          </w:p>
        </w:tc>
        <w:tc>
          <w:tcPr>
            <w:tcW w:w="0" w:type="auto"/>
            <w:tcBorders>
              <w:top w:val="nil"/>
              <w:left w:val="nil"/>
              <w:bottom w:val="single" w:sz="4" w:space="0" w:color="000000"/>
              <w:right w:val="single" w:sz="8" w:space="0" w:color="000000"/>
            </w:tcBorders>
            <w:shd w:val="clear" w:color="auto" w:fill="auto"/>
            <w:noWrap/>
            <w:vAlign w:val="center"/>
            <w:hideMark/>
          </w:tcPr>
          <w:p w14:paraId="57C0DB6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70.22%</w:t>
            </w:r>
          </w:p>
        </w:tc>
      </w:tr>
      <w:tr w:rsidR="00EA2B24" w:rsidRPr="00412B28" w14:paraId="2B8178A1"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57C773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2F5CBC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A983D0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000000" w:fill="FFFFFF"/>
            <w:noWrap/>
            <w:vAlign w:val="center"/>
            <w:hideMark/>
          </w:tcPr>
          <w:p w14:paraId="3D693EC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w:t>
            </w:r>
          </w:p>
        </w:tc>
        <w:tc>
          <w:tcPr>
            <w:tcW w:w="0" w:type="auto"/>
            <w:tcBorders>
              <w:top w:val="nil"/>
              <w:left w:val="nil"/>
              <w:bottom w:val="single" w:sz="4" w:space="0" w:color="000000"/>
              <w:right w:val="single" w:sz="12" w:space="0" w:color="000000"/>
            </w:tcBorders>
            <w:shd w:val="clear" w:color="000000" w:fill="FFFFFF"/>
            <w:noWrap/>
            <w:vAlign w:val="center"/>
            <w:hideMark/>
          </w:tcPr>
          <w:p w14:paraId="099A5C6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1D74B1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w:t>
            </w:r>
          </w:p>
        </w:tc>
        <w:tc>
          <w:tcPr>
            <w:tcW w:w="0" w:type="auto"/>
            <w:tcBorders>
              <w:top w:val="nil"/>
              <w:left w:val="nil"/>
              <w:bottom w:val="single" w:sz="4" w:space="0" w:color="000000"/>
              <w:right w:val="single" w:sz="8" w:space="0" w:color="000000"/>
            </w:tcBorders>
            <w:shd w:val="clear" w:color="auto" w:fill="auto"/>
            <w:noWrap/>
            <w:vAlign w:val="center"/>
            <w:hideMark/>
          </w:tcPr>
          <w:p w14:paraId="3B684DE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0.88%</w:t>
            </w:r>
          </w:p>
        </w:tc>
      </w:tr>
      <w:tr w:rsidR="00EA2B24" w:rsidRPr="00412B28" w14:paraId="383B4ECD"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0FD7D9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7C7360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06FE11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000000" w:fill="FFFFFF"/>
            <w:noWrap/>
            <w:vAlign w:val="center"/>
            <w:hideMark/>
          </w:tcPr>
          <w:p w14:paraId="0F1BEF1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12" w:space="0" w:color="000000"/>
            </w:tcBorders>
            <w:shd w:val="clear" w:color="000000" w:fill="FFFFFF"/>
            <w:noWrap/>
            <w:vAlign w:val="center"/>
            <w:hideMark/>
          </w:tcPr>
          <w:p w14:paraId="3DAF882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206978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8" w:space="0" w:color="000000"/>
            </w:tcBorders>
            <w:shd w:val="clear" w:color="auto" w:fill="auto"/>
            <w:noWrap/>
            <w:vAlign w:val="center"/>
            <w:hideMark/>
          </w:tcPr>
          <w:p w14:paraId="21F1118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0.11%</w:t>
            </w:r>
          </w:p>
        </w:tc>
      </w:tr>
      <w:tr w:rsidR="00EA2B24" w:rsidRPr="00412B28" w14:paraId="46388BF7"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64ADC9F"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0FEAAE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4EF7CB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000000" w:fill="FFFFFF"/>
            <w:noWrap/>
            <w:vAlign w:val="center"/>
            <w:hideMark/>
          </w:tcPr>
          <w:p w14:paraId="4291658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597</w:t>
            </w:r>
          </w:p>
        </w:tc>
        <w:tc>
          <w:tcPr>
            <w:tcW w:w="0" w:type="auto"/>
            <w:tcBorders>
              <w:top w:val="nil"/>
              <w:left w:val="nil"/>
              <w:bottom w:val="single" w:sz="4" w:space="0" w:color="000000"/>
              <w:right w:val="single" w:sz="12" w:space="0" w:color="000000"/>
            </w:tcBorders>
            <w:shd w:val="clear" w:color="000000" w:fill="FFFFFF"/>
            <w:noWrap/>
            <w:vAlign w:val="center"/>
            <w:hideMark/>
          </w:tcPr>
          <w:p w14:paraId="5EF0EA7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7.80%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B5F01A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816</w:t>
            </w:r>
          </w:p>
        </w:tc>
        <w:tc>
          <w:tcPr>
            <w:tcW w:w="0" w:type="auto"/>
            <w:tcBorders>
              <w:top w:val="nil"/>
              <w:left w:val="nil"/>
              <w:bottom w:val="single" w:sz="4" w:space="0" w:color="000000"/>
              <w:right w:val="single" w:sz="8" w:space="0" w:color="000000"/>
            </w:tcBorders>
            <w:shd w:val="clear" w:color="auto" w:fill="auto"/>
            <w:noWrap/>
            <w:vAlign w:val="center"/>
            <w:hideMark/>
          </w:tcPr>
          <w:p w14:paraId="66CF9FF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9.79%</w:t>
            </w:r>
          </w:p>
        </w:tc>
      </w:tr>
      <w:tr w:rsidR="00EA2B24" w:rsidRPr="00412B28" w14:paraId="26FC5C2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25E564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7820A99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izrade temelja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181646B2"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29A2E06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7650</w:t>
            </w:r>
          </w:p>
        </w:tc>
        <w:tc>
          <w:tcPr>
            <w:tcW w:w="0" w:type="auto"/>
            <w:tcBorders>
              <w:top w:val="nil"/>
              <w:left w:val="nil"/>
              <w:bottom w:val="single" w:sz="4" w:space="0" w:color="000000"/>
              <w:right w:val="single" w:sz="12" w:space="0" w:color="000000"/>
            </w:tcBorders>
            <w:shd w:val="clear" w:color="000000" w:fill="DDEBF7"/>
            <w:noWrap/>
            <w:vAlign w:val="center"/>
            <w:hideMark/>
          </w:tcPr>
          <w:p w14:paraId="68886D3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4D1E876"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8332</w:t>
            </w:r>
          </w:p>
        </w:tc>
        <w:tc>
          <w:tcPr>
            <w:tcW w:w="0" w:type="auto"/>
            <w:tcBorders>
              <w:top w:val="nil"/>
              <w:left w:val="nil"/>
              <w:bottom w:val="single" w:sz="4" w:space="0" w:color="000000"/>
              <w:right w:val="single" w:sz="8" w:space="0" w:color="000000"/>
            </w:tcBorders>
            <w:shd w:val="clear" w:color="000000" w:fill="DDEBF7"/>
            <w:noWrap/>
            <w:vAlign w:val="center"/>
            <w:hideMark/>
          </w:tcPr>
          <w:p w14:paraId="13CFD3C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493D748C"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A670181"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CB18F7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2D9039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3A6BCFB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919</w:t>
            </w:r>
          </w:p>
        </w:tc>
        <w:tc>
          <w:tcPr>
            <w:tcW w:w="0" w:type="auto"/>
            <w:tcBorders>
              <w:top w:val="nil"/>
              <w:left w:val="nil"/>
              <w:bottom w:val="single" w:sz="4" w:space="0" w:color="000000"/>
              <w:right w:val="single" w:sz="12" w:space="0" w:color="000000"/>
            </w:tcBorders>
            <w:shd w:val="clear" w:color="auto" w:fill="auto"/>
            <w:noWrap/>
            <w:vAlign w:val="center"/>
            <w:hideMark/>
          </w:tcPr>
          <w:p w14:paraId="550D404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14.57%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866D91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1100</w:t>
            </w:r>
          </w:p>
        </w:tc>
        <w:tc>
          <w:tcPr>
            <w:tcW w:w="0" w:type="auto"/>
            <w:tcBorders>
              <w:top w:val="nil"/>
              <w:left w:val="nil"/>
              <w:bottom w:val="single" w:sz="4" w:space="0" w:color="000000"/>
              <w:right w:val="single" w:sz="8" w:space="0" w:color="000000"/>
            </w:tcBorders>
            <w:shd w:val="clear" w:color="auto" w:fill="auto"/>
            <w:noWrap/>
            <w:vAlign w:val="center"/>
            <w:hideMark/>
          </w:tcPr>
          <w:p w14:paraId="1CA38BF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14.72%</w:t>
            </w:r>
          </w:p>
        </w:tc>
      </w:tr>
      <w:tr w:rsidR="00EA2B24" w:rsidRPr="00412B28" w14:paraId="063125CC"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5ACF55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74C628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86C5B5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center"/>
            <w:hideMark/>
          </w:tcPr>
          <w:p w14:paraId="6FF8D5F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w:t>
            </w:r>
          </w:p>
        </w:tc>
        <w:tc>
          <w:tcPr>
            <w:tcW w:w="0" w:type="auto"/>
            <w:tcBorders>
              <w:top w:val="nil"/>
              <w:left w:val="nil"/>
              <w:bottom w:val="single" w:sz="4" w:space="0" w:color="000000"/>
              <w:right w:val="single" w:sz="12" w:space="0" w:color="000000"/>
            </w:tcBorders>
            <w:shd w:val="clear" w:color="auto" w:fill="auto"/>
            <w:noWrap/>
            <w:vAlign w:val="center"/>
            <w:hideMark/>
          </w:tcPr>
          <w:p w14:paraId="3835824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7D4C3D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112</w:t>
            </w:r>
          </w:p>
        </w:tc>
        <w:tc>
          <w:tcPr>
            <w:tcW w:w="0" w:type="auto"/>
            <w:tcBorders>
              <w:top w:val="nil"/>
              <w:left w:val="nil"/>
              <w:bottom w:val="single" w:sz="4" w:space="0" w:color="000000"/>
              <w:right w:val="single" w:sz="8" w:space="0" w:color="000000"/>
            </w:tcBorders>
            <w:shd w:val="clear" w:color="auto" w:fill="auto"/>
            <w:noWrap/>
            <w:vAlign w:val="center"/>
            <w:hideMark/>
          </w:tcPr>
          <w:p w14:paraId="386B448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1.50%</w:t>
            </w:r>
          </w:p>
        </w:tc>
      </w:tr>
      <w:tr w:rsidR="00EA2B24" w:rsidRPr="00412B28" w14:paraId="32C2DFDE"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683B769"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62008B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5FC337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274E6EC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4862</w:t>
            </w:r>
          </w:p>
        </w:tc>
        <w:tc>
          <w:tcPr>
            <w:tcW w:w="0" w:type="auto"/>
            <w:tcBorders>
              <w:top w:val="nil"/>
              <w:left w:val="nil"/>
              <w:bottom w:val="single" w:sz="4" w:space="0" w:color="000000"/>
              <w:right w:val="single" w:sz="12" w:space="0" w:color="000000"/>
            </w:tcBorders>
            <w:shd w:val="clear" w:color="auto" w:fill="auto"/>
            <w:noWrap/>
            <w:vAlign w:val="center"/>
            <w:hideMark/>
          </w:tcPr>
          <w:p w14:paraId="06FBFA3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77.06%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BBB05D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5539</w:t>
            </w:r>
          </w:p>
        </w:tc>
        <w:tc>
          <w:tcPr>
            <w:tcW w:w="0" w:type="auto"/>
            <w:tcBorders>
              <w:top w:val="nil"/>
              <w:left w:val="nil"/>
              <w:bottom w:val="single" w:sz="4" w:space="0" w:color="000000"/>
              <w:right w:val="single" w:sz="8" w:space="0" w:color="000000"/>
            </w:tcBorders>
            <w:shd w:val="clear" w:color="auto" w:fill="auto"/>
            <w:noWrap/>
            <w:vAlign w:val="center"/>
            <w:hideMark/>
          </w:tcPr>
          <w:p w14:paraId="20DBFE9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74.10%</w:t>
            </w:r>
          </w:p>
        </w:tc>
      </w:tr>
      <w:tr w:rsidR="00EA2B24" w:rsidRPr="00412B28" w14:paraId="006F1C73"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9130888"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A3B552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13E638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517C176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36</w:t>
            </w:r>
          </w:p>
        </w:tc>
        <w:tc>
          <w:tcPr>
            <w:tcW w:w="0" w:type="auto"/>
            <w:tcBorders>
              <w:top w:val="nil"/>
              <w:left w:val="nil"/>
              <w:bottom w:val="single" w:sz="4" w:space="0" w:color="000000"/>
              <w:right w:val="single" w:sz="12" w:space="0" w:color="000000"/>
            </w:tcBorders>
            <w:shd w:val="clear" w:color="auto" w:fill="auto"/>
            <w:noWrap/>
            <w:vAlign w:val="center"/>
            <w:hideMark/>
          </w:tcPr>
          <w:p w14:paraId="209A34C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6E7158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83</w:t>
            </w:r>
          </w:p>
        </w:tc>
        <w:tc>
          <w:tcPr>
            <w:tcW w:w="0" w:type="auto"/>
            <w:tcBorders>
              <w:top w:val="nil"/>
              <w:left w:val="nil"/>
              <w:bottom w:val="single" w:sz="4" w:space="0" w:color="000000"/>
              <w:right w:val="single" w:sz="8" w:space="0" w:color="000000"/>
            </w:tcBorders>
            <w:shd w:val="clear" w:color="auto" w:fill="auto"/>
            <w:noWrap/>
            <w:vAlign w:val="center"/>
            <w:hideMark/>
          </w:tcPr>
          <w:p w14:paraId="7A328D9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1.11%</w:t>
            </w:r>
          </w:p>
        </w:tc>
      </w:tr>
      <w:tr w:rsidR="00EA2B24" w:rsidRPr="00412B28" w14:paraId="3DA68A58"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1A3109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7C130A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9743EE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center"/>
            <w:hideMark/>
          </w:tcPr>
          <w:p w14:paraId="3B9DDB4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w:t>
            </w:r>
          </w:p>
        </w:tc>
        <w:tc>
          <w:tcPr>
            <w:tcW w:w="0" w:type="auto"/>
            <w:tcBorders>
              <w:top w:val="nil"/>
              <w:left w:val="nil"/>
              <w:bottom w:val="single" w:sz="4" w:space="0" w:color="000000"/>
              <w:right w:val="single" w:sz="12" w:space="0" w:color="000000"/>
            </w:tcBorders>
            <w:shd w:val="clear" w:color="auto" w:fill="auto"/>
            <w:noWrap/>
            <w:vAlign w:val="center"/>
            <w:hideMark/>
          </w:tcPr>
          <w:p w14:paraId="31F288A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070BE7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w:t>
            </w:r>
          </w:p>
        </w:tc>
        <w:tc>
          <w:tcPr>
            <w:tcW w:w="0" w:type="auto"/>
            <w:tcBorders>
              <w:top w:val="nil"/>
              <w:left w:val="nil"/>
              <w:bottom w:val="single" w:sz="4" w:space="0" w:color="000000"/>
              <w:right w:val="single" w:sz="8" w:space="0" w:color="000000"/>
            </w:tcBorders>
            <w:shd w:val="clear" w:color="auto" w:fill="auto"/>
            <w:noWrap/>
            <w:vAlign w:val="center"/>
            <w:hideMark/>
          </w:tcPr>
          <w:p w14:paraId="4048A31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0.52%</w:t>
            </w:r>
          </w:p>
        </w:tc>
      </w:tr>
      <w:tr w:rsidR="00EA2B24" w:rsidRPr="00412B28" w14:paraId="3EA700D8"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91620A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0EF292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20A23B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Pripremljen akt</w:t>
            </w:r>
          </w:p>
        </w:tc>
        <w:tc>
          <w:tcPr>
            <w:tcW w:w="0" w:type="auto"/>
            <w:tcBorders>
              <w:top w:val="nil"/>
              <w:left w:val="nil"/>
              <w:bottom w:val="single" w:sz="4" w:space="0" w:color="000000"/>
              <w:right w:val="single" w:sz="4" w:space="0" w:color="000000"/>
            </w:tcBorders>
            <w:shd w:val="clear" w:color="auto" w:fill="auto"/>
            <w:noWrap/>
            <w:vAlign w:val="center"/>
            <w:hideMark/>
          </w:tcPr>
          <w:p w14:paraId="2A08206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14D101B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13B969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560CA87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3C0352A1"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7D839B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D2B9DE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D55F1D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652B00F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436</w:t>
            </w:r>
          </w:p>
        </w:tc>
        <w:tc>
          <w:tcPr>
            <w:tcW w:w="0" w:type="auto"/>
            <w:tcBorders>
              <w:top w:val="nil"/>
              <w:left w:val="nil"/>
              <w:bottom w:val="single" w:sz="4" w:space="0" w:color="000000"/>
              <w:right w:val="single" w:sz="12" w:space="0" w:color="000000"/>
            </w:tcBorders>
            <w:shd w:val="clear" w:color="auto" w:fill="auto"/>
            <w:noWrap/>
            <w:vAlign w:val="center"/>
            <w:hideMark/>
          </w:tcPr>
          <w:p w14:paraId="3DD20C4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6.91%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E2DF13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602</w:t>
            </w:r>
          </w:p>
        </w:tc>
        <w:tc>
          <w:tcPr>
            <w:tcW w:w="0" w:type="auto"/>
            <w:tcBorders>
              <w:top w:val="nil"/>
              <w:left w:val="nil"/>
              <w:bottom w:val="single" w:sz="4" w:space="0" w:color="000000"/>
              <w:right w:val="single" w:sz="8" w:space="0" w:color="000000"/>
            </w:tcBorders>
            <w:shd w:val="clear" w:color="auto" w:fill="auto"/>
            <w:noWrap/>
            <w:vAlign w:val="center"/>
            <w:hideMark/>
          </w:tcPr>
          <w:p w14:paraId="038C64C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8.05%</w:t>
            </w:r>
          </w:p>
        </w:tc>
      </w:tr>
      <w:tr w:rsidR="00EA2B24" w:rsidRPr="00412B28" w14:paraId="2564D94B"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685BBA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37C2B31"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završetka objekta u konstruktivnom smislu</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D91BB83"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1AD359B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6309</w:t>
            </w:r>
          </w:p>
        </w:tc>
        <w:tc>
          <w:tcPr>
            <w:tcW w:w="0" w:type="auto"/>
            <w:tcBorders>
              <w:top w:val="nil"/>
              <w:left w:val="nil"/>
              <w:bottom w:val="single" w:sz="4" w:space="0" w:color="000000"/>
              <w:right w:val="single" w:sz="12" w:space="0" w:color="000000"/>
            </w:tcBorders>
            <w:shd w:val="clear" w:color="000000" w:fill="DDEBF7"/>
            <w:noWrap/>
            <w:vAlign w:val="center"/>
            <w:hideMark/>
          </w:tcPr>
          <w:p w14:paraId="3925CC7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7A22159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7475</w:t>
            </w:r>
          </w:p>
        </w:tc>
        <w:tc>
          <w:tcPr>
            <w:tcW w:w="0" w:type="auto"/>
            <w:tcBorders>
              <w:top w:val="nil"/>
              <w:left w:val="nil"/>
              <w:bottom w:val="single" w:sz="4" w:space="0" w:color="000000"/>
              <w:right w:val="single" w:sz="8" w:space="0" w:color="000000"/>
            </w:tcBorders>
            <w:shd w:val="clear" w:color="000000" w:fill="DDEBF7"/>
            <w:noWrap/>
            <w:vAlign w:val="center"/>
            <w:hideMark/>
          </w:tcPr>
          <w:p w14:paraId="08A4628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6DE1822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8F0DC94"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B4AD46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0C488C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4EC02E0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1989</w:t>
            </w:r>
          </w:p>
        </w:tc>
        <w:tc>
          <w:tcPr>
            <w:tcW w:w="0" w:type="auto"/>
            <w:tcBorders>
              <w:top w:val="nil"/>
              <w:left w:val="nil"/>
              <w:bottom w:val="single" w:sz="4" w:space="0" w:color="000000"/>
              <w:right w:val="single" w:sz="12" w:space="0" w:color="000000"/>
            </w:tcBorders>
            <w:shd w:val="clear" w:color="auto" w:fill="auto"/>
            <w:noWrap/>
            <w:vAlign w:val="center"/>
            <w:hideMark/>
          </w:tcPr>
          <w:p w14:paraId="3DB3C14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40A93B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1852</w:t>
            </w:r>
          </w:p>
        </w:tc>
        <w:tc>
          <w:tcPr>
            <w:tcW w:w="0" w:type="auto"/>
            <w:tcBorders>
              <w:top w:val="nil"/>
              <w:left w:val="nil"/>
              <w:bottom w:val="single" w:sz="4" w:space="0" w:color="000000"/>
              <w:right w:val="single" w:sz="8" w:space="0" w:color="000000"/>
            </w:tcBorders>
            <w:shd w:val="clear" w:color="auto" w:fill="auto"/>
            <w:noWrap/>
            <w:vAlign w:val="center"/>
            <w:hideMark/>
          </w:tcPr>
          <w:p w14:paraId="14D2966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8.68%</w:t>
            </w:r>
          </w:p>
        </w:tc>
      </w:tr>
      <w:tr w:rsidR="00EA2B24" w:rsidRPr="00412B28" w14:paraId="15E6C3A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F49FE1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4A6550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C1809A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113793B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16739</w:t>
            </w:r>
          </w:p>
        </w:tc>
        <w:tc>
          <w:tcPr>
            <w:tcW w:w="0" w:type="auto"/>
            <w:tcBorders>
              <w:top w:val="nil"/>
              <w:left w:val="nil"/>
              <w:bottom w:val="single" w:sz="4" w:space="0" w:color="000000"/>
              <w:right w:val="single" w:sz="12" w:space="0" w:color="000000"/>
            </w:tcBorders>
            <w:shd w:val="clear" w:color="auto" w:fill="auto"/>
            <w:noWrap/>
            <w:vAlign w:val="center"/>
            <w:hideMark/>
          </w:tcPr>
          <w:p w14:paraId="1C2B1FA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88.68%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D6A6F1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19160</w:t>
            </w:r>
          </w:p>
        </w:tc>
        <w:tc>
          <w:tcPr>
            <w:tcW w:w="0" w:type="auto"/>
            <w:tcBorders>
              <w:top w:val="nil"/>
              <w:left w:val="nil"/>
              <w:bottom w:val="single" w:sz="4" w:space="0" w:color="000000"/>
              <w:right w:val="single" w:sz="8" w:space="0" w:color="000000"/>
            </w:tcBorders>
            <w:shd w:val="clear" w:color="auto" w:fill="auto"/>
            <w:noWrap/>
            <w:vAlign w:val="center"/>
            <w:hideMark/>
          </w:tcPr>
          <w:p w14:paraId="3735616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89.83%</w:t>
            </w:r>
          </w:p>
        </w:tc>
      </w:tr>
      <w:tr w:rsidR="00EA2B24" w:rsidRPr="00412B28" w14:paraId="5812E7B9"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0EB99B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975752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A1C00F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0F5D7BD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42</w:t>
            </w:r>
          </w:p>
        </w:tc>
        <w:tc>
          <w:tcPr>
            <w:tcW w:w="0" w:type="auto"/>
            <w:tcBorders>
              <w:top w:val="nil"/>
              <w:left w:val="nil"/>
              <w:bottom w:val="single" w:sz="4" w:space="0" w:color="000000"/>
              <w:right w:val="single" w:sz="12" w:space="0" w:color="000000"/>
            </w:tcBorders>
            <w:shd w:val="clear" w:color="auto" w:fill="auto"/>
            <w:noWrap/>
            <w:vAlign w:val="center"/>
            <w:hideMark/>
          </w:tcPr>
          <w:p w14:paraId="1065A45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65EED1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69</w:t>
            </w:r>
          </w:p>
        </w:tc>
        <w:tc>
          <w:tcPr>
            <w:tcW w:w="0" w:type="auto"/>
            <w:tcBorders>
              <w:top w:val="nil"/>
              <w:left w:val="nil"/>
              <w:bottom w:val="single" w:sz="4" w:space="0" w:color="000000"/>
              <w:right w:val="single" w:sz="8" w:space="0" w:color="000000"/>
            </w:tcBorders>
            <w:shd w:val="clear" w:color="auto" w:fill="auto"/>
            <w:noWrap/>
            <w:vAlign w:val="center"/>
            <w:hideMark/>
          </w:tcPr>
          <w:p w14:paraId="22BA170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0.32%</w:t>
            </w:r>
          </w:p>
        </w:tc>
      </w:tr>
      <w:tr w:rsidR="00EA2B24" w:rsidRPr="00412B28" w14:paraId="175E3A1D"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8507F2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32B821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72A94A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center"/>
            <w:hideMark/>
          </w:tcPr>
          <w:p w14:paraId="6795C4E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12" w:space="0" w:color="000000"/>
            </w:tcBorders>
            <w:shd w:val="clear" w:color="auto" w:fill="auto"/>
            <w:noWrap/>
            <w:vAlign w:val="center"/>
            <w:hideMark/>
          </w:tcPr>
          <w:p w14:paraId="77AEA90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29761B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w:t>
            </w:r>
          </w:p>
        </w:tc>
        <w:tc>
          <w:tcPr>
            <w:tcW w:w="0" w:type="auto"/>
            <w:tcBorders>
              <w:top w:val="nil"/>
              <w:left w:val="nil"/>
              <w:bottom w:val="single" w:sz="4" w:space="0" w:color="000000"/>
              <w:right w:val="single" w:sz="8" w:space="0" w:color="000000"/>
            </w:tcBorders>
            <w:shd w:val="clear" w:color="auto" w:fill="auto"/>
            <w:noWrap/>
            <w:vAlign w:val="center"/>
            <w:hideMark/>
          </w:tcPr>
          <w:p w14:paraId="048C59D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0.09%</w:t>
            </w:r>
          </w:p>
        </w:tc>
      </w:tr>
      <w:tr w:rsidR="00EA2B24" w:rsidRPr="00412B28" w14:paraId="3A83CE50"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4E821D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866683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radova</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BB7FB6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5C34673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98</w:t>
            </w:r>
          </w:p>
        </w:tc>
        <w:tc>
          <w:tcPr>
            <w:tcW w:w="0" w:type="auto"/>
            <w:tcBorders>
              <w:top w:val="nil"/>
              <w:left w:val="nil"/>
              <w:bottom w:val="single" w:sz="4" w:space="0" w:color="000000"/>
              <w:right w:val="single" w:sz="12" w:space="0" w:color="000000"/>
            </w:tcBorders>
            <w:shd w:val="clear" w:color="auto" w:fill="auto"/>
            <w:noWrap/>
            <w:vAlign w:val="center"/>
            <w:hideMark/>
          </w:tcPr>
          <w:p w14:paraId="61685B1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B7C088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229</w:t>
            </w:r>
          </w:p>
        </w:tc>
        <w:tc>
          <w:tcPr>
            <w:tcW w:w="0" w:type="auto"/>
            <w:tcBorders>
              <w:top w:val="nil"/>
              <w:left w:val="nil"/>
              <w:bottom w:val="single" w:sz="4" w:space="0" w:color="000000"/>
              <w:right w:val="single" w:sz="8" w:space="0" w:color="000000"/>
            </w:tcBorders>
            <w:shd w:val="clear" w:color="auto" w:fill="auto"/>
            <w:noWrap/>
            <w:vAlign w:val="center"/>
            <w:hideMark/>
          </w:tcPr>
          <w:p w14:paraId="605F13B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1.07%</w:t>
            </w:r>
          </w:p>
        </w:tc>
      </w:tr>
      <w:tr w:rsidR="00EA2B24" w:rsidRPr="00412B28" w14:paraId="0D2E8042"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D8E987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27B2EE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Prijava radova</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1AC2ED2C"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DEBF7"/>
            <w:noWrap/>
            <w:vAlign w:val="center"/>
            <w:hideMark/>
          </w:tcPr>
          <w:p w14:paraId="43116CA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18875</w:t>
            </w:r>
          </w:p>
        </w:tc>
        <w:tc>
          <w:tcPr>
            <w:tcW w:w="0" w:type="auto"/>
            <w:tcBorders>
              <w:top w:val="nil"/>
              <w:left w:val="nil"/>
              <w:bottom w:val="single" w:sz="4" w:space="0" w:color="000000"/>
              <w:right w:val="single" w:sz="12" w:space="0" w:color="000000"/>
            </w:tcBorders>
            <w:shd w:val="clear" w:color="000000" w:fill="DDEBF7"/>
            <w:noWrap/>
            <w:vAlign w:val="center"/>
            <w:hideMark/>
          </w:tcPr>
          <w:p w14:paraId="0E812672"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BACA19C"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21330</w:t>
            </w:r>
          </w:p>
        </w:tc>
        <w:tc>
          <w:tcPr>
            <w:tcW w:w="0" w:type="auto"/>
            <w:tcBorders>
              <w:top w:val="nil"/>
              <w:left w:val="nil"/>
              <w:bottom w:val="single" w:sz="4" w:space="0" w:color="000000"/>
              <w:right w:val="single" w:sz="8" w:space="0" w:color="000000"/>
            </w:tcBorders>
            <w:shd w:val="clear" w:color="000000" w:fill="DDEBF7"/>
            <w:noWrap/>
            <w:vAlign w:val="center"/>
            <w:hideMark/>
          </w:tcPr>
          <w:p w14:paraId="78C08801"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795A0978"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BFB1B0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B49889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4F0A75B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Delimično usvojeno</w:t>
            </w:r>
          </w:p>
        </w:tc>
        <w:tc>
          <w:tcPr>
            <w:tcW w:w="0" w:type="auto"/>
            <w:tcBorders>
              <w:top w:val="nil"/>
              <w:left w:val="nil"/>
              <w:bottom w:val="single" w:sz="4" w:space="0" w:color="000000"/>
              <w:right w:val="single" w:sz="4" w:space="0" w:color="000000"/>
            </w:tcBorders>
            <w:shd w:val="clear" w:color="auto" w:fill="auto"/>
            <w:noWrap/>
            <w:vAlign w:val="center"/>
            <w:hideMark/>
          </w:tcPr>
          <w:p w14:paraId="5F525AA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62</w:t>
            </w:r>
          </w:p>
        </w:tc>
        <w:tc>
          <w:tcPr>
            <w:tcW w:w="0" w:type="auto"/>
            <w:tcBorders>
              <w:top w:val="nil"/>
              <w:left w:val="nil"/>
              <w:bottom w:val="single" w:sz="4" w:space="0" w:color="000000"/>
              <w:right w:val="single" w:sz="12" w:space="0" w:color="000000"/>
            </w:tcBorders>
            <w:shd w:val="clear" w:color="auto" w:fill="auto"/>
            <w:noWrap/>
            <w:vAlign w:val="center"/>
            <w:hideMark/>
          </w:tcPr>
          <w:p w14:paraId="756D61F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054D0C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210</w:t>
            </w:r>
          </w:p>
        </w:tc>
        <w:tc>
          <w:tcPr>
            <w:tcW w:w="0" w:type="auto"/>
            <w:tcBorders>
              <w:top w:val="nil"/>
              <w:left w:val="nil"/>
              <w:bottom w:val="single" w:sz="4" w:space="0" w:color="000000"/>
              <w:right w:val="single" w:sz="8" w:space="0" w:color="000000"/>
            </w:tcBorders>
            <w:shd w:val="clear" w:color="auto" w:fill="auto"/>
            <w:noWrap/>
            <w:vAlign w:val="center"/>
            <w:hideMark/>
          </w:tcPr>
          <w:p w14:paraId="50DAEA4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2.36%</w:t>
            </w:r>
          </w:p>
        </w:tc>
      </w:tr>
      <w:tr w:rsidR="00EA2B24" w:rsidRPr="00412B28" w14:paraId="4B8A9385"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E2A35DC"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460F6B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6E684E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24848BE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1530</w:t>
            </w:r>
          </w:p>
        </w:tc>
        <w:tc>
          <w:tcPr>
            <w:tcW w:w="0" w:type="auto"/>
            <w:tcBorders>
              <w:top w:val="nil"/>
              <w:left w:val="nil"/>
              <w:bottom w:val="single" w:sz="4" w:space="0" w:color="000000"/>
              <w:right w:val="single" w:sz="12" w:space="0" w:color="000000"/>
            </w:tcBorders>
            <w:shd w:val="clear" w:color="auto" w:fill="auto"/>
            <w:noWrap/>
            <w:vAlign w:val="center"/>
            <w:hideMark/>
          </w:tcPr>
          <w:p w14:paraId="0BF6C59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20.30%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50670E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2211</w:t>
            </w:r>
          </w:p>
        </w:tc>
        <w:tc>
          <w:tcPr>
            <w:tcW w:w="0" w:type="auto"/>
            <w:tcBorders>
              <w:top w:val="nil"/>
              <w:left w:val="nil"/>
              <w:bottom w:val="single" w:sz="4" w:space="0" w:color="000000"/>
              <w:right w:val="single" w:sz="8" w:space="0" w:color="000000"/>
            </w:tcBorders>
            <w:shd w:val="clear" w:color="auto" w:fill="auto"/>
            <w:noWrap/>
            <w:vAlign w:val="center"/>
            <w:hideMark/>
          </w:tcPr>
          <w:p w14:paraId="3325C88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24.89%</w:t>
            </w:r>
          </w:p>
        </w:tc>
      </w:tr>
      <w:tr w:rsidR="00EA2B24" w:rsidRPr="00412B28" w14:paraId="7FECBE27"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E4A432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1FF60A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D2C8C16"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center"/>
            <w:hideMark/>
          </w:tcPr>
          <w:p w14:paraId="11070D8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187</w:t>
            </w:r>
          </w:p>
        </w:tc>
        <w:tc>
          <w:tcPr>
            <w:tcW w:w="0" w:type="auto"/>
            <w:tcBorders>
              <w:top w:val="nil"/>
              <w:left w:val="nil"/>
              <w:bottom w:val="single" w:sz="4" w:space="0" w:color="000000"/>
              <w:right w:val="single" w:sz="12" w:space="0" w:color="000000"/>
            </w:tcBorders>
            <w:shd w:val="clear" w:color="auto" w:fill="auto"/>
            <w:noWrap/>
            <w:vAlign w:val="center"/>
            <w:hideMark/>
          </w:tcPr>
          <w:p w14:paraId="569E85E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A82C50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350</w:t>
            </w:r>
          </w:p>
        </w:tc>
        <w:tc>
          <w:tcPr>
            <w:tcW w:w="0" w:type="auto"/>
            <w:tcBorders>
              <w:top w:val="nil"/>
              <w:left w:val="nil"/>
              <w:bottom w:val="single" w:sz="4" w:space="0" w:color="000000"/>
              <w:right w:val="single" w:sz="8" w:space="0" w:color="000000"/>
            </w:tcBorders>
            <w:shd w:val="clear" w:color="auto" w:fill="auto"/>
            <w:noWrap/>
            <w:vAlign w:val="center"/>
            <w:hideMark/>
          </w:tcPr>
          <w:p w14:paraId="25CE8C6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3.94%</w:t>
            </w:r>
          </w:p>
        </w:tc>
      </w:tr>
      <w:tr w:rsidR="00EA2B24" w:rsidRPr="00412B28" w14:paraId="6E67396D"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847D89A"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74D5E4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E272EA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30347FA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4982</w:t>
            </w:r>
          </w:p>
        </w:tc>
        <w:tc>
          <w:tcPr>
            <w:tcW w:w="0" w:type="auto"/>
            <w:tcBorders>
              <w:top w:val="nil"/>
              <w:left w:val="nil"/>
              <w:bottom w:val="single" w:sz="4" w:space="0" w:color="000000"/>
              <w:right w:val="single" w:sz="12" w:space="0" w:color="000000"/>
            </w:tcBorders>
            <w:shd w:val="clear" w:color="auto" w:fill="auto"/>
            <w:noWrap/>
            <w:vAlign w:val="center"/>
            <w:hideMark/>
          </w:tcPr>
          <w:p w14:paraId="6910EC3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66.11%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94425E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4940</w:t>
            </w:r>
          </w:p>
        </w:tc>
        <w:tc>
          <w:tcPr>
            <w:tcW w:w="0" w:type="auto"/>
            <w:tcBorders>
              <w:top w:val="nil"/>
              <w:left w:val="nil"/>
              <w:bottom w:val="single" w:sz="4" w:space="0" w:color="000000"/>
              <w:right w:val="single" w:sz="8" w:space="0" w:color="000000"/>
            </w:tcBorders>
            <w:shd w:val="clear" w:color="auto" w:fill="auto"/>
            <w:noWrap/>
            <w:vAlign w:val="center"/>
            <w:hideMark/>
          </w:tcPr>
          <w:p w14:paraId="566EA97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55.62%</w:t>
            </w:r>
          </w:p>
        </w:tc>
      </w:tr>
      <w:tr w:rsidR="00EA2B24" w:rsidRPr="00412B28" w14:paraId="23D01D8E"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913019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9309C0D"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8DF804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Odobren dokument</w:t>
            </w:r>
          </w:p>
        </w:tc>
        <w:tc>
          <w:tcPr>
            <w:tcW w:w="0" w:type="auto"/>
            <w:tcBorders>
              <w:top w:val="nil"/>
              <w:left w:val="nil"/>
              <w:bottom w:val="single" w:sz="4" w:space="0" w:color="000000"/>
              <w:right w:val="single" w:sz="4" w:space="0" w:color="000000"/>
            </w:tcBorders>
            <w:shd w:val="clear" w:color="auto" w:fill="auto"/>
            <w:noWrap/>
            <w:vAlign w:val="center"/>
            <w:hideMark/>
          </w:tcPr>
          <w:p w14:paraId="514910A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7B1120A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B1F5B4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5CFE535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EA2B24" w:rsidRPr="00412B28" w14:paraId="23C192B8"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20A881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9146480"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E606389"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62D751D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37</w:t>
            </w:r>
          </w:p>
        </w:tc>
        <w:tc>
          <w:tcPr>
            <w:tcW w:w="0" w:type="auto"/>
            <w:tcBorders>
              <w:top w:val="nil"/>
              <w:left w:val="nil"/>
              <w:bottom w:val="single" w:sz="4" w:space="0" w:color="000000"/>
              <w:right w:val="single" w:sz="12" w:space="0" w:color="000000"/>
            </w:tcBorders>
            <w:shd w:val="clear" w:color="auto" w:fill="auto"/>
            <w:noWrap/>
            <w:vAlign w:val="center"/>
            <w:hideMark/>
          </w:tcPr>
          <w:p w14:paraId="796C75F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0F7113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93</w:t>
            </w:r>
          </w:p>
        </w:tc>
        <w:tc>
          <w:tcPr>
            <w:tcW w:w="0" w:type="auto"/>
            <w:tcBorders>
              <w:top w:val="nil"/>
              <w:left w:val="nil"/>
              <w:bottom w:val="single" w:sz="4" w:space="0" w:color="000000"/>
              <w:right w:val="single" w:sz="8" w:space="0" w:color="000000"/>
            </w:tcBorders>
            <w:shd w:val="clear" w:color="auto" w:fill="auto"/>
            <w:noWrap/>
            <w:vAlign w:val="center"/>
            <w:hideMark/>
          </w:tcPr>
          <w:p w14:paraId="315BA479"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w:t>
            </w:r>
          </w:p>
        </w:tc>
      </w:tr>
      <w:tr w:rsidR="00EA2B24" w:rsidRPr="00412B28" w14:paraId="242D55EA"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42671BD"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1E631C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710A27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center"/>
            <w:hideMark/>
          </w:tcPr>
          <w:p w14:paraId="343697A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w:t>
            </w:r>
          </w:p>
        </w:tc>
        <w:tc>
          <w:tcPr>
            <w:tcW w:w="0" w:type="auto"/>
            <w:tcBorders>
              <w:top w:val="nil"/>
              <w:left w:val="nil"/>
              <w:bottom w:val="single" w:sz="4" w:space="0" w:color="000000"/>
              <w:right w:val="single" w:sz="12" w:space="0" w:color="000000"/>
            </w:tcBorders>
            <w:shd w:val="clear" w:color="auto" w:fill="auto"/>
            <w:noWrap/>
            <w:vAlign w:val="center"/>
            <w:hideMark/>
          </w:tcPr>
          <w:p w14:paraId="2D64163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3B5193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w:t>
            </w:r>
          </w:p>
        </w:tc>
        <w:tc>
          <w:tcPr>
            <w:tcW w:w="0" w:type="auto"/>
            <w:tcBorders>
              <w:top w:val="nil"/>
              <w:left w:val="nil"/>
              <w:bottom w:val="single" w:sz="4" w:space="0" w:color="000000"/>
              <w:right w:val="single" w:sz="8" w:space="0" w:color="000000"/>
            </w:tcBorders>
            <w:shd w:val="clear" w:color="auto" w:fill="auto"/>
            <w:noWrap/>
            <w:vAlign w:val="center"/>
            <w:hideMark/>
          </w:tcPr>
          <w:p w14:paraId="0594452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0.68%</w:t>
            </w:r>
          </w:p>
        </w:tc>
      </w:tr>
      <w:tr w:rsidR="00EA2B24" w:rsidRPr="00412B28" w14:paraId="7B5FCBD6"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A45B1B2"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EBEE2A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C09737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71A047F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718</w:t>
            </w:r>
          </w:p>
        </w:tc>
        <w:tc>
          <w:tcPr>
            <w:tcW w:w="0" w:type="auto"/>
            <w:tcBorders>
              <w:top w:val="nil"/>
              <w:left w:val="nil"/>
              <w:bottom w:val="single" w:sz="4" w:space="0" w:color="000000"/>
              <w:right w:val="single" w:sz="12" w:space="0" w:color="000000"/>
            </w:tcBorders>
            <w:shd w:val="clear" w:color="auto" w:fill="auto"/>
            <w:noWrap/>
            <w:vAlign w:val="center"/>
            <w:hideMark/>
          </w:tcPr>
          <w:p w14:paraId="2CF4D7F8"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9.53%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80E22D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1018</w:t>
            </w:r>
          </w:p>
        </w:tc>
        <w:tc>
          <w:tcPr>
            <w:tcW w:w="0" w:type="auto"/>
            <w:tcBorders>
              <w:top w:val="nil"/>
              <w:left w:val="nil"/>
              <w:bottom w:val="single" w:sz="4" w:space="0" w:color="000000"/>
              <w:right w:val="single" w:sz="8" w:space="0" w:color="000000"/>
            </w:tcBorders>
            <w:shd w:val="clear" w:color="auto" w:fill="auto"/>
            <w:noWrap/>
            <w:vAlign w:val="center"/>
            <w:hideMark/>
          </w:tcPr>
          <w:p w14:paraId="615B01C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11.46%</w:t>
            </w:r>
          </w:p>
        </w:tc>
      </w:tr>
      <w:tr w:rsidR="00EA2B24" w:rsidRPr="00412B28" w14:paraId="7F20EC2E"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51BD8D0"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8597802"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Priključenje na komunalnu i drugu infrastrukturu</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5B5DB366"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4" w:space="0" w:color="000000"/>
              <w:right w:val="single" w:sz="4" w:space="0" w:color="000000"/>
            </w:tcBorders>
            <w:shd w:val="clear" w:color="000000" w:fill="D6DCE4"/>
            <w:noWrap/>
            <w:vAlign w:val="center"/>
            <w:hideMark/>
          </w:tcPr>
          <w:p w14:paraId="34B8459E"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7536</w:t>
            </w:r>
          </w:p>
        </w:tc>
        <w:tc>
          <w:tcPr>
            <w:tcW w:w="0" w:type="auto"/>
            <w:tcBorders>
              <w:top w:val="nil"/>
              <w:left w:val="nil"/>
              <w:bottom w:val="single" w:sz="4" w:space="0" w:color="000000"/>
              <w:right w:val="single" w:sz="12" w:space="0" w:color="000000"/>
            </w:tcBorders>
            <w:shd w:val="clear" w:color="000000" w:fill="D6DCE4"/>
            <w:noWrap/>
            <w:vAlign w:val="center"/>
            <w:hideMark/>
          </w:tcPr>
          <w:p w14:paraId="1C539804"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4DFB8E38"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8882</w:t>
            </w:r>
          </w:p>
        </w:tc>
        <w:tc>
          <w:tcPr>
            <w:tcW w:w="0" w:type="auto"/>
            <w:tcBorders>
              <w:top w:val="nil"/>
              <w:left w:val="nil"/>
              <w:bottom w:val="single" w:sz="4" w:space="0" w:color="000000"/>
              <w:right w:val="single" w:sz="8" w:space="0" w:color="000000"/>
            </w:tcBorders>
            <w:shd w:val="clear" w:color="000000" w:fill="DDEBF7"/>
            <w:noWrap/>
            <w:vAlign w:val="center"/>
            <w:hideMark/>
          </w:tcPr>
          <w:p w14:paraId="468BE019"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EA2B24" w:rsidRPr="00412B28" w14:paraId="2429D738"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D119D65"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7CFE8C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E2135BE"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odbačen</w:t>
            </w:r>
          </w:p>
        </w:tc>
        <w:tc>
          <w:tcPr>
            <w:tcW w:w="0" w:type="auto"/>
            <w:tcBorders>
              <w:top w:val="nil"/>
              <w:left w:val="nil"/>
              <w:bottom w:val="single" w:sz="4" w:space="0" w:color="000000"/>
              <w:right w:val="single" w:sz="4" w:space="0" w:color="000000"/>
            </w:tcBorders>
            <w:shd w:val="clear" w:color="auto" w:fill="auto"/>
            <w:noWrap/>
            <w:vAlign w:val="center"/>
            <w:hideMark/>
          </w:tcPr>
          <w:p w14:paraId="7B1776A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383</w:t>
            </w:r>
          </w:p>
        </w:tc>
        <w:tc>
          <w:tcPr>
            <w:tcW w:w="0" w:type="auto"/>
            <w:tcBorders>
              <w:top w:val="nil"/>
              <w:left w:val="nil"/>
              <w:bottom w:val="single" w:sz="4" w:space="0" w:color="000000"/>
              <w:right w:val="single" w:sz="12" w:space="0" w:color="000000"/>
            </w:tcBorders>
            <w:shd w:val="clear" w:color="auto" w:fill="auto"/>
            <w:noWrap/>
            <w:vAlign w:val="center"/>
            <w:hideMark/>
          </w:tcPr>
          <w:p w14:paraId="4E2F496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71F7D0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244</w:t>
            </w:r>
          </w:p>
        </w:tc>
        <w:tc>
          <w:tcPr>
            <w:tcW w:w="0" w:type="auto"/>
            <w:tcBorders>
              <w:top w:val="nil"/>
              <w:left w:val="nil"/>
              <w:bottom w:val="single" w:sz="4" w:space="0" w:color="000000"/>
              <w:right w:val="single" w:sz="8" w:space="0" w:color="000000"/>
            </w:tcBorders>
            <w:shd w:val="clear" w:color="auto" w:fill="auto"/>
            <w:noWrap/>
            <w:vAlign w:val="center"/>
            <w:hideMark/>
          </w:tcPr>
          <w:p w14:paraId="5E0C97D6"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4.02%</w:t>
            </w:r>
          </w:p>
        </w:tc>
      </w:tr>
      <w:tr w:rsidR="00EA2B24" w:rsidRPr="00412B28" w14:paraId="69A0EA27"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432371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5784C9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31F119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odbijen</w:t>
            </w:r>
          </w:p>
        </w:tc>
        <w:tc>
          <w:tcPr>
            <w:tcW w:w="0" w:type="auto"/>
            <w:tcBorders>
              <w:top w:val="nil"/>
              <w:left w:val="nil"/>
              <w:bottom w:val="single" w:sz="4" w:space="0" w:color="000000"/>
              <w:right w:val="single" w:sz="4" w:space="0" w:color="000000"/>
            </w:tcBorders>
            <w:shd w:val="clear" w:color="auto" w:fill="auto"/>
            <w:noWrap/>
            <w:vAlign w:val="center"/>
            <w:hideMark/>
          </w:tcPr>
          <w:p w14:paraId="49F3052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47</w:t>
            </w:r>
          </w:p>
        </w:tc>
        <w:tc>
          <w:tcPr>
            <w:tcW w:w="0" w:type="auto"/>
            <w:tcBorders>
              <w:top w:val="nil"/>
              <w:left w:val="nil"/>
              <w:bottom w:val="single" w:sz="4" w:space="0" w:color="000000"/>
              <w:right w:val="single" w:sz="12" w:space="0" w:color="000000"/>
            </w:tcBorders>
            <w:shd w:val="clear" w:color="auto" w:fill="auto"/>
            <w:noWrap/>
            <w:vAlign w:val="center"/>
            <w:hideMark/>
          </w:tcPr>
          <w:p w14:paraId="0B18A81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BF46F4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149</w:t>
            </w:r>
          </w:p>
        </w:tc>
        <w:tc>
          <w:tcPr>
            <w:tcW w:w="0" w:type="auto"/>
            <w:tcBorders>
              <w:top w:val="nil"/>
              <w:left w:val="nil"/>
              <w:bottom w:val="single" w:sz="4" w:space="0" w:color="000000"/>
              <w:right w:val="single" w:sz="8" w:space="0" w:color="000000"/>
            </w:tcBorders>
            <w:shd w:val="clear" w:color="auto" w:fill="auto"/>
            <w:noWrap/>
            <w:vAlign w:val="center"/>
            <w:hideMark/>
          </w:tcPr>
          <w:p w14:paraId="7B5E3EEC"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2.45%</w:t>
            </w:r>
          </w:p>
        </w:tc>
      </w:tr>
      <w:tr w:rsidR="00EA2B24" w:rsidRPr="00412B28" w14:paraId="673A796D"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D43D546"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E59C8FB"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58003E7"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Zahtev usvojen</w:t>
            </w:r>
          </w:p>
        </w:tc>
        <w:tc>
          <w:tcPr>
            <w:tcW w:w="0" w:type="auto"/>
            <w:tcBorders>
              <w:top w:val="nil"/>
              <w:left w:val="nil"/>
              <w:bottom w:val="single" w:sz="4" w:space="0" w:color="000000"/>
              <w:right w:val="single" w:sz="4" w:space="0" w:color="000000"/>
            </w:tcBorders>
            <w:shd w:val="clear" w:color="auto" w:fill="auto"/>
            <w:noWrap/>
            <w:vAlign w:val="center"/>
            <w:hideMark/>
          </w:tcPr>
          <w:p w14:paraId="3B2269A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3853</w:t>
            </w:r>
          </w:p>
        </w:tc>
        <w:tc>
          <w:tcPr>
            <w:tcW w:w="0" w:type="auto"/>
            <w:tcBorders>
              <w:top w:val="nil"/>
              <w:left w:val="nil"/>
              <w:bottom w:val="single" w:sz="4" w:space="0" w:color="000000"/>
              <w:right w:val="single" w:sz="12" w:space="0" w:color="000000"/>
            </w:tcBorders>
            <w:shd w:val="clear" w:color="auto" w:fill="auto"/>
            <w:noWrap/>
            <w:vAlign w:val="center"/>
            <w:hideMark/>
          </w:tcPr>
          <w:p w14:paraId="323C9A2A"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70.84%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9F31D51"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4600</w:t>
            </w:r>
          </w:p>
        </w:tc>
        <w:tc>
          <w:tcPr>
            <w:tcW w:w="0" w:type="auto"/>
            <w:tcBorders>
              <w:top w:val="nil"/>
              <w:left w:val="nil"/>
              <w:bottom w:val="single" w:sz="4" w:space="0" w:color="000000"/>
              <w:right w:val="single" w:sz="8" w:space="0" w:color="000000"/>
            </w:tcBorders>
            <w:shd w:val="clear" w:color="auto" w:fill="auto"/>
            <w:noWrap/>
            <w:vAlign w:val="center"/>
            <w:hideMark/>
          </w:tcPr>
          <w:p w14:paraId="5EB8810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75.75%</w:t>
            </w:r>
          </w:p>
        </w:tc>
      </w:tr>
      <w:tr w:rsidR="00EA2B24" w:rsidRPr="00412B28" w14:paraId="4BC25A9A"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95137E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BDB0CBC"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D846463"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obustavljen</w:t>
            </w:r>
          </w:p>
        </w:tc>
        <w:tc>
          <w:tcPr>
            <w:tcW w:w="0" w:type="auto"/>
            <w:tcBorders>
              <w:top w:val="nil"/>
              <w:left w:val="nil"/>
              <w:bottom w:val="single" w:sz="4" w:space="0" w:color="000000"/>
              <w:right w:val="single" w:sz="4" w:space="0" w:color="000000"/>
            </w:tcBorders>
            <w:shd w:val="clear" w:color="auto" w:fill="auto"/>
            <w:noWrap/>
            <w:vAlign w:val="center"/>
            <w:hideMark/>
          </w:tcPr>
          <w:p w14:paraId="4B0BE68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w:t>
            </w:r>
          </w:p>
        </w:tc>
        <w:tc>
          <w:tcPr>
            <w:tcW w:w="0" w:type="auto"/>
            <w:tcBorders>
              <w:top w:val="nil"/>
              <w:left w:val="nil"/>
              <w:bottom w:val="single" w:sz="4" w:space="0" w:color="000000"/>
              <w:right w:val="single" w:sz="12" w:space="0" w:color="000000"/>
            </w:tcBorders>
            <w:shd w:val="clear" w:color="auto" w:fill="auto"/>
            <w:noWrap/>
            <w:vAlign w:val="center"/>
            <w:hideMark/>
          </w:tcPr>
          <w:p w14:paraId="2296DA14"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038E45F"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719DBF57"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0.08%</w:t>
            </w:r>
          </w:p>
        </w:tc>
      </w:tr>
      <w:tr w:rsidR="00EA2B24" w:rsidRPr="00412B28" w14:paraId="7B539FB1"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A1A924B"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86B4AF8"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727F285"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Postupak storniran</w:t>
            </w:r>
          </w:p>
        </w:tc>
        <w:tc>
          <w:tcPr>
            <w:tcW w:w="0" w:type="auto"/>
            <w:tcBorders>
              <w:top w:val="nil"/>
              <w:left w:val="nil"/>
              <w:bottom w:val="single" w:sz="4" w:space="0" w:color="000000"/>
              <w:right w:val="single" w:sz="4" w:space="0" w:color="000000"/>
            </w:tcBorders>
            <w:shd w:val="clear" w:color="auto" w:fill="auto"/>
            <w:noWrap/>
            <w:vAlign w:val="center"/>
            <w:hideMark/>
          </w:tcPr>
          <w:p w14:paraId="528FBDC5"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41</w:t>
            </w:r>
          </w:p>
        </w:tc>
        <w:tc>
          <w:tcPr>
            <w:tcW w:w="0" w:type="auto"/>
            <w:tcBorders>
              <w:top w:val="nil"/>
              <w:left w:val="nil"/>
              <w:bottom w:val="single" w:sz="4" w:space="0" w:color="000000"/>
              <w:right w:val="single" w:sz="12" w:space="0" w:color="000000"/>
            </w:tcBorders>
            <w:shd w:val="clear" w:color="auto" w:fill="auto"/>
            <w:noWrap/>
            <w:vAlign w:val="center"/>
            <w:hideMark/>
          </w:tcPr>
          <w:p w14:paraId="6F70064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7AED313"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w:t>
            </w:r>
          </w:p>
        </w:tc>
        <w:tc>
          <w:tcPr>
            <w:tcW w:w="0" w:type="auto"/>
            <w:tcBorders>
              <w:top w:val="nil"/>
              <w:left w:val="nil"/>
              <w:bottom w:val="single" w:sz="4" w:space="0" w:color="000000"/>
              <w:right w:val="single" w:sz="8" w:space="0" w:color="000000"/>
            </w:tcBorders>
            <w:shd w:val="clear" w:color="auto" w:fill="auto"/>
            <w:noWrap/>
            <w:vAlign w:val="center"/>
            <w:hideMark/>
          </w:tcPr>
          <w:p w14:paraId="48E459BE"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0.96%</w:t>
            </w:r>
          </w:p>
        </w:tc>
      </w:tr>
      <w:tr w:rsidR="00EA2B24" w:rsidRPr="00412B28" w14:paraId="4DA5B69A" w14:textId="77777777" w:rsidTr="00D41708">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222490E"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8596C64"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99FE4AF"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 obradi</w:t>
            </w:r>
          </w:p>
        </w:tc>
        <w:tc>
          <w:tcPr>
            <w:tcW w:w="0" w:type="auto"/>
            <w:tcBorders>
              <w:top w:val="nil"/>
              <w:left w:val="nil"/>
              <w:bottom w:val="single" w:sz="4" w:space="0" w:color="000000"/>
              <w:right w:val="single" w:sz="4" w:space="0" w:color="000000"/>
            </w:tcBorders>
            <w:shd w:val="clear" w:color="auto" w:fill="auto"/>
            <w:noWrap/>
            <w:vAlign w:val="center"/>
            <w:hideMark/>
          </w:tcPr>
          <w:p w14:paraId="3614FBCB"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1098</w:t>
            </w:r>
          </w:p>
        </w:tc>
        <w:tc>
          <w:tcPr>
            <w:tcW w:w="0" w:type="auto"/>
            <w:tcBorders>
              <w:top w:val="nil"/>
              <w:left w:val="nil"/>
              <w:bottom w:val="single" w:sz="4" w:space="0" w:color="000000"/>
              <w:right w:val="single" w:sz="12" w:space="0" w:color="000000"/>
            </w:tcBorders>
            <w:shd w:val="clear" w:color="auto" w:fill="auto"/>
            <w:noWrap/>
            <w:vAlign w:val="center"/>
            <w:hideMark/>
          </w:tcPr>
          <w:p w14:paraId="5E0C7C00"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20.19%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FFE035D"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1017</w:t>
            </w:r>
          </w:p>
        </w:tc>
        <w:tc>
          <w:tcPr>
            <w:tcW w:w="0" w:type="auto"/>
            <w:tcBorders>
              <w:top w:val="nil"/>
              <w:left w:val="nil"/>
              <w:bottom w:val="single" w:sz="4" w:space="0" w:color="000000"/>
              <w:right w:val="single" w:sz="8" w:space="0" w:color="000000"/>
            </w:tcBorders>
            <w:shd w:val="clear" w:color="auto" w:fill="auto"/>
            <w:noWrap/>
            <w:vAlign w:val="center"/>
            <w:hideMark/>
          </w:tcPr>
          <w:p w14:paraId="6ED3C7D2" w14:textId="77777777" w:rsidR="00EA2B24" w:rsidRPr="00412B28" w:rsidRDefault="00EA2B24" w:rsidP="00D41708">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16.75%</w:t>
            </w:r>
          </w:p>
        </w:tc>
      </w:tr>
      <w:tr w:rsidR="00EA2B24" w:rsidRPr="00412B28" w14:paraId="45B04E70" w14:textId="77777777" w:rsidTr="00D41708">
        <w:trPr>
          <w:trHeight w:val="300"/>
        </w:trPr>
        <w:tc>
          <w:tcPr>
            <w:tcW w:w="0" w:type="auto"/>
            <w:vMerge/>
            <w:tcBorders>
              <w:top w:val="nil"/>
              <w:left w:val="single" w:sz="8" w:space="0" w:color="000000"/>
              <w:bottom w:val="single" w:sz="8" w:space="0" w:color="000000"/>
              <w:right w:val="single" w:sz="12" w:space="0" w:color="000000"/>
            </w:tcBorders>
            <w:vAlign w:val="center"/>
            <w:hideMark/>
          </w:tcPr>
          <w:p w14:paraId="695B20C3" w14:textId="77777777" w:rsidR="00EA2B24" w:rsidRPr="00412B28" w:rsidRDefault="00EA2B24" w:rsidP="00D41708">
            <w:pPr>
              <w:spacing w:after="0" w:line="240" w:lineRule="auto"/>
              <w:rPr>
                <w:rFonts w:ascii="Calibri" w:eastAsia="Times New Roman" w:hAnsi="Calibri" w:cs="Calibri"/>
                <w:b/>
                <w:bCs/>
                <w:color w:val="000000"/>
                <w:sz w:val="28"/>
                <w:szCs w:val="28"/>
              </w:rPr>
            </w:pPr>
          </w:p>
        </w:tc>
        <w:tc>
          <w:tcPr>
            <w:tcW w:w="0" w:type="auto"/>
            <w:tcBorders>
              <w:top w:val="nil"/>
              <w:left w:val="nil"/>
              <w:bottom w:val="single" w:sz="8" w:space="0" w:color="000000"/>
              <w:right w:val="single" w:sz="12" w:space="0" w:color="000000"/>
            </w:tcBorders>
            <w:shd w:val="clear" w:color="auto" w:fill="auto"/>
            <w:noWrap/>
            <w:vAlign w:val="bottom"/>
            <w:hideMark/>
          </w:tcPr>
          <w:p w14:paraId="6804CB7A" w14:textId="77777777" w:rsidR="00EA2B24" w:rsidRPr="00412B28" w:rsidRDefault="00EA2B24" w:rsidP="00D41708">
            <w:pPr>
              <w:spacing w:after="0" w:line="240" w:lineRule="auto"/>
              <w:rPr>
                <w:rFonts w:ascii="Calibri" w:eastAsia="Times New Roman" w:hAnsi="Calibri" w:cs="Calibri"/>
                <w:color w:val="000000"/>
              </w:rPr>
            </w:pPr>
            <w:r w:rsidRPr="00412B28">
              <w:rPr>
                <w:rFonts w:ascii="Calibri" w:eastAsia="Times New Roman" w:hAnsi="Calibri" w:cs="Calibri"/>
                <w:color w:val="000000"/>
              </w:rPr>
              <w:t>Upis prava svojine i izdavanje rešenja o kućnom broju</w:t>
            </w:r>
          </w:p>
        </w:tc>
        <w:tc>
          <w:tcPr>
            <w:tcW w:w="0" w:type="auto"/>
            <w:tcBorders>
              <w:top w:val="nil"/>
              <w:left w:val="nil"/>
              <w:bottom w:val="single" w:sz="8" w:space="0" w:color="000000"/>
              <w:right w:val="single" w:sz="12" w:space="0" w:color="000000"/>
            </w:tcBorders>
            <w:shd w:val="clear" w:color="000000" w:fill="DDEBF7"/>
            <w:noWrap/>
            <w:vAlign w:val="bottom"/>
            <w:hideMark/>
          </w:tcPr>
          <w:p w14:paraId="1AFF0414" w14:textId="77777777" w:rsidR="00EA2B24" w:rsidRPr="00412B28" w:rsidRDefault="00EA2B24" w:rsidP="00D41708">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Ukupno</w:t>
            </w:r>
          </w:p>
        </w:tc>
        <w:tc>
          <w:tcPr>
            <w:tcW w:w="0" w:type="auto"/>
            <w:tcBorders>
              <w:top w:val="nil"/>
              <w:left w:val="nil"/>
              <w:bottom w:val="single" w:sz="8" w:space="0" w:color="000000"/>
              <w:right w:val="single" w:sz="4" w:space="0" w:color="000000"/>
            </w:tcBorders>
            <w:shd w:val="clear" w:color="000000" w:fill="D6DCE4"/>
            <w:noWrap/>
            <w:vAlign w:val="center"/>
            <w:hideMark/>
          </w:tcPr>
          <w:p w14:paraId="444C374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5439</w:t>
            </w:r>
          </w:p>
        </w:tc>
        <w:tc>
          <w:tcPr>
            <w:tcW w:w="0" w:type="auto"/>
            <w:tcBorders>
              <w:top w:val="nil"/>
              <w:left w:val="nil"/>
              <w:bottom w:val="single" w:sz="8" w:space="0" w:color="000000"/>
              <w:right w:val="single" w:sz="12" w:space="0" w:color="000000"/>
            </w:tcBorders>
            <w:shd w:val="clear" w:color="000000" w:fill="D6DCE4"/>
            <w:noWrap/>
            <w:vAlign w:val="center"/>
            <w:hideMark/>
          </w:tcPr>
          <w:p w14:paraId="3AF25C1D"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8" w:space="0" w:color="000000"/>
              <w:right w:val="single" w:sz="4" w:space="0" w:color="000000"/>
            </w:tcBorders>
            <w:shd w:val="clear" w:color="000000" w:fill="DDEBF7"/>
            <w:noWrap/>
            <w:vAlign w:val="center"/>
            <w:hideMark/>
          </w:tcPr>
          <w:p w14:paraId="7EC4A7E3"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6073</w:t>
            </w:r>
          </w:p>
        </w:tc>
        <w:tc>
          <w:tcPr>
            <w:tcW w:w="0" w:type="auto"/>
            <w:tcBorders>
              <w:top w:val="nil"/>
              <w:left w:val="nil"/>
              <w:bottom w:val="single" w:sz="8" w:space="0" w:color="000000"/>
              <w:right w:val="single" w:sz="8" w:space="0" w:color="000000"/>
            </w:tcBorders>
            <w:shd w:val="clear" w:color="000000" w:fill="DDEBF7"/>
            <w:noWrap/>
            <w:vAlign w:val="center"/>
            <w:hideMark/>
          </w:tcPr>
          <w:p w14:paraId="5969AA1F" w14:textId="77777777" w:rsidR="00EA2B24" w:rsidRPr="00412B28" w:rsidRDefault="00EA2B24" w:rsidP="00D41708">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bl>
    <w:p w14:paraId="17BDFD1A"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sectPr w:rsidR="00EA2B24" w:rsidRPr="00412B28" w:rsidSect="00A9000B">
          <w:pgSz w:w="15840" w:h="12240" w:orient="landscape" w:code="1"/>
          <w:pgMar w:top="1418" w:right="990" w:bottom="1418" w:left="1418" w:header="720" w:footer="720" w:gutter="0"/>
          <w:cols w:space="720"/>
          <w:titlePg/>
          <w:docGrid w:linePitch="360"/>
        </w:sectPr>
      </w:pPr>
    </w:p>
    <w:p w14:paraId="6EA37CD3"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p>
    <w:p w14:paraId="10F89534"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broj donetih planskih dokumenata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kao rezultat implementacije zakona i propisa koji uređuju oblasti planiranja i izgradnje (Predloženim izmenama zakona je predviđeno da se ova praksa unapredi i da obnavljanjem Centralnog registra planskih dokumenata i zaduživanjem Agencije da ovaj registar vodi, postoje ažurni podaci o važećim planskim dokumentima u Republici, kao i da planski dokumenti budu dostupni, kao i svi drugi opšti akti).</w:t>
      </w:r>
    </w:p>
    <w:p w14:paraId="2B80AAC2"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color w:val="7030A0"/>
          <w:sz w:val="24"/>
          <w:szCs w:val="24"/>
          <w:lang w:val="sr-Cyrl-RS"/>
        </w:rPr>
      </w:pPr>
    </w:p>
    <w:p w14:paraId="0223972B"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broj izdatih sertifikata zelene gradnje</w:t>
      </w:r>
      <w:r w:rsidRPr="00412B28">
        <w:rPr>
          <w:rFonts w:ascii="Times New Roman" w:hAnsi="Times New Roman" w:cs="Times New Roman"/>
          <w:sz w:val="24"/>
          <w:szCs w:val="24"/>
        </w:rPr>
        <w:t xml:space="preserve"> - </w:t>
      </w:r>
      <w:r>
        <w:rPr>
          <w:rFonts w:ascii="Times New Roman" w:hAnsi="Times New Roman" w:cs="Times New Roman"/>
          <w:sz w:val="24"/>
          <w:szCs w:val="24"/>
          <w:lang w:val="sr-Cyrl-RS"/>
        </w:rPr>
        <w:t>Predlogom</w:t>
      </w:r>
      <w:r w:rsidRPr="00412B28">
        <w:rPr>
          <w:rFonts w:ascii="Times New Roman" w:hAnsi="Times New Roman" w:cs="Times New Roman"/>
          <w:sz w:val="24"/>
          <w:szCs w:val="24"/>
          <w:lang w:val="sr-Cyrl-RS"/>
        </w:rPr>
        <w:t xml:space="preserve"> zakona predvi</w:t>
      </w:r>
      <w:r>
        <w:rPr>
          <w:rFonts w:ascii="Times New Roman" w:hAnsi="Times New Roman" w:cs="Times New Roman"/>
          <w:sz w:val="24"/>
          <w:szCs w:val="24"/>
          <w:lang w:val="sr-Cyrl-RS"/>
        </w:rPr>
        <w:t>đ</w:t>
      </w:r>
      <w:r w:rsidRPr="00412B28">
        <w:rPr>
          <w:rFonts w:ascii="Times New Roman" w:hAnsi="Times New Roman" w:cs="Times New Roman"/>
          <w:sz w:val="24"/>
          <w:szCs w:val="24"/>
          <w:lang w:val="sr-Cyrl-RS"/>
        </w:rPr>
        <w:t>eno je da novoformirana Agencija za prostorno planiranje i urbanizam Republike Srbije, izdaje odnosno potvrđuje sertifikate zelene gradnje. Dakle, u pitanju je nov institut pa je broj izdatih sertifikata ovoga tipa, u ovom trenutku</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jednak 0</w:t>
      </w:r>
      <w:r w:rsidRPr="00412B28">
        <w:rPr>
          <w:rFonts w:ascii="Times New Roman" w:hAnsi="Times New Roman" w:cs="Times New Roman"/>
          <w:sz w:val="24"/>
          <w:szCs w:val="24"/>
        </w:rPr>
        <w:t>,</w:t>
      </w:r>
    </w:p>
    <w:p w14:paraId="2A6AF310"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broj aktivnih gradilišta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zaključno</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sa</w:t>
      </w:r>
      <w:r w:rsidRPr="00412B28">
        <w:rPr>
          <w:rFonts w:ascii="Times New Roman" w:hAnsi="Times New Roman" w:cs="Times New Roman"/>
          <w:sz w:val="24"/>
          <w:szCs w:val="24"/>
        </w:rPr>
        <w:t xml:space="preserve"> 31.11.2022. </w:t>
      </w:r>
      <w:r w:rsidRPr="00412B28">
        <w:rPr>
          <w:rFonts w:ascii="Times New Roman" w:hAnsi="Times New Roman" w:cs="Times New Roman"/>
          <w:sz w:val="24"/>
          <w:szCs w:val="24"/>
          <w:lang w:val="sr-Cyrl-RS"/>
        </w:rPr>
        <w:t>godine iznosio je 117.609.</w:t>
      </w:r>
    </w:p>
    <w:p w14:paraId="63FB6742" w14:textId="77777777" w:rsidR="00EA2B24" w:rsidRPr="00412B28" w:rsidRDefault="00EA2B24" w:rsidP="00CB41F0">
      <w:pPr>
        <w:shd w:val="clear" w:color="auto" w:fill="C6D9F1" w:themeFill="text2" w:themeFillTint="33"/>
        <w:spacing w:after="0" w:line="276" w:lineRule="auto"/>
        <w:jc w:val="both"/>
        <w:rPr>
          <w:rFonts w:ascii="Times New Roman" w:hAnsi="Times New Roman" w:cs="Times New Roman"/>
          <w:sz w:val="24"/>
          <w:szCs w:val="24"/>
          <w:lang w:val="sr-Cyrl-RS"/>
        </w:rPr>
      </w:pPr>
    </w:p>
    <w:p w14:paraId="3EB53388" w14:textId="77777777" w:rsidR="00EA2B24" w:rsidRPr="00412B28" w:rsidRDefault="00EA2B24" w:rsidP="00CB41F0">
      <w:pPr>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Bitni pokazatelji jesu i osnovni makroekonomski pokazatelji koji opisuju stanje privrede poput kretanja</w:t>
      </w:r>
      <w:r w:rsidRPr="00412B28">
        <w:rPr>
          <w:rFonts w:ascii="Times New Roman" w:hAnsi="Times New Roman" w:cs="Times New Roman"/>
          <w:sz w:val="24"/>
          <w:szCs w:val="24"/>
        </w:rPr>
        <w:t>:</w:t>
      </w:r>
    </w:p>
    <w:p w14:paraId="4886B91B"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rPr>
      </w:pPr>
    </w:p>
    <w:p w14:paraId="73780C55"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bruto društvenog proizvoda, </w:t>
      </w:r>
    </w:p>
    <w:p w14:paraId="5F7E1CAD"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i/>
          <w:iCs/>
          <w:noProof/>
          <w:sz w:val="24"/>
          <w:szCs w:val="24"/>
        </w:rPr>
        <mc:AlternateContent>
          <mc:Choice Requires="wps">
            <w:drawing>
              <wp:anchor distT="0" distB="0" distL="114300" distR="114300" simplePos="0" relativeHeight="251660288" behindDoc="0" locked="0" layoutInCell="1" allowOverlap="1" wp14:anchorId="52B7CB35" wp14:editId="6FFB831F">
                <wp:simplePos x="0" y="0"/>
                <wp:positionH relativeFrom="column">
                  <wp:posOffset>2170430</wp:posOffset>
                </wp:positionH>
                <wp:positionV relativeFrom="paragraph">
                  <wp:posOffset>200660</wp:posOffset>
                </wp:positionV>
                <wp:extent cx="2636520" cy="228600"/>
                <wp:effectExtent l="0" t="0" r="0" b="0"/>
                <wp:wrapNone/>
                <wp:docPr id="5" name="Text Box 5"/>
                <wp:cNvGraphicFramePr/>
                <a:graphic xmlns:a="http://schemas.openxmlformats.org/drawingml/2006/main">
                  <a:graphicData uri="http://schemas.microsoft.com/office/word/2010/wordprocessingShape">
                    <wps:wsp>
                      <wps:cNvSpPr txBox="1"/>
                      <wps:spPr>
                        <a:xfrm>
                          <a:off x="0" y="0"/>
                          <a:ext cx="2636520" cy="228600"/>
                        </a:xfrm>
                        <a:prstGeom prst="rect">
                          <a:avLst/>
                        </a:prstGeom>
                        <a:solidFill>
                          <a:schemeClr val="lt1"/>
                        </a:solidFill>
                        <a:ln w="6350">
                          <a:noFill/>
                        </a:ln>
                      </wps:spPr>
                      <wps:txbx>
                        <w:txbxContent>
                          <w:p w14:paraId="3AD7D161" w14:textId="77777777" w:rsidR="00EA2B24" w:rsidRPr="00EC48B0" w:rsidRDefault="00EA2B24" w:rsidP="00CB41F0">
                            <w:pPr>
                              <w:rPr>
                                <w:b/>
                                <w:bCs/>
                                <w:sz w:val="16"/>
                                <w:szCs w:val="16"/>
                                <w:lang w:val="sr-Cyrl-RS"/>
                              </w:rPr>
                            </w:pPr>
                            <w:r w:rsidRPr="00EC48B0">
                              <w:rPr>
                                <w:b/>
                                <w:bCs/>
                                <w:sz w:val="16"/>
                                <w:szCs w:val="16"/>
                                <w:lang w:val="sr-Cyrl-RS"/>
                              </w:rPr>
                              <w:t>Bruto</w:t>
                            </w:r>
                            <w:r>
                              <w:rPr>
                                <w:b/>
                                <w:bCs/>
                                <w:sz w:val="16"/>
                                <w:szCs w:val="16"/>
                                <w:lang w:val="sr-Cyrl-RS"/>
                              </w:rPr>
                              <w:t xml:space="preserve"> </w:t>
                            </w:r>
                            <w:r w:rsidRPr="00EC48B0">
                              <w:rPr>
                                <w:b/>
                                <w:bCs/>
                                <w:sz w:val="16"/>
                                <w:szCs w:val="16"/>
                                <w:lang w:val="sr-Cyrl-RS"/>
                              </w:rPr>
                              <w:t>domaći proizvod i nacionalni dohodak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B7CB35" id="Text Box 5" o:spid="_x0000_s1027" type="#_x0000_t202" style="position:absolute;left:0;text-align:left;margin-left:170.9pt;margin-top:15.8pt;width:207.6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" fillcolor="white [3201]" stroked="f" strokeweight=".5pt">
                <v:textbox>
                  <w:txbxContent>
                    <w:p w14:paraId="3AD7D161" w14:textId="77777777" w:rsidR="00EA2B24" w:rsidRPr="00EC48B0" w:rsidRDefault="00EA2B24" w:rsidP="00CB41F0">
                      <w:pPr>
                        <w:rPr>
                          <w:b/>
                          <w:bCs/>
                          <w:sz w:val="16"/>
                          <w:szCs w:val="16"/>
                          <w:lang w:val="sr-Cyrl-RS"/>
                        </w:rPr>
                      </w:pPr>
                      <w:r w:rsidRPr="00EC48B0">
                        <w:rPr>
                          <w:b/>
                          <w:bCs/>
                          <w:sz w:val="16"/>
                          <w:szCs w:val="16"/>
                          <w:lang w:val="sr-Cyrl-RS"/>
                        </w:rPr>
                        <w:t>Bruto</w:t>
                      </w:r>
                      <w:r>
                        <w:rPr>
                          <w:b/>
                          <w:bCs/>
                          <w:sz w:val="16"/>
                          <w:szCs w:val="16"/>
                          <w:lang w:val="sr-Cyrl-RS"/>
                        </w:rPr>
                        <w:t xml:space="preserve"> </w:t>
                      </w:r>
                      <w:r w:rsidRPr="00EC48B0">
                        <w:rPr>
                          <w:b/>
                          <w:bCs/>
                          <w:sz w:val="16"/>
                          <w:szCs w:val="16"/>
                          <w:lang w:val="sr-Cyrl-RS"/>
                        </w:rPr>
                        <w:t>domaći proizvod i nacionalni dohodak</w:t>
                      </w:r>
                    </w:p>
                  </w:txbxContent>
                </v:textbox>
              </v:shape>
            </w:pict>
          </mc:Fallback>
        </mc:AlternateContent>
      </w:r>
      <w:r w:rsidRPr="00412B28">
        <w:rPr>
          <w:rFonts w:ascii="Times New Roman" w:hAnsi="Times New Roman" w:cs="Times New Roman"/>
          <w:sz w:val="24"/>
          <w:szCs w:val="24"/>
          <w:lang w:val="sr-Cyrl-RS"/>
        </w:rPr>
        <w:t xml:space="preserve">nacionalnog dohotka, </w:t>
      </w:r>
    </w:p>
    <w:p w14:paraId="041F062C" w14:textId="77777777" w:rsidR="00EA2B24" w:rsidRPr="00412B28" w:rsidRDefault="00EA2B24" w:rsidP="00CB41F0">
      <w:pPr>
        <w:shd w:val="clear" w:color="auto" w:fill="C6D9F1" w:themeFill="text2" w:themeFillTint="33"/>
        <w:spacing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1EE2386C" wp14:editId="679B39F5">
            <wp:extent cx="5971540" cy="14909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71540" cy="1490980"/>
                    </a:xfrm>
                    <a:prstGeom prst="rect">
                      <a:avLst/>
                    </a:prstGeom>
                  </pic:spPr>
                </pic:pic>
              </a:graphicData>
            </a:graphic>
          </wp:inline>
        </w:drawing>
      </w:r>
    </w:p>
    <w:p w14:paraId="353C79FC"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p>
    <w:p w14:paraId="6C2094A2" w14:textId="77777777" w:rsidR="00EA2B24" w:rsidRPr="00412B28" w:rsidRDefault="00EA2B24" w:rsidP="00CB41F0">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Doprinos građevinarstva bruto društvenom proizvodu Republike Srbije</w:t>
      </w:r>
    </w:p>
    <w:p w14:paraId="38F2EDC2"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Tabela</w:t>
      </w:r>
      <w:r w:rsidRPr="00412B28">
        <w:rPr>
          <w:rFonts w:ascii="Times New Roman" w:hAnsi="Times New Roman" w:cs="Times New Roman"/>
          <w:i/>
          <w:iCs/>
          <w:sz w:val="24"/>
          <w:szCs w:val="24"/>
        </w:rPr>
        <w:t xml:space="preserve">. </w:t>
      </w:r>
      <w:r w:rsidRPr="00412B28">
        <w:rPr>
          <w:rFonts w:ascii="Times New Roman" w:hAnsi="Times New Roman" w:cs="Times New Roman"/>
          <w:i/>
          <w:iCs/>
          <w:sz w:val="24"/>
          <w:szCs w:val="24"/>
          <w:lang w:val="sr-Cyrl-RS"/>
        </w:rPr>
        <w:t>Bruto dodata vrednost i bruto društveni proizvod, tekuće cene, 2021. i 2022. godina</w:t>
      </w:r>
    </w:p>
    <w:p w14:paraId="5A97FC53" w14:textId="77777777" w:rsidR="00EA2B24" w:rsidRPr="00412B28" w:rsidRDefault="00EA2B24" w:rsidP="00CB41F0">
      <w:pPr>
        <w:ind w:firstLine="720"/>
        <w:rPr>
          <w:lang w:val="sr-Cyrl-RS"/>
        </w:rPr>
      </w:pPr>
      <w:r w:rsidRPr="00412B28">
        <w:rPr>
          <w:noProof/>
        </w:rPr>
        <w:lastRenderedPageBreak/>
        <w:drawing>
          <wp:inline distT="0" distB="0" distL="0" distR="0" wp14:anchorId="490B6B15" wp14:editId="5617E0DD">
            <wp:extent cx="4968240" cy="273295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78875" cy="2738805"/>
                    </a:xfrm>
                    <a:prstGeom prst="rect">
                      <a:avLst/>
                    </a:prstGeom>
                    <a:noFill/>
                    <a:ln>
                      <a:noFill/>
                    </a:ln>
                  </pic:spPr>
                </pic:pic>
              </a:graphicData>
            </a:graphic>
          </wp:inline>
        </w:drawing>
      </w:r>
    </w:p>
    <w:p w14:paraId="13B7D59F" w14:textId="77777777" w:rsidR="00EA2B24" w:rsidRPr="00412B28" w:rsidRDefault="00EA2B24" w:rsidP="00CB41F0">
      <w:pPr>
        <w:ind w:firstLine="720"/>
        <w:rPr>
          <w:lang w:val="sr-Cyrl-RS"/>
        </w:rPr>
      </w:pPr>
      <w:r w:rsidRPr="00412B28">
        <w:rPr>
          <w:noProof/>
        </w:rPr>
        <w:drawing>
          <wp:inline distT="0" distB="0" distL="0" distR="0" wp14:anchorId="6D1A6F20" wp14:editId="2A260D98">
            <wp:extent cx="5971540" cy="226187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71540" cy="2261870"/>
                    </a:xfrm>
                    <a:prstGeom prst="rect">
                      <a:avLst/>
                    </a:prstGeom>
                  </pic:spPr>
                </pic:pic>
              </a:graphicData>
            </a:graphic>
          </wp:inline>
        </w:drawing>
      </w:r>
    </w:p>
    <w:p w14:paraId="0E8AE398" w14:textId="77777777" w:rsidR="00EA2B24" w:rsidRPr="00412B28" w:rsidRDefault="00EA2B24" w:rsidP="00CB41F0">
      <w:pPr>
        <w:ind w:firstLine="720"/>
        <w:rPr>
          <w:lang w:val="sr-Cyrl-RS"/>
        </w:rPr>
      </w:pPr>
      <w:r w:rsidRPr="00412B28">
        <w:rPr>
          <w:noProof/>
        </w:rPr>
        <w:drawing>
          <wp:inline distT="0" distB="0" distL="0" distR="0" wp14:anchorId="10E45A83" wp14:editId="23710259">
            <wp:extent cx="5090160" cy="278811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98921" cy="2792912"/>
                    </a:xfrm>
                    <a:prstGeom prst="rect">
                      <a:avLst/>
                    </a:prstGeom>
                    <a:noFill/>
                    <a:ln>
                      <a:noFill/>
                    </a:ln>
                  </pic:spPr>
                </pic:pic>
              </a:graphicData>
            </a:graphic>
          </wp:inline>
        </w:drawing>
      </w:r>
    </w:p>
    <w:p w14:paraId="014A05DB" w14:textId="77777777" w:rsidR="00EA2B24" w:rsidRPr="00412B28" w:rsidRDefault="00EA2B24" w:rsidP="00CB41F0">
      <w:pPr>
        <w:ind w:firstLine="720"/>
        <w:rPr>
          <w:lang w:val="sr-Cyrl-RS"/>
        </w:rPr>
      </w:pPr>
      <w:r w:rsidRPr="00412B28">
        <w:rPr>
          <w:noProof/>
        </w:rPr>
        <w:lastRenderedPageBreak/>
        <w:drawing>
          <wp:inline distT="0" distB="0" distL="0" distR="0" wp14:anchorId="4173D0FF" wp14:editId="1325971D">
            <wp:extent cx="5971540" cy="228536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71540" cy="2285365"/>
                    </a:xfrm>
                    <a:prstGeom prst="rect">
                      <a:avLst/>
                    </a:prstGeom>
                  </pic:spPr>
                </pic:pic>
              </a:graphicData>
            </a:graphic>
          </wp:inline>
        </w:drawing>
      </w:r>
    </w:p>
    <w:p w14:paraId="0FCF488D"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i/>
          <w:iCs/>
          <w:noProof/>
          <w:sz w:val="24"/>
          <w:szCs w:val="24"/>
        </w:rPr>
        <mc:AlternateContent>
          <mc:Choice Requires="wps">
            <w:drawing>
              <wp:anchor distT="0" distB="0" distL="114300" distR="114300" simplePos="0" relativeHeight="251661312" behindDoc="0" locked="0" layoutInCell="1" allowOverlap="1" wp14:anchorId="2422EA29" wp14:editId="6A7DEA54">
                <wp:simplePos x="0" y="0"/>
                <wp:positionH relativeFrom="column">
                  <wp:posOffset>1941830</wp:posOffset>
                </wp:positionH>
                <wp:positionV relativeFrom="paragraph">
                  <wp:posOffset>3810</wp:posOffset>
                </wp:positionV>
                <wp:extent cx="3779520" cy="617220"/>
                <wp:effectExtent l="0" t="0" r="0" b="0"/>
                <wp:wrapNone/>
                <wp:docPr id="8" name="Text Box 8"/>
                <wp:cNvGraphicFramePr/>
                <a:graphic xmlns:a="http://schemas.openxmlformats.org/drawingml/2006/main">
                  <a:graphicData uri="http://schemas.microsoft.com/office/word/2010/wordprocessingShape">
                    <wps:wsp>
                      <wps:cNvSpPr txBox="1"/>
                      <wps:spPr>
                        <a:xfrm>
                          <a:off x="0" y="0"/>
                          <a:ext cx="3779520" cy="617220"/>
                        </a:xfrm>
                        <a:prstGeom prst="rect">
                          <a:avLst/>
                        </a:prstGeom>
                        <a:solidFill>
                          <a:sysClr val="window" lastClr="FFFFFF"/>
                        </a:solidFill>
                        <a:ln w="6350">
                          <a:noFill/>
                        </a:ln>
                      </wps:spPr>
                      <wps:txbx>
                        <w:txbxContent>
                          <w:p w14:paraId="048855ED" w14:textId="77777777" w:rsidR="00EA2B24" w:rsidRPr="00EF45F6" w:rsidRDefault="00EA2B24" w:rsidP="00CB41F0">
                            <w:pPr>
                              <w:jc w:val="center"/>
                              <w:rPr>
                                <w:b/>
                                <w:bCs/>
                                <w:sz w:val="18"/>
                                <w:szCs w:val="18"/>
                                <w:lang w:val="sr-Cyrl-RS"/>
                              </w:rPr>
                            </w:pPr>
                            <w:r w:rsidRPr="00EF45F6">
                              <w:rPr>
                                <w:b/>
                                <w:bCs/>
                                <w:sz w:val="18"/>
                                <w:szCs w:val="18"/>
                                <w:lang w:val="sr-Cyrl-RS"/>
                              </w:rPr>
                              <w:t>Bruto dodata vrednost, po delatnostima, i bruto domaći proizvod</w:t>
                            </w:r>
                          </w:p>
                          <w:p w14:paraId="7D5516D9" w14:textId="77777777" w:rsidR="00EA2B24" w:rsidRPr="00EF45F6" w:rsidRDefault="00EA2B24" w:rsidP="00CB41F0">
                            <w:pPr>
                              <w:jc w:val="center"/>
                              <w:rPr>
                                <w:b/>
                                <w:bCs/>
                                <w:sz w:val="18"/>
                                <w:szCs w:val="18"/>
                                <w:lang w:val="sr-Cyrl-RS"/>
                              </w:rPr>
                            </w:pPr>
                            <w:r w:rsidRPr="00EF45F6">
                              <w:rPr>
                                <w:b/>
                                <w:bCs/>
                                <w:sz w:val="18"/>
                                <w:szCs w:val="18"/>
                                <w:lang w:val="sr-Cyrl-RS"/>
                              </w:rPr>
                              <w:t>Stalne cene prethodne godine</w:t>
                            </w:r>
                          </w:p>
                          <w:p w14:paraId="445A740C" w14:textId="77777777" w:rsidR="00EA2B24" w:rsidRPr="00BA23F8" w:rsidRDefault="00EA2B24" w:rsidP="00CB41F0">
                            <w:pPr>
                              <w:rPr>
                                <w:b/>
                                <w:bCs/>
                                <w:sz w:val="16"/>
                                <w:szCs w:val="16"/>
                                <w:lang w:val="sr-Cyrl-R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22EA29" id="Text Box 8" o:spid="_x0000_s1028" type="#_x0000_t202" style="position:absolute;left:0;text-align:left;margin-left:152.9pt;margin-top:.3pt;width:297.6pt;height:48.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" fillcolor="window" stroked="f" strokeweight=".5pt">
                <v:textbox>
                  <w:txbxContent>
                    <w:p w14:paraId="048855ED" w14:textId="77777777" w:rsidR="00EA2B24" w:rsidRPr="00EF45F6" w:rsidRDefault="00EA2B24" w:rsidP="00CB41F0">
                      <w:pPr>
                        <w:jc w:val="center"/>
                        <w:rPr>
                          <w:b/>
                          <w:bCs/>
                          <w:sz w:val="18"/>
                          <w:szCs w:val="18"/>
                          <w:lang w:val="sr-Cyrl-RS"/>
                        </w:rPr>
                      </w:pPr>
                      <w:r w:rsidRPr="00EF45F6">
                        <w:rPr>
                          <w:b/>
                          <w:bCs/>
                          <w:sz w:val="18"/>
                          <w:szCs w:val="18"/>
                          <w:lang w:val="sr-Cyrl-RS"/>
                        </w:rPr>
                        <w:t>Bruto dodata vrednost, po delatnostima, i bruto domaći proizvod</w:t>
                      </w:r>
                    </w:p>
                    <w:p w14:paraId="7D5516D9" w14:textId="77777777" w:rsidR="00EA2B24" w:rsidRPr="00EF45F6" w:rsidRDefault="00EA2B24" w:rsidP="00CB41F0">
                      <w:pPr>
                        <w:jc w:val="center"/>
                        <w:rPr>
                          <w:b/>
                          <w:bCs/>
                          <w:sz w:val="18"/>
                          <w:szCs w:val="18"/>
                          <w:lang w:val="sr-Cyrl-RS"/>
                        </w:rPr>
                      </w:pPr>
                      <w:r w:rsidRPr="00EF45F6">
                        <w:rPr>
                          <w:b/>
                          <w:bCs/>
                          <w:sz w:val="18"/>
                          <w:szCs w:val="18"/>
                          <w:lang w:val="sr-Cyrl-RS"/>
                        </w:rPr>
                        <w:t>Stalne cene prethodne godine</w:t>
                      </w:r>
                    </w:p>
                    <w:p w14:paraId="445A740C" w14:textId="77777777" w:rsidR="00EA2B24" w:rsidRPr="00BA23F8" w:rsidRDefault="00EA2B24" w:rsidP="00CB41F0">
                      <w:pPr>
                        <w:rPr>
                          <w:b/>
                          <w:bCs/>
                          <w:sz w:val="16"/>
                          <w:szCs w:val="16"/>
                          <w:lang w:val="sr-Cyrl-RS"/>
                        </w:rPr>
                      </w:pPr>
                    </w:p>
                  </w:txbxContent>
                </v:textbox>
              </v:shape>
            </w:pict>
          </mc:Fallback>
        </mc:AlternateContent>
      </w:r>
      <w:r w:rsidRPr="00412B28">
        <w:rPr>
          <w:rFonts w:ascii="Times New Roman" w:hAnsi="Times New Roman" w:cs="Times New Roman"/>
          <w:noProof/>
          <w:sz w:val="24"/>
          <w:szCs w:val="24"/>
        </w:rPr>
        <w:drawing>
          <wp:inline distT="0" distB="0" distL="0" distR="0" wp14:anchorId="7B9384A2" wp14:editId="65543F2C">
            <wp:extent cx="5971540" cy="3771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71540" cy="3771900"/>
                    </a:xfrm>
                    <a:prstGeom prst="rect">
                      <a:avLst/>
                    </a:prstGeom>
                  </pic:spPr>
                </pic:pic>
              </a:graphicData>
            </a:graphic>
          </wp:inline>
        </w:drawing>
      </w:r>
    </w:p>
    <w:p w14:paraId="1E1F0039"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p>
    <w:p w14:paraId="26585620"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noProof/>
          <w:sz w:val="24"/>
          <w:szCs w:val="24"/>
        </w:rPr>
        <w:lastRenderedPageBreak/>
        <w:drawing>
          <wp:inline distT="0" distB="0" distL="0" distR="0" wp14:anchorId="6C0872CB" wp14:editId="1B28C099">
            <wp:extent cx="5971540" cy="28270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71540" cy="2827020"/>
                    </a:xfrm>
                    <a:prstGeom prst="rect">
                      <a:avLst/>
                    </a:prstGeom>
                  </pic:spPr>
                </pic:pic>
              </a:graphicData>
            </a:graphic>
          </wp:inline>
        </w:drawing>
      </w:r>
    </w:p>
    <w:p w14:paraId="25ECC96E"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Razlozi za praćenje pomenutih pokazatelja povezani su sa praćenjem opšteg stanja građevinske industrije u Republici Srbiji i doprinosa ove grane industrije kreiranju bruto društvenog proizvoda Republike Srbije.</w:t>
      </w:r>
    </w:p>
    <w:p w14:paraId="07F83AD9" w14:textId="77777777" w:rsidR="00EA2B24" w:rsidRPr="00412B28" w:rsidRDefault="00EA2B24" w:rsidP="00CB41F0">
      <w:pPr>
        <w:pStyle w:val="ListParagraph"/>
        <w:shd w:val="clear" w:color="auto" w:fill="C6D9F1" w:themeFill="text2" w:themeFillTint="33"/>
        <w:spacing w:after="0" w:line="276" w:lineRule="auto"/>
        <w:ind w:left="360"/>
        <w:jc w:val="both"/>
        <w:rPr>
          <w:rFonts w:ascii="Times New Roman" w:hAnsi="Times New Roman" w:cs="Times New Roman"/>
          <w:sz w:val="24"/>
          <w:szCs w:val="24"/>
          <w:lang w:val="sr-Cyrl-RS"/>
        </w:rPr>
      </w:pPr>
    </w:p>
    <w:p w14:paraId="58F6434D" w14:textId="77777777" w:rsidR="00EA2B24" w:rsidRPr="00412B28" w:rsidRDefault="00EA2B24" w:rsidP="00CB41F0">
      <w:pPr>
        <w:pStyle w:val="ListParagraph"/>
        <w:shd w:val="clear" w:color="auto" w:fill="C6D9F1" w:themeFill="text2" w:themeFillTint="33"/>
        <w:spacing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Izmenama i dopunama Zakona o planiranju i izgradnji je, između ostalog, predviđeno ukidanje dva </w:t>
      </w:r>
      <w:r w:rsidRPr="00412B28">
        <w:rPr>
          <w:rFonts w:ascii="Times New Roman" w:hAnsi="Times New Roman" w:cs="Times New Roman"/>
          <w:sz w:val="24"/>
          <w:szCs w:val="24"/>
        </w:rPr>
        <w:t>Lex Specialis</w:t>
      </w:r>
      <w:r w:rsidRPr="00412B28">
        <w:rPr>
          <w:rFonts w:ascii="Times New Roman" w:hAnsi="Times New Roman" w:cs="Times New Roman"/>
          <w:sz w:val="24"/>
          <w:szCs w:val="24"/>
          <w:lang w:val="sr-Cyrl-RS"/>
        </w:rPr>
        <w:t>a i to</w:t>
      </w:r>
      <w:r w:rsidRPr="00412B28">
        <w:rPr>
          <w:rFonts w:ascii="Times New Roman" w:hAnsi="Times New Roman" w:cs="Times New Roman"/>
          <w:sz w:val="24"/>
          <w:szCs w:val="24"/>
        </w:rPr>
        <w:t>:</w:t>
      </w:r>
    </w:p>
    <w:p w14:paraId="7A80C676" w14:textId="77777777" w:rsidR="00EA2B24" w:rsidRPr="00412B28" w:rsidRDefault="00EA2B24" w:rsidP="00CB41F0">
      <w:pPr>
        <w:pStyle w:val="ListParagraph"/>
        <w:numPr>
          <w:ilvl w:val="0"/>
          <w:numId w:val="22"/>
        </w:numPr>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Ukidanje Zakona o pretvaranju prava korišćenja u pravo svojine na građevinskom zemljištu uz naknadu</w:t>
      </w:r>
      <w:r w:rsidRPr="00412B28">
        <w:rPr>
          <w:rFonts w:ascii="Times New Roman" w:hAnsi="Times New Roman" w:cs="Times New Roman"/>
          <w:sz w:val="24"/>
          <w:szCs w:val="24"/>
        </w:rPr>
        <w:t>;</w:t>
      </w:r>
    </w:p>
    <w:p w14:paraId="394A8B2A"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rPr>
      </w:pPr>
    </w:p>
    <w:p w14:paraId="7BC98C1E" w14:textId="77777777" w:rsidR="00EA2B24" w:rsidRPr="00412B28" w:rsidRDefault="00EA2B24" w:rsidP="00CB41F0">
      <w:pPr>
        <w:pStyle w:val="ListParagraph"/>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U vezi sa ovom merom predviđenom Zakonom, prate se sledeći pokazatelji</w:t>
      </w:r>
      <w:r w:rsidRPr="00412B28">
        <w:rPr>
          <w:rFonts w:ascii="Times New Roman" w:hAnsi="Times New Roman" w:cs="Times New Roman"/>
          <w:sz w:val="24"/>
          <w:szCs w:val="24"/>
        </w:rPr>
        <w:t>:</w:t>
      </w:r>
    </w:p>
    <w:p w14:paraId="7E114E22" w14:textId="77777777" w:rsidR="00EA2B24" w:rsidRPr="00412B28" w:rsidRDefault="00EA2B24" w:rsidP="00CB41F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Procenjena površina objekata koja će se potencijalno izgraditi po osnovu ove izmene Zakona</w:t>
      </w:r>
      <w:r w:rsidRPr="00412B28">
        <w:rPr>
          <w:rFonts w:ascii="Times New Roman" w:hAnsi="Times New Roman" w:cs="Times New Roman"/>
          <w:sz w:val="24"/>
          <w:szCs w:val="24"/>
        </w:rPr>
        <w:t xml:space="preserve"> - </w:t>
      </w:r>
      <w:r w:rsidRPr="00412B28">
        <w:rPr>
          <w:rFonts w:ascii="Times New Roman" w:hAnsi="Times New Roman" w:cs="Times New Roman"/>
          <w:sz w:val="24"/>
          <w:szCs w:val="24"/>
          <w:lang w:val="sr-Cyrl-RS"/>
        </w:rPr>
        <w:t xml:space="preserve">Procenjeno je da će izmena dovesti do ''oslobađanja'' odgovarajućeg obima građevinskog zemljišta za izgradnju, što potencijalno, </w:t>
      </w:r>
      <w:r w:rsidRPr="00412B28">
        <w:rPr>
          <w:rFonts w:ascii="Times New Roman" w:hAnsi="Times New Roman" w:cs="Times New Roman"/>
          <w:b/>
          <w:bCs/>
          <w:sz w:val="24"/>
          <w:szCs w:val="24"/>
          <w:lang w:val="sr-Cyrl-RS"/>
        </w:rPr>
        <w:t>u dugom roku</w:t>
      </w:r>
      <w:r w:rsidRPr="00412B28">
        <w:rPr>
          <w:rFonts w:ascii="Times New Roman" w:hAnsi="Times New Roman" w:cs="Times New Roman"/>
          <w:sz w:val="24"/>
          <w:szCs w:val="24"/>
          <w:lang w:val="sr-Cyrl-RS"/>
        </w:rPr>
        <w:t xml:space="preserve">, može dovesti do izgradnje objekata površine oko </w:t>
      </w:r>
      <w:r w:rsidRPr="00412B28">
        <w:rPr>
          <w:rFonts w:ascii="Times New Roman" w:hAnsi="Times New Roman" w:cs="Times New Roman"/>
          <w:b/>
          <w:bCs/>
          <w:sz w:val="24"/>
          <w:szCs w:val="24"/>
          <w:lang w:val="sr-Cyrl-RS"/>
        </w:rPr>
        <w:t>15,000,000 m</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sz w:val="24"/>
          <w:szCs w:val="24"/>
          <w:lang w:val="sr-Cyrl-RS"/>
        </w:rPr>
        <w:t xml:space="preserve">. </w:t>
      </w:r>
    </w:p>
    <w:p w14:paraId="78EF7CA3" w14:textId="77777777" w:rsidR="00EA2B24" w:rsidRPr="00412B28" w:rsidRDefault="00EA2B24" w:rsidP="00CB41F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Broj građevinskih i upotrebnih dozvola koji će se potencijalno izdati po osnovu izgradnje na predmetnim površinama</w:t>
      </w:r>
      <w:r w:rsidRPr="00412B28">
        <w:rPr>
          <w:rFonts w:ascii="Times New Roman" w:hAnsi="Times New Roman" w:cs="Times New Roman"/>
          <w:sz w:val="24"/>
          <w:szCs w:val="24"/>
          <w:lang w:val="sr-Latn-RS"/>
        </w:rPr>
        <w:t xml:space="preserve"> </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procenjeno je da je trenutno na teritoriji Republike Srbije 5,000 ovakvih lokacija, dakle da će, u slučaju izgradnje, biti izdato </w:t>
      </w:r>
      <w:r w:rsidRPr="00412B28">
        <w:rPr>
          <w:rFonts w:ascii="Times New Roman" w:hAnsi="Times New Roman" w:cs="Times New Roman"/>
          <w:b/>
          <w:bCs/>
          <w:sz w:val="24"/>
          <w:szCs w:val="24"/>
          <w:lang w:val="sr-Cyrl-RS"/>
        </w:rPr>
        <w:t>5,000 građevinskih i 5,000 upotrebnih dozvola.</w:t>
      </w:r>
      <w:r w:rsidRPr="00412B28">
        <w:rPr>
          <w:rFonts w:ascii="Times New Roman" w:hAnsi="Times New Roman" w:cs="Times New Roman"/>
          <w:b/>
          <w:bCs/>
          <w:sz w:val="24"/>
          <w:szCs w:val="24"/>
        </w:rPr>
        <w:t xml:space="preserve"> </w:t>
      </w:r>
    </w:p>
    <w:p w14:paraId="168D7706" w14:textId="77777777" w:rsidR="00EA2B24" w:rsidRPr="00412B28" w:rsidRDefault="00EA2B24" w:rsidP="00CB41F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Broj građevinskih radnika koji će se potencijalno zaposliti na gradilištima koja će se otvoriti kao posledica ukidaza Zakona o konverziji</w:t>
      </w:r>
      <w:r w:rsidRPr="00412B28">
        <w:rPr>
          <w:rFonts w:ascii="Times New Roman" w:hAnsi="Times New Roman" w:cs="Times New Roman"/>
          <w:sz w:val="24"/>
          <w:szCs w:val="24"/>
        </w:rPr>
        <w:t xml:space="preserve"> – </w:t>
      </w:r>
      <w:r w:rsidRPr="00412B28">
        <w:rPr>
          <w:rFonts w:ascii="Times New Roman" w:hAnsi="Times New Roman" w:cs="Times New Roman"/>
          <w:sz w:val="24"/>
          <w:szCs w:val="24"/>
          <w:lang w:val="sr-Cyrl-RS"/>
        </w:rPr>
        <w:t xml:space="preserve">procena je da bi se </w:t>
      </w:r>
      <w:r w:rsidRPr="00412B28">
        <w:rPr>
          <w:rFonts w:ascii="Times New Roman" w:hAnsi="Times New Roman" w:cs="Times New Roman"/>
          <w:b/>
          <w:bCs/>
          <w:sz w:val="24"/>
          <w:szCs w:val="24"/>
          <w:lang w:val="sr-Cyrl-RS"/>
        </w:rPr>
        <w:t>zaposlilo oko 300,000 građevinskih radnika.</w:t>
      </w:r>
    </w:p>
    <w:p w14:paraId="4C1BD3C2" w14:textId="77777777" w:rsidR="00EA2B24" w:rsidRPr="00412B28" w:rsidRDefault="00EA2B24" w:rsidP="00CB41F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Vrednost prihoda koji je ostvaren po osnivu naknade za</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konverziju</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 u periodu od 2010. godine do kraja 2022. godine, vrednost prihoda ostvarenih po osnovu naknade za pretvaranje prava korišćenja u pravo svojine </w:t>
      </w:r>
      <w:r w:rsidRPr="00412B28">
        <w:rPr>
          <w:rFonts w:ascii="Times New Roman" w:hAnsi="Times New Roman" w:cs="Times New Roman"/>
          <w:b/>
          <w:bCs/>
          <w:sz w:val="24"/>
          <w:szCs w:val="24"/>
          <w:lang w:val="sr-Cyrl-RS"/>
        </w:rPr>
        <w:t>iznosi 3.645.334.435 dinara.</w:t>
      </w:r>
    </w:p>
    <w:p w14:paraId="62978441" w14:textId="77777777" w:rsidR="00EA2B24" w:rsidRPr="00412B28" w:rsidRDefault="00EA2B24" w:rsidP="00CB41F0">
      <w:pPr>
        <w:shd w:val="clear" w:color="auto" w:fill="C6D9F1" w:themeFill="text2" w:themeFillTint="33"/>
        <w:spacing w:after="0" w:line="276" w:lineRule="auto"/>
        <w:jc w:val="both"/>
        <w:rPr>
          <w:rFonts w:ascii="Times New Roman" w:hAnsi="Times New Roman" w:cs="Times New Roman"/>
          <w:sz w:val="24"/>
          <w:szCs w:val="24"/>
        </w:rPr>
      </w:pPr>
    </w:p>
    <w:p w14:paraId="69B99617" w14:textId="77777777" w:rsidR="00EA2B24" w:rsidRPr="00412B28" w:rsidRDefault="00EA2B24" w:rsidP="00CB41F0">
      <w:pPr>
        <w:pStyle w:val="ListParagraph"/>
        <w:numPr>
          <w:ilvl w:val="0"/>
          <w:numId w:val="22"/>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ukidanje lex specialisa za linijske infrastrukturne objekte</w:t>
      </w:r>
      <w:r w:rsidRPr="00412B28">
        <w:rPr>
          <w:rFonts w:ascii="Times New Roman" w:hAnsi="Times New Roman" w:cs="Times New Roman"/>
          <w:sz w:val="24"/>
          <w:szCs w:val="24"/>
        </w:rPr>
        <w:t>;</w:t>
      </w:r>
    </w:p>
    <w:p w14:paraId="0FBFE074" w14:textId="77777777" w:rsidR="00EA2B24" w:rsidRPr="00412B28" w:rsidRDefault="00EA2B24" w:rsidP="00CB41F0">
      <w:pPr>
        <w:pStyle w:val="ListParagraph"/>
        <w:shd w:val="clear" w:color="auto" w:fill="C6D9F1" w:themeFill="text2" w:themeFillTint="33"/>
        <w:spacing w:after="0" w:line="276" w:lineRule="auto"/>
        <w:ind w:left="360"/>
        <w:jc w:val="both"/>
        <w:rPr>
          <w:rFonts w:ascii="Times New Roman" w:hAnsi="Times New Roman" w:cs="Times New Roman"/>
          <w:sz w:val="24"/>
          <w:szCs w:val="24"/>
        </w:rPr>
      </w:pPr>
    </w:p>
    <w:p w14:paraId="4F126B6D"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Da li se u predmetnoj oblasti sprovodi ili se sprovodio dokument javne politike ili propis? Predstaviti rezultate sprovođenja</w:t>
      </w:r>
      <w:r w:rsidRPr="00412B28">
        <w:rPr>
          <w:rFonts w:ascii="Times New Roman" w:hAnsi="Times New Roman" w:cs="Times New Roman"/>
          <w:sz w:val="24"/>
          <w:szCs w:val="24"/>
          <w:lang w:val="sr-Cyrl-RS"/>
        </w:rPr>
        <w:t xml:space="preserve"> tog dokumenta javne politike ili propisa</w:t>
      </w:r>
      <w:r w:rsidRPr="00412B28">
        <w:rPr>
          <w:rFonts w:ascii="Times New Roman" w:hAnsi="Times New Roman" w:cs="Times New Roman"/>
          <w:sz w:val="24"/>
          <w:szCs w:val="24"/>
        </w:rPr>
        <w:t xml:space="preserve"> i obrazložiti zbog čega dobijeni rezultati nisu u skladu sa planiranim vrednostima.</w:t>
      </w:r>
    </w:p>
    <w:p w14:paraId="10B011A9"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w:t>
      </w:r>
    </w:p>
    <w:p w14:paraId="4DA24ACC"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Koji su važeći propisi i dokumenti javnih politika od značaja za </w:t>
      </w:r>
      <w:r w:rsidRPr="00412B28">
        <w:rPr>
          <w:rFonts w:ascii="Times New Roman" w:hAnsi="Times New Roman" w:cs="Times New Roman"/>
          <w:sz w:val="24"/>
          <w:szCs w:val="24"/>
          <w:lang w:val="sr-Cyrl-RS"/>
        </w:rPr>
        <w:t>promenu koja se predlaže</w:t>
      </w:r>
      <w:r w:rsidRPr="00412B28">
        <w:rPr>
          <w:rFonts w:ascii="Times New Roman" w:hAnsi="Times New Roman" w:cs="Times New Roman"/>
          <w:sz w:val="24"/>
          <w:szCs w:val="24"/>
        </w:rPr>
        <w:t xml:space="preserve"> i u čemu se taj značaj ogleda?</w:t>
      </w:r>
    </w:p>
    <w:p w14:paraId="661C5C1C"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su uočeni problemi u oblasti i na koga se oni odnose? Predstaviti uzroke i  posledice problema.</w:t>
      </w:r>
    </w:p>
    <w:p w14:paraId="69067C81" w14:textId="77777777" w:rsidR="00EA2B24" w:rsidRPr="00412B28" w:rsidRDefault="00EA2B24" w:rsidP="00CB41F0">
      <w:pPr>
        <w:pStyle w:val="ListParagraph"/>
        <w:numPr>
          <w:ilvl w:val="0"/>
          <w:numId w:val="25"/>
        </w:numPr>
        <w:shd w:val="clear" w:color="auto" w:fill="C6D9F1" w:themeFill="text2" w:themeFillTint="33"/>
        <w:spacing w:before="240" w:after="0" w:line="276" w:lineRule="auto"/>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Uočeni problemi</w:t>
      </w:r>
      <w:r w:rsidRPr="00412B28">
        <w:rPr>
          <w:rFonts w:ascii="Times New Roman" w:hAnsi="Times New Roman" w:cs="Times New Roman"/>
          <w:b/>
          <w:bCs/>
          <w:sz w:val="24"/>
          <w:szCs w:val="24"/>
        </w:rPr>
        <w:t xml:space="preserve">: </w:t>
      </w:r>
    </w:p>
    <w:p w14:paraId="38E35501" w14:textId="77777777" w:rsidR="00EA2B24" w:rsidRPr="00412B28" w:rsidRDefault="00EA2B24" w:rsidP="00CB41F0">
      <w:pPr>
        <w:pStyle w:val="ListParagraph"/>
        <w:numPr>
          <w:ilvl w:val="0"/>
          <w:numId w:val="27"/>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Kretanje makroekonomskih pokazatelja, a posebno pokazatelja u oblasti građevinarstva, ukazuju na potrebu preduzimanja sistemskih mera koje će unaprediti opšti ambijent u oblasti planiranja i izgradnje. Zaključeno je da će izmene i dopune Zakona imati pozitivan efekat na dalji razvoj građevinske industrije Republike Srbije, koja je jedan od glavnih pokretača privrednog i ekonomskog razvoja Srbije. Pad građevinske industrije opisan kroz pad vrednosti građevinskih radova direktno tiče na pad doprinosa građevinske industrije bruto društvenom proizvodu Republike Srbije, odnosno na vrednost BDP. Niz izmena i dopuna Zakona imaju za cilj da unapređenjem ambijenta u građevinskom sektoru, u meri u kojoj je to moguće, preokrenu negativne trendove.</w:t>
      </w:r>
    </w:p>
    <w:p w14:paraId="0440CFAC"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color w:val="7030A0"/>
          <w:sz w:val="24"/>
          <w:szCs w:val="24"/>
          <w:lang w:val="sr-Cyrl-RS"/>
        </w:rPr>
      </w:pPr>
    </w:p>
    <w:p w14:paraId="456BB7D3" w14:textId="77777777" w:rsidR="00EA2B24" w:rsidRPr="00412B28" w:rsidRDefault="00EA2B24" w:rsidP="00CB41F0">
      <w:pPr>
        <w:pStyle w:val="ListParagraph"/>
        <w:numPr>
          <w:ilvl w:val="0"/>
          <w:numId w:val="27"/>
        </w:numPr>
        <w:shd w:val="clear" w:color="auto" w:fill="C6D9F1" w:themeFill="text2" w:themeFillTint="33"/>
        <w:spacing w:before="240" w:after="0" w:line="276" w:lineRule="auto"/>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Kretanja u građevinskoj industriji na teritoriji Republike Srbije</w:t>
      </w:r>
      <w:r w:rsidRPr="00412B28">
        <w:rPr>
          <w:rFonts w:ascii="Times New Roman" w:hAnsi="Times New Roman" w:cs="Times New Roman"/>
          <w:b/>
          <w:bCs/>
          <w:sz w:val="24"/>
          <w:szCs w:val="24"/>
        </w:rPr>
        <w:t>.</w:t>
      </w:r>
    </w:p>
    <w:p w14:paraId="5077F849" w14:textId="77777777" w:rsidR="00EA2B24" w:rsidRPr="00412B28" w:rsidRDefault="00EA2B24" w:rsidP="00CB41F0">
      <w:pPr>
        <w:pStyle w:val="ListParagraph"/>
        <w:rPr>
          <w:rFonts w:ascii="Times New Roman" w:hAnsi="Times New Roman" w:cs="Times New Roman"/>
          <w:sz w:val="24"/>
          <w:szCs w:val="24"/>
          <w:lang w:val="sr-Cyrl-RS"/>
        </w:rPr>
      </w:pPr>
    </w:p>
    <w:p w14:paraId="257CF22C"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Od druge polovine 2017. godine indeksi vrednosti izvedenih građevinskih radova u Srbiji bili su u porastu. Nakon kraćeg zastoja građevinske aktivnosti u drugom kvartalu i drugoj polovini 2020. godine izazvanog epidemijom koronavirusa, indeksi vrednosti izvedenih radova na teritoriji Republike Srbije tokom 2021. godine ponovo beleže rast. Pored velikih infrastrukturnih projekata, u 2021. godini zabeležena je i veoma intenzivna izgradnja stambenih i nestambenih zgrada na teritoriji cele zemlje. Godišnja stopa rasta za zgrade iznosila je 17,0%, a za ostale građevine 19,6%.</w:t>
      </w:r>
    </w:p>
    <w:p w14:paraId="456339CE"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sz w:val="24"/>
          <w:szCs w:val="24"/>
        </w:rPr>
      </w:pPr>
      <w:r w:rsidRPr="00412B28">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14:anchorId="057161F6" wp14:editId="69C7CC91">
                <wp:simplePos x="0" y="0"/>
                <wp:positionH relativeFrom="column">
                  <wp:posOffset>228600</wp:posOffset>
                </wp:positionH>
                <wp:positionV relativeFrom="paragraph">
                  <wp:posOffset>130175</wp:posOffset>
                </wp:positionV>
                <wp:extent cx="5753100" cy="914400"/>
                <wp:effectExtent l="0" t="0" r="19050" b="19050"/>
                <wp:wrapNone/>
                <wp:docPr id="32" name="Text Box 32"/>
                <wp:cNvGraphicFramePr/>
                <a:graphic xmlns:a="http://schemas.openxmlformats.org/drawingml/2006/main">
                  <a:graphicData uri="http://schemas.microsoft.com/office/word/2010/wordprocessingShape">
                    <wps:wsp>
                      <wps:cNvSpPr txBox="1"/>
                      <wps:spPr>
                        <a:xfrm>
                          <a:off x="0" y="0"/>
                          <a:ext cx="5753100" cy="914400"/>
                        </a:xfrm>
                        <a:prstGeom prst="rect">
                          <a:avLst/>
                        </a:prstGeom>
                        <a:solidFill>
                          <a:schemeClr val="accent6">
                            <a:lumMod val="20000"/>
                            <a:lumOff val="80000"/>
                          </a:schemeClr>
                        </a:solidFill>
                        <a:ln w="6350">
                          <a:solidFill>
                            <a:prstClr val="black"/>
                          </a:solidFill>
                        </a:ln>
                      </wps:spPr>
                      <wps:txbx>
                        <w:txbxContent>
                          <w:p w14:paraId="5D22DBE1" w14:textId="77777777" w:rsidR="00EA2B24" w:rsidRPr="00294172" w:rsidRDefault="00EA2B24" w:rsidP="00CB41F0">
                            <w:pPr>
                              <w:jc w:val="both"/>
                              <w:rPr>
                                <w:b/>
                                <w:bCs/>
                              </w:rPr>
                            </w:pPr>
                            <w:r w:rsidRPr="00294172">
                              <w:rPr>
                                <w:b/>
                                <w:bCs/>
                              </w:rPr>
                              <w:t>U 2022. godini, kumulativna vrednost izvedenih građevinskih radova beleži pad i na zgradama (-11,6%) i na ostalim građevinama (-11%), dok je ukupna vrednost izvedenih radova u Republici Srbiji, izražena u stalnim cenama, u 2022. godini smanjena za 11,2% u odnosu na prethodnu godinu.</w:t>
                            </w:r>
                          </w:p>
                          <w:p w14:paraId="1D5A39AE" w14:textId="77777777" w:rsidR="00EA2B24" w:rsidRDefault="00EA2B24" w:rsidP="00CB41F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7161F6" id="Text Box 32" o:spid="_x0000_s1029" type="#_x0000_t202" style="position:absolute;left:0;text-align:left;margin-left:18pt;margin-top:10.25pt;width:453pt;height:1in;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" fillcolor="#fde9d9 [665]" strokeweight=".5pt">
                <v:textbox>
                  <w:txbxContent>
                    <w:p w14:paraId="5D22DBE1" w14:textId="77777777" w:rsidR="00EA2B24" w:rsidRPr="00294172" w:rsidRDefault="00EA2B24" w:rsidP="00CB41F0">
                      <w:pPr>
                        <w:jc w:val="both"/>
                        <w:rPr>
                          <w:b/>
                          <w:bCs/>
                        </w:rPr>
                      </w:pPr>
                      <w:r w:rsidRPr="00294172">
                        <w:rPr>
                          <w:b/>
                          <w:bCs/>
                        </w:rPr>
                        <w:t>U 2022. godini, kumulativna vrednost izvedenih građevinskih radova beleži pad i na zgradama (-11,6%) i na ostalim građevinama (-11%), dok je ukupna vrednost izvedenih radova u Republici Srbiji, izražena u stalnim cenama, u 2022. godini smanjena za 11,2% u odnosu na prethodnu godinu.</w:t>
                      </w:r>
                    </w:p>
                    <w:p w14:paraId="1D5A39AE" w14:textId="77777777" w:rsidR="00EA2B24" w:rsidRDefault="00EA2B24" w:rsidP="00CB41F0"/>
                  </w:txbxContent>
                </v:textbox>
              </v:shape>
            </w:pict>
          </mc:Fallback>
        </mc:AlternateContent>
      </w:r>
    </w:p>
    <w:p w14:paraId="0AAD7A0B"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sz w:val="24"/>
          <w:szCs w:val="24"/>
          <w:lang w:val="sr-Cyrl-RS"/>
        </w:rPr>
      </w:pPr>
    </w:p>
    <w:p w14:paraId="3C2FA22E"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p>
    <w:p w14:paraId="0A6DA2AB"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2B063970"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p>
    <w:p w14:paraId="28D643D2"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lang w:val="sr-Cyrl-RS"/>
        </w:rPr>
      </w:pPr>
    </w:p>
    <w:p w14:paraId="3EF4A9BA"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KRETANjA U 2022. GODINI</w:t>
      </w:r>
    </w:p>
    <w:p w14:paraId="4B2027A0"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lang w:val="sr-Cyrl-RS"/>
        </w:rPr>
      </w:pPr>
    </w:p>
    <w:p w14:paraId="2B9D03E9"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 xml:space="preserve">Građevinska aktivnost na teritoriji Republike Srbije u 2022. godini smanjena je za 11,2% u stalnim cenama, u poređenju sa prethodnom godinom. Posmatrano prema vrsti građevina, vrednost izvedenih radova na zgradama beleži pad od 11,6% i na ostalim građevinama (saobraćajnice, cevovodi, složene industrijske građevine i sl.) za 11% u stalnim cenama. </w:t>
      </w:r>
    </w:p>
    <w:p w14:paraId="41ABD2DE"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rPr>
      </w:pPr>
    </w:p>
    <w:p w14:paraId="77C56497"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sz w:val="24"/>
          <w:szCs w:val="24"/>
        </w:rPr>
        <w:t>Grafiko</w:t>
      </w:r>
      <w:r w:rsidRPr="00412B28">
        <w:rPr>
          <w:rFonts w:ascii="Times New Roman" w:hAnsi="Times New Roman" w:cs="Times New Roman"/>
          <w:i/>
          <w:iCs/>
          <w:sz w:val="24"/>
          <w:szCs w:val="24"/>
          <w:lang w:val="sr-Cyrl-RS"/>
        </w:rPr>
        <w:t>n 1.</w:t>
      </w:r>
      <w:r w:rsidRPr="00412B28">
        <w:rPr>
          <w:rFonts w:ascii="Times New Roman" w:hAnsi="Times New Roman" w:cs="Times New Roman"/>
          <w:i/>
          <w:iCs/>
          <w:sz w:val="24"/>
          <w:szCs w:val="24"/>
        </w:rPr>
        <w:t xml:space="preserve"> Komponente vremenske serije vrednosti izvedenih građevinskih radova na teritoriji Republike Srbije u stalnim cenama, indeksi (y ‒ originalna serija, sa ‒ serija sa isključenom sezonskom komponentom, t ‒ trend-ciklus komponenta, prosek 2015 = 100)</w:t>
      </w:r>
    </w:p>
    <w:p w14:paraId="6AB0DBCE"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1DED5DDB"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noProof/>
          <w:sz w:val="24"/>
          <w:szCs w:val="24"/>
        </w:rPr>
        <w:drawing>
          <wp:inline distT="0" distB="0" distL="0" distR="0" wp14:anchorId="30FFCB57" wp14:editId="60289B53">
            <wp:extent cx="5383254" cy="2110740"/>
            <wp:effectExtent l="0" t="0" r="8255"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44464" cy="2134740"/>
                    </a:xfrm>
                    <a:prstGeom prst="rect">
                      <a:avLst/>
                    </a:prstGeom>
                  </pic:spPr>
                </pic:pic>
              </a:graphicData>
            </a:graphic>
          </wp:inline>
        </w:drawing>
      </w:r>
    </w:p>
    <w:p w14:paraId="3636633D" w14:textId="77777777" w:rsidR="00EA2B24" w:rsidRPr="00412B28" w:rsidRDefault="00EA2B24" w:rsidP="00CB41F0">
      <w:pPr>
        <w:shd w:val="clear" w:color="auto" w:fill="C6D9F1" w:themeFill="text2" w:themeFillTint="33"/>
        <w:spacing w:before="240" w:line="276" w:lineRule="auto"/>
        <w:jc w:val="both"/>
        <w:rPr>
          <w:rFonts w:ascii="Times New Roman" w:hAnsi="Times New Roman" w:cs="Times New Roman"/>
          <w:b/>
          <w:bCs/>
          <w:sz w:val="24"/>
          <w:szCs w:val="24"/>
        </w:rPr>
      </w:pPr>
    </w:p>
    <w:p w14:paraId="5F89FC57"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r w:rsidRPr="00412B28">
        <w:rPr>
          <w:rFonts w:ascii="Times New Roman" w:hAnsi="Times New Roman" w:cs="Times New Roman"/>
          <w:b/>
          <w:bCs/>
          <w:sz w:val="24"/>
          <w:szCs w:val="24"/>
        </w:rPr>
        <w:t>KRETANjE U ČETVRTOM KVARTALU 2022.</w:t>
      </w:r>
    </w:p>
    <w:p w14:paraId="4BA285FF"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p>
    <w:p w14:paraId="34FB7329"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U četvrtom kvartalu 2022. godine građevinska aktivnost na teritoriji Republike Srbije je, u odnosu na isti period prethodne godine, opala za 0,1% u tekućim cenama, dok je u stalnim cenama opala za 13,7%. Indeks cena građevinskog materijala, koji se koristi kao deflator vrednosti u građevinarstvu, u posmatranom periodu iznosio je 115,7. Vrednost građevinskih radova, izražena u stalnim cenama, niža je za 14,2% na ostalim građevinama (saobraćajnice, cevovodi, složene industrijske građevine i sl.), a na zgradama za 12,8% u odnosu na četvrti kvartal 2021. godine.</w:t>
      </w:r>
    </w:p>
    <w:p w14:paraId="2D7DB879" w14:textId="77777777" w:rsidR="00EA2B24" w:rsidRPr="00412B28" w:rsidRDefault="00EA2B24" w:rsidP="00CB41F0">
      <w:pPr>
        <w:pStyle w:val="ListParagraph"/>
        <w:shd w:val="clear" w:color="auto" w:fill="C6D9F1" w:themeFill="text2" w:themeFillTint="33"/>
        <w:spacing w:before="240" w:line="276" w:lineRule="auto"/>
        <w:ind w:left="1080"/>
        <w:rPr>
          <w:rFonts w:ascii="Times New Roman" w:hAnsi="Times New Roman" w:cs="Times New Roman"/>
          <w:sz w:val="24"/>
          <w:szCs w:val="24"/>
        </w:rPr>
      </w:pPr>
    </w:p>
    <w:p w14:paraId="4B1AC5DC"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r w:rsidRPr="00412B28">
        <w:rPr>
          <w:rFonts w:ascii="Times New Roman" w:hAnsi="Times New Roman" w:cs="Times New Roman"/>
          <w:i/>
          <w:iCs/>
          <w:sz w:val="24"/>
          <w:szCs w:val="24"/>
        </w:rPr>
        <w:t>Tabela 1. Vrednost izvedenih građevinskih radova, kvartalni indeksi (poređenje sa istim periodom prethodne godine)</w:t>
      </w:r>
    </w:p>
    <w:p w14:paraId="5D2562D6"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7E4D8461"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sz w:val="24"/>
          <w:szCs w:val="24"/>
        </w:rPr>
      </w:pPr>
      <w:r w:rsidRPr="00412B28">
        <w:rPr>
          <w:rFonts w:ascii="Times New Roman" w:hAnsi="Times New Roman" w:cs="Times New Roman"/>
          <w:i/>
          <w:iCs/>
          <w:noProof/>
          <w:sz w:val="24"/>
          <w:szCs w:val="24"/>
        </w:rPr>
        <w:drawing>
          <wp:inline distT="0" distB="0" distL="0" distR="0" wp14:anchorId="10DBAD60" wp14:editId="5696F6C5">
            <wp:extent cx="5943600" cy="95123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951230"/>
                    </a:xfrm>
                    <a:prstGeom prst="rect">
                      <a:avLst/>
                    </a:prstGeom>
                  </pic:spPr>
                </pic:pic>
              </a:graphicData>
            </a:graphic>
          </wp:inline>
        </w:drawing>
      </w:r>
    </w:p>
    <w:p w14:paraId="7EDC78DE"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6B15D1C2"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r w:rsidRPr="00412B28">
        <w:rPr>
          <w:rFonts w:ascii="Times New Roman" w:hAnsi="Times New Roman" w:cs="Times New Roman"/>
          <w:i/>
          <w:iCs/>
          <w:sz w:val="24"/>
          <w:szCs w:val="24"/>
        </w:rPr>
        <w:t>Grafikon 2. Vrednost izvedenih građevinskih radova u stalnim cenama, stope rasta (%) (kvartal u odnosu na isti kvartal prethodne godine)</w:t>
      </w:r>
    </w:p>
    <w:p w14:paraId="3F1CFC15"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55FF8E2A"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lang w:val="sr-Cyrl-RS"/>
        </w:rPr>
      </w:pPr>
      <w:r w:rsidRPr="00412B28">
        <w:rPr>
          <w:rFonts w:ascii="Times New Roman" w:hAnsi="Times New Roman" w:cs="Times New Roman"/>
          <w:noProof/>
          <w:sz w:val="24"/>
          <w:szCs w:val="24"/>
        </w:rPr>
        <w:lastRenderedPageBreak/>
        <w:drawing>
          <wp:inline distT="0" distB="0" distL="0" distR="0" wp14:anchorId="7885B490" wp14:editId="3C6CDFB7">
            <wp:extent cx="5638965" cy="22098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54238" cy="2215785"/>
                    </a:xfrm>
                    <a:prstGeom prst="rect">
                      <a:avLst/>
                    </a:prstGeom>
                  </pic:spPr>
                </pic:pic>
              </a:graphicData>
            </a:graphic>
          </wp:inline>
        </w:drawing>
      </w:r>
    </w:p>
    <w:p w14:paraId="47FDC79C"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U četvrtom kvartalu 2022. godine građevinska aktivnost opala je u svim regionima. U</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Regionu Šumadije i Zapadne Srbije, u odnosu na isti period prethodne godine, smanjenje iznosi 0,3%, u stalnim cenama. Posmatrano prema vrstama građevina, u ovom kvartalu, rast je zabeležen na građevinama saobraćajne infrastrukture, dok je vrednost opala na stambenim zgradama i celovodima. U Regionu Južne i Istočne Srbije građevinska aktivnost smanjena je za 19,8%, u stalnim cenama. Na pad aktivnosti najviše je uticao završetak izgradnje magistralnog gasovoda, kao i smanjen intenzitet radova na građevinama saobraćajne infrastrukture. Radovi na stambenim i nestambenim zgradama su povećani u odnosu na četvrti kvartal 2021. godine. U Beogradskom regionu zabeležen je najveći pad građevinske aktivnosti, 30,9% u stalnim cenama, u odnosu na isti period prethodne godine. Najveći pad vrednosti zabeležen je na građevinama saobraćajne infrastrukture, jer su radovi na modernizaciji pruge, deonica Beograd – Stara Pazova, završeni. Pored toga, primetan je pad vrednosti i na izgradnji nestambenih zgrada. U ovom regionu povećanje radova je zabeleženo samo na stambenim zgradama.</w:t>
      </w:r>
    </w:p>
    <w:p w14:paraId="6DDF8A27"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33C3FC3F"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Smanjenje građevinske aktivnosti u četvrtom kvartalu zabeleženo je i u Regionu Vojvodine i iznosilo je 1%, u stalnim cenama. Značajan rast zabeležen je na građevinama saobraćajne infrastrukture, najviše na projektu modernizacije pruge Novi Sad – Subotica, zatim na izgradnji autoputa Sremska Rača – Kuzmin i brzoj saobraćajnici Ruma–Šabac. U odnosu na četvrti kvartal prethodne godine, u ovom regionu zabeležena je usporena aktivnost na nestambenim zgradama.</w:t>
      </w:r>
    </w:p>
    <w:p w14:paraId="00B0BCF4"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174D9BBC"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175C2C87"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462502FC"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sz w:val="24"/>
          <w:szCs w:val="24"/>
        </w:rPr>
        <w:t>Grafikon 3. Vrednost izvedenih građevinskih radova po regionima, u stalnim cenama, stope rasta (%) (kvartal u odnosu na isti kvartal prethodne godine)</w:t>
      </w:r>
    </w:p>
    <w:p w14:paraId="14F047C4" w14:textId="77777777" w:rsidR="00EA2B24" w:rsidRPr="00412B28" w:rsidRDefault="00EA2B24" w:rsidP="00CB41F0">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60FDEDA3"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noProof/>
          <w:sz w:val="24"/>
          <w:szCs w:val="24"/>
        </w:rPr>
        <w:lastRenderedPageBreak/>
        <w:drawing>
          <wp:inline distT="0" distB="0" distL="0" distR="0" wp14:anchorId="37CF3C6F" wp14:editId="244E36B5">
            <wp:extent cx="5494001" cy="211836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500778" cy="2120973"/>
                    </a:xfrm>
                    <a:prstGeom prst="rect">
                      <a:avLst/>
                    </a:prstGeom>
                  </pic:spPr>
                </pic:pic>
              </a:graphicData>
            </a:graphic>
          </wp:inline>
        </w:drawing>
      </w:r>
    </w:p>
    <w:p w14:paraId="08927257" w14:textId="77777777" w:rsidR="00EA2B24" w:rsidRPr="00412B28" w:rsidRDefault="00EA2B24" w:rsidP="00CB41F0">
      <w:pPr>
        <w:pStyle w:val="ListParagraph"/>
        <w:shd w:val="clear" w:color="auto" w:fill="C6D9F1" w:themeFill="text2" w:themeFillTint="33"/>
        <w:spacing w:before="240" w:line="276" w:lineRule="auto"/>
        <w:ind w:left="1080"/>
        <w:rPr>
          <w:rFonts w:ascii="Times New Roman" w:hAnsi="Times New Roman" w:cs="Times New Roman"/>
          <w:i/>
          <w:iCs/>
          <w:sz w:val="24"/>
          <w:szCs w:val="24"/>
        </w:rPr>
      </w:pPr>
    </w:p>
    <w:p w14:paraId="75392B33"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sz w:val="24"/>
          <w:szCs w:val="24"/>
        </w:rPr>
        <w:t>Grafikon 4. Vrednost izvedenih građevinskih radova i časovi rada na gradilištima, uporedni pregled, indeksi (kvartal u odnosu na isti kvartal prethodne godine)</w:t>
      </w:r>
    </w:p>
    <w:p w14:paraId="2D3B3B30" w14:textId="77777777" w:rsidR="00EA2B24" w:rsidRPr="00412B28" w:rsidRDefault="00EA2B24" w:rsidP="00CB41F0">
      <w:pPr>
        <w:pStyle w:val="ListParagraph"/>
        <w:shd w:val="clear" w:color="auto" w:fill="C6D9F1" w:themeFill="text2" w:themeFillTint="33"/>
        <w:spacing w:before="240" w:line="276" w:lineRule="auto"/>
        <w:ind w:left="1080"/>
        <w:rPr>
          <w:rFonts w:ascii="Times New Roman" w:hAnsi="Times New Roman" w:cs="Times New Roman"/>
          <w:sz w:val="24"/>
          <w:szCs w:val="24"/>
        </w:rPr>
      </w:pPr>
      <w:r w:rsidRPr="00412B28">
        <w:rPr>
          <w:rFonts w:ascii="Times New Roman" w:hAnsi="Times New Roman" w:cs="Times New Roman"/>
          <w:noProof/>
          <w:sz w:val="24"/>
          <w:szCs w:val="24"/>
        </w:rPr>
        <w:drawing>
          <wp:anchor distT="0" distB="0" distL="114300" distR="114300" simplePos="0" relativeHeight="251664384" behindDoc="0" locked="0" layoutInCell="1" allowOverlap="1" wp14:anchorId="6795830F" wp14:editId="6DD1D753">
            <wp:simplePos x="0" y="0"/>
            <wp:positionH relativeFrom="column">
              <wp:posOffset>684530</wp:posOffset>
            </wp:positionH>
            <wp:positionV relativeFrom="paragraph">
              <wp:posOffset>63500</wp:posOffset>
            </wp:positionV>
            <wp:extent cx="5326380" cy="2273064"/>
            <wp:effectExtent l="0" t="0" r="762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333479" cy="2276094"/>
                    </a:xfrm>
                    <a:prstGeom prst="rect">
                      <a:avLst/>
                    </a:prstGeom>
                  </pic:spPr>
                </pic:pic>
              </a:graphicData>
            </a:graphic>
            <wp14:sizeRelH relativeFrom="page">
              <wp14:pctWidth>0</wp14:pctWidth>
            </wp14:sizeRelH>
            <wp14:sizeRelV relativeFrom="page">
              <wp14:pctHeight>0</wp14:pctHeight>
            </wp14:sizeRelV>
          </wp:anchor>
        </w:drawing>
      </w:r>
      <w:r w:rsidRPr="00412B28">
        <w:rPr>
          <w:rFonts w:ascii="Times New Roman" w:hAnsi="Times New Roman" w:cs="Times New Roman"/>
          <w:sz w:val="24"/>
          <w:szCs w:val="24"/>
        </w:rPr>
        <w:tab/>
      </w:r>
    </w:p>
    <w:p w14:paraId="545A7D6C"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2E8A8209"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12AB5908"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52833F81"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1028092A"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6AF446CE" w14:textId="77777777" w:rsidR="00EA2B24" w:rsidRPr="00412B28" w:rsidRDefault="00EA2B24" w:rsidP="00CB41F0">
      <w:pPr>
        <w:shd w:val="clear" w:color="auto" w:fill="C6D9F1" w:themeFill="text2" w:themeFillTint="33"/>
        <w:spacing w:before="240" w:line="276" w:lineRule="auto"/>
        <w:rPr>
          <w:rFonts w:ascii="Times New Roman" w:hAnsi="Times New Roman" w:cs="Times New Roman"/>
          <w:sz w:val="24"/>
          <w:szCs w:val="24"/>
        </w:rPr>
      </w:pPr>
    </w:p>
    <w:p w14:paraId="384D2FAB"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 xml:space="preserve">Na grafikonu 4. dat je uporedni pregled kretanja časova rada i vrednosti izvedenih radova na gradilištima. Kao što je uočljivo, od drugog kvartala 2021. godine indeksi časova rada su visoki, što je direktna posledica angažovanja velikog broja radnika na izgradnji građevina saobraćajne infrastrukture (autoputeva i železnice). </w:t>
      </w:r>
    </w:p>
    <w:p w14:paraId="042A7D14"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6D0D2674"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lang w:val="sr-Cyrl-RS"/>
        </w:rPr>
      </w:pPr>
      <w:r w:rsidRPr="00412B28">
        <w:rPr>
          <w:rFonts w:ascii="Times New Roman" w:hAnsi="Times New Roman" w:cs="Times New Roman"/>
          <w:sz w:val="24"/>
          <w:szCs w:val="24"/>
        </w:rPr>
        <w:t>U prvom kvartalu 2022. vrednost radova je bila niža, ali je broj angažovanih radnika bio veći. U drugom, trećem i četvrtom kvartalu 2022. godine časovi rada i vrednost izvedenih radova potvrđuju pad građevinske aktivnost</w:t>
      </w:r>
      <w:r w:rsidRPr="00412B28">
        <w:rPr>
          <w:rFonts w:ascii="Times New Roman" w:hAnsi="Times New Roman" w:cs="Times New Roman"/>
          <w:sz w:val="24"/>
          <w:szCs w:val="24"/>
          <w:lang w:val="sr-Cyrl-RS"/>
        </w:rPr>
        <w:t>i.</w:t>
      </w:r>
    </w:p>
    <w:p w14:paraId="2C892734" w14:textId="77777777" w:rsidR="00EA2B24" w:rsidRPr="00412B28" w:rsidRDefault="00EA2B24" w:rsidP="00CB41F0">
      <w:pPr>
        <w:pStyle w:val="ListParagraph"/>
        <w:shd w:val="clear" w:color="auto" w:fill="C6D9F1" w:themeFill="text2" w:themeFillTint="33"/>
        <w:spacing w:before="240" w:line="276" w:lineRule="auto"/>
        <w:ind w:left="1080"/>
        <w:jc w:val="both"/>
        <w:rPr>
          <w:rFonts w:ascii="Times New Roman" w:hAnsi="Times New Roman" w:cs="Times New Roman"/>
          <w:sz w:val="24"/>
          <w:szCs w:val="24"/>
          <w:lang w:val="sr-Cyrl-RS"/>
        </w:rPr>
      </w:pPr>
    </w:p>
    <w:p w14:paraId="24B1C17F" w14:textId="77777777" w:rsidR="00EA2B24" w:rsidRPr="00412B28" w:rsidRDefault="00EA2B24" w:rsidP="00CB41F0">
      <w:pPr>
        <w:pStyle w:val="ListParagraph"/>
        <w:numPr>
          <w:ilvl w:val="0"/>
          <w:numId w:val="28"/>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Analizom efikasnosti rada organa nadležnih za procese uočen je pad efikasnosti u obradi zahteva.</w:t>
      </w:r>
      <w:r w:rsidRPr="00412B28">
        <w:rPr>
          <w:rFonts w:ascii="Times New Roman" w:hAnsi="Times New Roman" w:cs="Times New Roman"/>
          <w:sz w:val="24"/>
          <w:szCs w:val="24"/>
          <w:lang w:val="sr-Cyrl-RS"/>
        </w:rPr>
        <w:t xml:space="preserve"> S tim u vezi, izmenama i dopunama Zakona predviđeno je poveravanje određenih ovlašćenja (u domenu lokacijskih uslova) radi rasterećivanja nadležnih organa i unapređenja njihove efikasnosti.</w:t>
      </w:r>
    </w:p>
    <w:p w14:paraId="5258E32D"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lang w:val="sr-Cyrl-RS"/>
        </w:rPr>
      </w:pPr>
    </w:p>
    <w:p w14:paraId="37101E79"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Tabela 2. Poređenje statistike procesa rešavanja zahteva na teritoriji Grada Beograda, Grada Niša, Grada Kragujevca i Grada Novog Sada za 2022. i 2021. godinu</w:t>
      </w:r>
    </w:p>
    <w:p w14:paraId="006DDBBB"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noProof/>
        </w:rPr>
        <w:lastRenderedPageBreak/>
        <w:drawing>
          <wp:inline distT="0" distB="0" distL="0" distR="0" wp14:anchorId="263E752E" wp14:editId="45221A16">
            <wp:extent cx="5570220" cy="329924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79730" cy="3304880"/>
                    </a:xfrm>
                    <a:prstGeom prst="rect">
                      <a:avLst/>
                    </a:prstGeom>
                  </pic:spPr>
                </pic:pic>
              </a:graphicData>
            </a:graphic>
          </wp:inline>
        </w:drawing>
      </w:r>
    </w:p>
    <w:p w14:paraId="11934B43"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484F968F" wp14:editId="304FBA40">
            <wp:extent cx="5570220" cy="330457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73323" cy="3306420"/>
                    </a:xfrm>
                    <a:prstGeom prst="rect">
                      <a:avLst/>
                    </a:prstGeom>
                  </pic:spPr>
                </pic:pic>
              </a:graphicData>
            </a:graphic>
          </wp:inline>
        </w:drawing>
      </w:r>
    </w:p>
    <w:p w14:paraId="5ABAF0E7" w14:textId="77777777" w:rsidR="00EA2B24" w:rsidRPr="00412B28" w:rsidRDefault="00EA2B24" w:rsidP="00CB41F0">
      <w:pPr>
        <w:tabs>
          <w:tab w:val="left" w:pos="8676"/>
        </w:tabs>
        <w:rPr>
          <w:rFonts w:ascii="Times New Roman" w:hAnsi="Times New Roman" w:cs="Times New Roman"/>
          <w:sz w:val="24"/>
          <w:szCs w:val="24"/>
          <w:lang w:val="sr-Cyrl-RS"/>
        </w:rPr>
      </w:pPr>
      <w:r w:rsidRPr="00412B28">
        <w:rPr>
          <w:rFonts w:ascii="Times New Roman" w:hAnsi="Times New Roman" w:cs="Times New Roman"/>
          <w:sz w:val="24"/>
          <w:szCs w:val="24"/>
          <w:lang w:val="sr-Cyrl-RS"/>
        </w:rPr>
        <w:tab/>
      </w:r>
    </w:p>
    <w:p w14:paraId="50B8AFA9" w14:textId="77777777" w:rsidR="00EA2B24" w:rsidRPr="00412B28" w:rsidRDefault="00EA2B24" w:rsidP="00CB41F0">
      <w:pPr>
        <w:pStyle w:val="ListParagraph"/>
        <w:numPr>
          <w:ilvl w:val="0"/>
          <w:numId w:val="29"/>
        </w:numPr>
        <w:tabs>
          <w:tab w:val="left" w:pos="8676"/>
        </w:tabs>
        <w:rPr>
          <w:rFonts w:ascii="Times New Roman" w:hAnsi="Times New Roman" w:cs="Times New Roman"/>
          <w:b/>
          <w:bCs/>
          <w:sz w:val="24"/>
          <w:szCs w:val="24"/>
        </w:rPr>
      </w:pPr>
      <w:r w:rsidRPr="00412B28">
        <w:rPr>
          <w:rFonts w:ascii="Times New Roman" w:hAnsi="Times New Roman" w:cs="Times New Roman"/>
          <w:b/>
          <w:bCs/>
          <w:sz w:val="24"/>
          <w:szCs w:val="24"/>
          <w:lang w:val="sr-Cyrl-RS"/>
        </w:rPr>
        <w:t>Problemi vezani za prostorno planiranje i urbanizam</w:t>
      </w:r>
      <w:r w:rsidRPr="00412B28">
        <w:rPr>
          <w:rFonts w:ascii="Times New Roman" w:hAnsi="Times New Roman" w:cs="Times New Roman"/>
          <w:b/>
          <w:bCs/>
          <w:sz w:val="24"/>
          <w:szCs w:val="24"/>
        </w:rPr>
        <w:t>;</w:t>
      </w:r>
    </w:p>
    <w:p w14:paraId="5837D18A" w14:textId="77777777" w:rsidR="00EA2B24" w:rsidRPr="00412B28" w:rsidRDefault="00EA2B24" w:rsidP="00CB41F0">
      <w:pPr>
        <w:pStyle w:val="ListParagraph"/>
        <w:numPr>
          <w:ilvl w:val="1"/>
          <w:numId w:val="29"/>
        </w:numPr>
        <w:tabs>
          <w:tab w:val="left" w:pos="8676"/>
        </w:tabs>
        <w:rPr>
          <w:rFonts w:ascii="Times New Roman" w:hAnsi="Times New Roman" w:cs="Times New Roman"/>
          <w:sz w:val="24"/>
          <w:szCs w:val="24"/>
        </w:rPr>
      </w:pPr>
      <w:r w:rsidRPr="00412B28">
        <w:rPr>
          <w:rFonts w:ascii="Times New Roman" w:hAnsi="Times New Roman" w:cs="Times New Roman"/>
          <w:sz w:val="24"/>
          <w:szCs w:val="24"/>
          <w:lang w:val="sr-Cyrl-RS"/>
        </w:rPr>
        <w:t>Formiranje Agencije za planiranje i urbanizam</w:t>
      </w:r>
    </w:p>
    <w:p w14:paraId="706E9198"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Predloženo je formiranje Agencije za prostorno planiranje i urbanizam kao javne agencije u skladu sa zakonom kojim je uređen rad javnih agencija. Ova agencija predstavlja pre svega stručno razvojnu agenciju nadležnu za obavljanje poslova pripreme, koordinacije i praćenje izrade planskih dokumenata u Republici. Takođe, Agencija će obavljati određene regulatorne poslove i </w:t>
      </w:r>
      <w:r w:rsidRPr="00412B28">
        <w:rPr>
          <w:rFonts w:ascii="Times New Roman" w:hAnsi="Times New Roman" w:cs="Times New Roman"/>
          <w:sz w:val="24"/>
          <w:szCs w:val="24"/>
          <w:lang w:val="sr-Cyrl-RS"/>
        </w:rPr>
        <w:lastRenderedPageBreak/>
        <w:t xml:space="preserve">poverene poslove, koji su definisani u okviru nadležnosti agencije (izdavanje potvrda o zelenim sertifikatima, izdavanje licenci za izradu planskih dokumenata, izdavanje informacije o lokaciji za potrebe izgradnje, izdavanje informacije o lokaciji za potrebe konverzije, stručna kontrola i kontrola usklađenosti dokumenata prostornog i urbanističkog planiranja. </w:t>
      </w:r>
    </w:p>
    <w:p w14:paraId="5CD454BA"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Osnivanje Agencije i uvođenje instituta Glavnog republičkog i Glavnog pokrajinskog urbaniste je način stavranja za efikasnije sprovođenje politike prostornog razvoja, odnosno planiranja, korišćenja, uređenje i zaštite prostora. </w:t>
      </w:r>
    </w:p>
    <w:p w14:paraId="58C33B9C"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Uvođenje principa zelene agende u planiranje i izgradnju ima za cilj podsticanje razvoja „zelene ekonomije“. Izmenama i dopunama ovog zakona stvara se normativni okvir za korišćenje namenskih fondova za podsticanje „zelene“ izgradnje, smanjenje karbonskog otiska, podsticanja korišćenja obnovljivih izvora energije, podsticanje razvoja urbane i elektromobilnosti, i dr. </w:t>
      </w:r>
    </w:p>
    <w:p w14:paraId="54D2B9EB"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Sa druge strane, priprema, koordinacija i praćenje izrade planskih dokumenata, kao i horizontalna i vertikalna koordinacija biće efikasnija, imajući u vidu da će se ovi poslovi raditi u posebnoj instituciji. To će omogućiti i transparentniji postupak pripreme, koordinacije i praćenje izrade planskih dokumenata </w:t>
      </w:r>
    </w:p>
    <w:p w14:paraId="33335BF1"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Opšte je poznato da izvorne nadležnosti organa uprave podrazumevaju tri vrste poslova iz oblasti, i to: 1) normativno-pravnih poslova, 2) upravno-pravnih poslova, 3) poslovi inspekcijskog nadzora. </w:t>
      </w:r>
    </w:p>
    <w:p w14:paraId="545AF1C9"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Za stručno - analitičko poslove, tradicionalno su bile formirane posebne institucije, primera radi zavodi, direkcije, insituti, i sl. U poslednje vreme, a naročito u poslednjih 20-ak godina formiraju se javne agencije, čiji je okviran rad uređen Zakonom o javnim agencijama, a preciznije određuju na osnovu drugih zakona i propisa.</w:t>
      </w:r>
    </w:p>
    <w:p w14:paraId="3FFA7F91"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Pored navedenih poslova na pripremi koordinaciji, praćenju izrade planskih dokumenata, ostvarivanju međunarodne saradnje, pružanju stručne pomoći i sprovođenja edukacije, Agencija će omogućiti i ažurno vođenje Centralnog registra planskih dokumenata, registra brownfield lokacija, potvrđivanja sertifikata zelene gradnje, izdavanje licenci za pravna lica u oblasti planiranja, kao i efikasniju kontrolu usklađenosti planskih dokumenata. </w:t>
      </w:r>
    </w:p>
    <w:p w14:paraId="07FCA576" w14:textId="77777777" w:rsidR="00EA2B24" w:rsidRPr="00412B28" w:rsidRDefault="00EA2B24" w:rsidP="00CB41F0">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Poseban zadatak Agencije će biti potpuna digitalizacija planskih dokumenata, i uvođenje sistema e prostor, koji će biti definisan kako podzakonskim aktom, tako i posebnim dokumentima – Koncept politike o reformi e-Prostor (Koncept politike o reformi prostornog i urbanističkog planiranja u Republici Srbiji) (u daljem tekstu: Koncept reforme) je dokument javnih politika, kojim se planira reforma sistema produkcije i distribucije planskih dokumenata i drugih pravnih režima kojima se uređuje korišćenje prostora, uključujući i uslove izgradnje. Koncept reforme je bio na javnoj raspravi u aprilu 2022. godine, koja iz tehničkih razloga nije formalno završena, tako da će se po usvajanju predmetnih izmena i dopuna Zakona o planiranju i izgradnji ovaj dokument ponovo naći na javnoj raspravi. Koncept reforme se radi na osnovu čl. 16. i 38. Zakona o planskom sistemu Republike Srbije („Službeni glasnik RS“, broj 30/2018). Ovim konceptom će se posebno razraditi i dopuniti prethodno definisani:</w:t>
      </w:r>
    </w:p>
    <w:p w14:paraId="026453CC"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 xml:space="preserve">Principi refome </w:t>
      </w:r>
    </w:p>
    <w:p w14:paraId="5DEF67DD"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Trenutno stanje prostornog i urbanističkog planiranja u Republici Srbiji i kapaciteta za sprovođenje reforme</w:t>
      </w:r>
    </w:p>
    <w:p w14:paraId="44707050"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Podaci o planskim dokumentima i pravnom okviru relevantnom za izradu Koncepta reforme</w:t>
      </w:r>
    </w:p>
    <w:p w14:paraId="2891948A"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Uporedna rešenja u oblasti  prostornog i urbanističkog planiranja</w:t>
      </w:r>
    </w:p>
    <w:p w14:paraId="73FC460D"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Definisanje željene promene</w:t>
      </w:r>
    </w:p>
    <w:p w14:paraId="30184B59"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Ciljevi reforme</w:t>
      </w:r>
    </w:p>
    <w:p w14:paraId="2F0F5B17"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Mere programa</w:t>
      </w:r>
    </w:p>
    <w:p w14:paraId="7B265F50"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Određenje načina izveštavanja o rezultatima</w:t>
      </w:r>
    </w:p>
    <w:p w14:paraId="0A2377BA"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Informacije o sprovedenim konsultacijama</w:t>
      </w:r>
    </w:p>
    <w:p w14:paraId="0DB4D132" w14:textId="77777777" w:rsidR="00EA2B24" w:rsidRPr="00412B28" w:rsidRDefault="00EA2B24" w:rsidP="00CB41F0">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Informacija o propisima koje bi trebalo doneti odnosno izmeniti</w:t>
      </w:r>
    </w:p>
    <w:p w14:paraId="6CCA2E99"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p>
    <w:p w14:paraId="236A8FB5"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p>
    <w:p w14:paraId="4A17CA6D" w14:textId="77777777" w:rsidR="00EA2B24" w:rsidRPr="00412B28" w:rsidRDefault="00EA2B24" w:rsidP="00CB41F0">
      <w:pPr>
        <w:pStyle w:val="ListParagraph"/>
        <w:numPr>
          <w:ilvl w:val="1"/>
          <w:numId w:val="29"/>
        </w:numPr>
        <w:tabs>
          <w:tab w:val="left" w:pos="8676"/>
        </w:tabs>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uvođenje instituta glavnog državnog urbaniste</w:t>
      </w:r>
      <w:r w:rsidRPr="00412B28">
        <w:rPr>
          <w:rFonts w:ascii="Times New Roman" w:hAnsi="Times New Roman" w:cs="Times New Roman"/>
          <w:b/>
          <w:bCs/>
          <w:sz w:val="24"/>
          <w:szCs w:val="24"/>
        </w:rPr>
        <w:t>;</w:t>
      </w:r>
    </w:p>
    <w:p w14:paraId="0DBD8FDE"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Poslove Glavnog republičkog urbaniste će obavljati direktor Agencije, a poslove Glavnog urbaniste autonomne pokrajine obavljaće direktor Organizacione jedinice Agencije za autonomnu pokrajinu. Osnovna intencija je da se stručna kontrola i kontrola usklađenosti dokumenata prostornog i urbanističkog planiranja efikasnije obavlja, a deo nadležnosti ministra i nadležnog ministarstva delegira Agenciji, odnonsno glavnim urbanistima.</w:t>
      </w:r>
    </w:p>
    <w:p w14:paraId="3C44EA13" w14:textId="77777777" w:rsidR="00EA2B24" w:rsidRPr="00412B28" w:rsidRDefault="00EA2B24" w:rsidP="00CB41F0">
      <w:pPr>
        <w:pStyle w:val="ListParagraph"/>
        <w:numPr>
          <w:ilvl w:val="1"/>
          <w:numId w:val="29"/>
        </w:numPr>
        <w:tabs>
          <w:tab w:val="left" w:pos="8676"/>
        </w:tabs>
        <w:rPr>
          <w:rFonts w:ascii="Times New Roman" w:hAnsi="Times New Roman" w:cs="Times New Roman"/>
          <w:b/>
          <w:bCs/>
          <w:sz w:val="24"/>
          <w:szCs w:val="24"/>
          <w:lang w:val="sr-Cyrl-RS"/>
        </w:rPr>
      </w:pPr>
      <w:r w:rsidRPr="00412B28">
        <w:rPr>
          <w:lang w:val="sr-Cyrl-RS"/>
        </w:rPr>
        <w:t xml:space="preserve"> </w:t>
      </w:r>
      <w:r w:rsidRPr="00412B28">
        <w:rPr>
          <w:rFonts w:ascii="Times New Roman" w:hAnsi="Times New Roman" w:cs="Times New Roman"/>
          <w:b/>
          <w:bCs/>
          <w:sz w:val="24"/>
          <w:szCs w:val="24"/>
          <w:lang w:val="sr-Cyrl-RS"/>
        </w:rPr>
        <w:t>uvođenje registra brownfield lokacija</w:t>
      </w:r>
      <w:r w:rsidRPr="00412B28">
        <w:rPr>
          <w:rFonts w:ascii="Times New Roman" w:hAnsi="Times New Roman" w:cs="Times New Roman"/>
          <w:b/>
          <w:bCs/>
          <w:sz w:val="24"/>
          <w:szCs w:val="24"/>
        </w:rPr>
        <w:t>;</w:t>
      </w:r>
    </w:p>
    <w:p w14:paraId="3AD4BE1C" w14:textId="77777777" w:rsidR="00EA2B24" w:rsidRPr="00412B28" w:rsidRDefault="00EA2B24" w:rsidP="00CB41F0">
      <w:pPr>
        <w:pStyle w:val="ListParagraph"/>
        <w:tabs>
          <w:tab w:val="left" w:pos="8676"/>
        </w:tabs>
        <w:ind w:left="1800"/>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Predloženo je uvođenje Registra brownfield lokacija, koji će da vodi Agencija za protorno planiranje i biće javno dostupan. Ovaj registar će da objedini sve podatke iz jedinica lokalnih samouprava. </w:t>
      </w:r>
    </w:p>
    <w:p w14:paraId="0E8DFE88"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Jedinice lokalne samouprave dužne su da Agenciji u roku od šest meseci od dana osnivanja Agencije, dostave podatke o brownfield lokacijama na svojoj teritoriji. Agencija se obavezuje da u roku šest meseci od dana dostavljanja podataka od jedinica lokalnih samouprava, sačini Registar podataka o brownfield lokacijama i učini ga javno dostupnim.</w:t>
      </w:r>
    </w:p>
    <w:p w14:paraId="786A7062"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p>
    <w:p w14:paraId="26665CA9"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rPr>
        <w:t xml:space="preserve">Brownfield </w:t>
      </w:r>
      <w:r w:rsidRPr="00412B28">
        <w:rPr>
          <w:rFonts w:ascii="Times New Roman" w:hAnsi="Times New Roman" w:cs="Times New Roman"/>
          <w:sz w:val="24"/>
          <w:szCs w:val="24"/>
          <w:lang w:val="sr-Cyrl-RS"/>
        </w:rPr>
        <w:t>lokacije predstavljaju lokacije na kojima se nalaze objekti, koji su, u ovom trenutku zapušteni, objekti koji se ne koriste, objekti koji zauzimaju određene površine građevinskog zemljišta. Uvođenjem registra i formiranjem detaljne evidencije ovih lokacija, stvaraju se uslovi za analizu svake pojedinačne lokacije i preduzimanje mera koje će omogućiti upotrebu predmetnih lokacija, u smislu rekonstrukcije, oslobađanje zemljišta za izgradnju itd...</w:t>
      </w:r>
    </w:p>
    <w:p w14:paraId="3FFD7904"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Primena pomenutih mera ommogućiće da se građevinsko zemljište, kao iscrpiv resurs, na kome se nalaze zapuštena industrijska postrojenja, ponovo koristi, ne zauzimajući nove površine poljoprivrednog i šumskog zemljišta, a istovremeno se vrši remedijacija, rekultivacija i revitalizacija zemljišta na kojem se nalaze </w:t>
      </w:r>
      <w:r w:rsidRPr="00412B28">
        <w:rPr>
          <w:rFonts w:ascii="Times New Roman" w:hAnsi="Times New Roman" w:cs="Times New Roman"/>
          <w:sz w:val="24"/>
          <w:szCs w:val="24"/>
        </w:rPr>
        <w:t xml:space="preserve">brownfield </w:t>
      </w:r>
      <w:r w:rsidRPr="00412B28">
        <w:rPr>
          <w:rFonts w:ascii="Times New Roman" w:hAnsi="Times New Roman" w:cs="Times New Roman"/>
          <w:sz w:val="24"/>
          <w:szCs w:val="24"/>
          <w:lang w:val="sr-Cyrl-RS"/>
        </w:rPr>
        <w:t>objekti.</w:t>
      </w:r>
    </w:p>
    <w:p w14:paraId="7A185C13" w14:textId="77777777" w:rsidR="00EA2B24" w:rsidRPr="00412B28" w:rsidRDefault="00EA2B24" w:rsidP="00CB41F0">
      <w:pPr>
        <w:pStyle w:val="ListParagraph"/>
        <w:tabs>
          <w:tab w:val="left" w:pos="8676"/>
        </w:tabs>
        <w:ind w:left="1800"/>
        <w:rPr>
          <w:lang w:val="sr-Cyrl-RS"/>
        </w:rPr>
      </w:pPr>
    </w:p>
    <w:p w14:paraId="13914C00" w14:textId="77777777" w:rsidR="00EA2B24" w:rsidRPr="00412B28" w:rsidRDefault="00EA2B24" w:rsidP="00CB41F0">
      <w:pPr>
        <w:pStyle w:val="ListParagraph"/>
        <w:numPr>
          <w:ilvl w:val="1"/>
          <w:numId w:val="29"/>
        </w:numPr>
        <w:tabs>
          <w:tab w:val="left" w:pos="8676"/>
        </w:tabs>
        <w:rPr>
          <w:rFonts w:ascii="Times New Roman" w:hAnsi="Times New Roman" w:cs="Times New Roman"/>
          <w:color w:val="FF0000"/>
          <w:sz w:val="24"/>
          <w:szCs w:val="24"/>
        </w:rPr>
      </w:pPr>
      <w:r w:rsidRPr="00412B28">
        <w:rPr>
          <w:rFonts w:ascii="Times New Roman" w:hAnsi="Times New Roman" w:cs="Times New Roman"/>
          <w:b/>
          <w:sz w:val="24"/>
          <w:szCs w:val="24"/>
          <w:u w:val="single"/>
          <w:lang w:val="sr-Cyrl-CS"/>
        </w:rPr>
        <w:t>ukidanje posebnih zakona</w:t>
      </w:r>
      <w:r w:rsidRPr="00412B28">
        <w:rPr>
          <w:rFonts w:ascii="Times New Roman" w:hAnsi="Times New Roman" w:cs="Times New Roman"/>
          <w:sz w:val="24"/>
          <w:szCs w:val="24"/>
        </w:rPr>
        <w:t>;</w:t>
      </w:r>
    </w:p>
    <w:p w14:paraId="481D62A8"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U periodu od 2010. godine do kraja 2022. godine, vrednost prihoda ostvarenih po osnovu naknade za pretvaranje prava korišćenja u pravo svojine iznosi 3.645.334.435 dinara, što je 303,777,870 dinara godišnje. Takođe, primenom ovog zakona više od 98 odsto konverzija obaveljeno je bez ikakve naknade, jer je Zakon o konverziji pružao mogućnost da investitor ili vlasnik može da dobije zemljište u vlasništvo i bez naknade, ako se ono nalazi oko glavnog objekta. S obzirom da to važi i za parkinge, prilaze, pomoćne prostorije, vlasnici su radije trošili godine na dokazivanju da im je predmetno zemljište neophodno za redovnu upotrebu, i da je vlasništvo moguće konvertovati bez naknade. Ovakvo postupanje vlasnika odložilo je ulaganja, kako se procenjuje, na oko 5,000 lokacija i rezultiralo je propuštenim prihodima koji se ostvaruju po osnovu investiranja, prihoda od doprinosa za građevinsko zemljište, PDV-a ili poreza na imovinu na nekretnine itd...</w:t>
      </w:r>
      <w:r w:rsidRPr="00412B28">
        <w:rPr>
          <w:rFonts w:ascii="Times New Roman" w:hAnsi="Times New Roman" w:cs="Times New Roman"/>
          <w:sz w:val="24"/>
          <w:szCs w:val="24"/>
          <w:lang w:val="sr-Cyrl-RS"/>
        </w:rPr>
        <w:tab/>
      </w:r>
    </w:p>
    <w:p w14:paraId="2A5EABE3" w14:textId="77777777" w:rsidR="00EA2B24" w:rsidRPr="00412B28" w:rsidRDefault="00EA2B24" w:rsidP="00CB41F0">
      <w:pPr>
        <w:pStyle w:val="ListParagraph"/>
        <w:numPr>
          <w:ilvl w:val="1"/>
          <w:numId w:val="29"/>
        </w:numPr>
        <w:tabs>
          <w:tab w:val="left" w:pos="8676"/>
        </w:tabs>
        <w:rPr>
          <w:rFonts w:ascii="Times New Roman" w:hAnsi="Times New Roman" w:cs="Times New Roman"/>
          <w:sz w:val="24"/>
          <w:szCs w:val="24"/>
        </w:rPr>
      </w:pPr>
      <w:r w:rsidRPr="00412B28">
        <w:rPr>
          <w:rFonts w:ascii="Times New Roman" w:hAnsi="Times New Roman" w:cs="Times New Roman"/>
          <w:sz w:val="24"/>
          <w:szCs w:val="24"/>
          <w:lang w:val="sr-Cyrl-CS"/>
        </w:rPr>
        <w:t xml:space="preserve">propisivanje obaveze pokrivenosti planskih dokumenta na najmanje 70% građevinskog područja, </w:t>
      </w:r>
    </w:p>
    <w:p w14:paraId="0CF4E9AD" w14:textId="77777777" w:rsidR="00EA2B24" w:rsidRPr="00412B28" w:rsidRDefault="00EA2B24" w:rsidP="00CB41F0">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Intencija zakonodavca je da se teritorija Republike „pokrije“ sprovedbenim planskim dokumentima. U tom smislu, plan generalne regulacije predstavlja osnovni plan regulacije i direktno se sprovodi. Ova mera će dati ključne rezultate u pogledu tradicionalnog nedostatka planskig dokumenata. Sprovođenje ove mere biće podržano kroz institut sufinansiranja planskih dokumenata, koji postoji kao zakonska norma pre predmetnih izmena.</w:t>
      </w:r>
    </w:p>
    <w:p w14:paraId="2AB54CE5"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 skladu sa odredbama člana 10 . Zakona o planiranju i izgradnji dokumenti prostornog i urbanističkog planiranja su klasifikovani na sledeći način, i to:</w:t>
      </w:r>
    </w:p>
    <w:p w14:paraId="0853A5C4"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1) planski dokumenti;</w:t>
      </w:r>
    </w:p>
    <w:p w14:paraId="0C0B0901"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2) dokumenti za sprovođenje prostornih planova;</w:t>
      </w:r>
    </w:p>
    <w:p w14:paraId="1E6512B4"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3) urbanističko-tehnički dokumenti;</w:t>
      </w:r>
    </w:p>
    <w:p w14:paraId="268B44BB"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4) Strategija održivog urbanog razvoja Republike Srbije;</w:t>
      </w:r>
    </w:p>
    <w:p w14:paraId="47D87C65"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5) Nacionalna arhitektonska strategija.</w:t>
      </w:r>
    </w:p>
    <w:p w14:paraId="57290CF3"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p>
    <w:p w14:paraId="5CE2B372"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Planski dokumenti su prostorni i urbanistički planovi.</w:t>
      </w:r>
    </w:p>
    <w:p w14:paraId="000B0F35"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p>
    <w:p w14:paraId="43532238" w14:textId="77777777" w:rsidR="00EA2B24" w:rsidRPr="00412B28" w:rsidRDefault="00EA2B24" w:rsidP="00CB41F0">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Prostorni planovi su:</w:t>
      </w:r>
    </w:p>
    <w:p w14:paraId="6754A080" w14:textId="77777777" w:rsidR="00EA2B24" w:rsidRPr="00412B28" w:rsidRDefault="00EA2B24" w:rsidP="00CB41F0">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Prostorni plan Republike Srbije</w:t>
      </w:r>
    </w:p>
    <w:p w14:paraId="349E3407" w14:textId="77777777" w:rsidR="00EA2B24" w:rsidRPr="00412B28" w:rsidRDefault="00EA2B24" w:rsidP="00CB41F0">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Regionalni prostorni plan</w:t>
      </w:r>
    </w:p>
    <w:p w14:paraId="343ECF1B" w14:textId="77777777" w:rsidR="00EA2B24" w:rsidRPr="00412B28" w:rsidRDefault="00EA2B24" w:rsidP="00CB41F0">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Prostorni plan područja posebne namene</w:t>
      </w:r>
    </w:p>
    <w:p w14:paraId="689BFB20" w14:textId="77777777" w:rsidR="00EA2B24" w:rsidRPr="00412B28" w:rsidRDefault="00EA2B24" w:rsidP="00CB41F0">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Prostorni plan jedinice lokalne samouprave</w:t>
      </w:r>
    </w:p>
    <w:p w14:paraId="42FDDCEE"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20117C4A" w14:textId="77777777" w:rsidR="00EA2B24" w:rsidRPr="00412B28" w:rsidRDefault="00EA2B24" w:rsidP="00CB41F0">
      <w:pPr>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Urbanistički planovi su:</w:t>
      </w:r>
    </w:p>
    <w:p w14:paraId="59D9F6F3" w14:textId="77777777" w:rsidR="00EA2B24" w:rsidRPr="00412B28" w:rsidRDefault="00EA2B24" w:rsidP="00CB41F0">
      <w:pPr>
        <w:pStyle w:val="ListParagraph"/>
        <w:numPr>
          <w:ilvl w:val="0"/>
          <w:numId w:val="41"/>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Generalni urbanistički plan</w:t>
      </w:r>
    </w:p>
    <w:p w14:paraId="19E3C0D7" w14:textId="77777777" w:rsidR="00EA2B24" w:rsidRPr="00412B28" w:rsidRDefault="00EA2B24" w:rsidP="00CB41F0">
      <w:pPr>
        <w:pStyle w:val="ListParagraph"/>
        <w:numPr>
          <w:ilvl w:val="0"/>
          <w:numId w:val="41"/>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Plan generalne regulacije</w:t>
      </w:r>
    </w:p>
    <w:p w14:paraId="5169B58C" w14:textId="77777777" w:rsidR="00EA2B24" w:rsidRPr="00412B28" w:rsidRDefault="00EA2B24" w:rsidP="00CB41F0">
      <w:pPr>
        <w:pStyle w:val="ListParagraph"/>
        <w:numPr>
          <w:ilvl w:val="0"/>
          <w:numId w:val="41"/>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Plan detaljne regulacije</w:t>
      </w:r>
    </w:p>
    <w:p w14:paraId="5F669399"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7D394951" w14:textId="77777777" w:rsidR="00EA2B24" w:rsidRPr="00412B28" w:rsidRDefault="00EA2B24" w:rsidP="00CB41F0">
      <w:pPr>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Dokumenti za sprovođenje prostornih planova su:</w:t>
      </w:r>
    </w:p>
    <w:p w14:paraId="19BEA87B" w14:textId="77777777" w:rsidR="00EA2B24" w:rsidRPr="00412B28" w:rsidRDefault="00EA2B24" w:rsidP="00CB41F0">
      <w:pPr>
        <w:pStyle w:val="ListParagraph"/>
        <w:numPr>
          <w:ilvl w:val="0"/>
          <w:numId w:val="42"/>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lastRenderedPageBreak/>
        <w:t>Program implementacije Prostornog plana Republike Srbije</w:t>
      </w:r>
    </w:p>
    <w:p w14:paraId="42523A7E" w14:textId="77777777" w:rsidR="00EA2B24" w:rsidRPr="00412B28" w:rsidRDefault="00EA2B24" w:rsidP="00CB41F0">
      <w:pPr>
        <w:pStyle w:val="ListParagraph"/>
        <w:numPr>
          <w:ilvl w:val="0"/>
          <w:numId w:val="42"/>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Program implementacije regionalnog prostornog plana</w:t>
      </w:r>
    </w:p>
    <w:p w14:paraId="679ADC5F"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3B05183B" w14:textId="77777777" w:rsidR="00EA2B24" w:rsidRPr="00412B28" w:rsidRDefault="00EA2B24" w:rsidP="00CB41F0">
      <w:pPr>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Urbanističko – tehnički dokumenti su:</w:t>
      </w:r>
    </w:p>
    <w:p w14:paraId="4D7F629A" w14:textId="77777777" w:rsidR="00EA2B24" w:rsidRPr="00412B28" w:rsidRDefault="00EA2B24" w:rsidP="00CB41F0">
      <w:pPr>
        <w:pStyle w:val="ListParagraph"/>
        <w:numPr>
          <w:ilvl w:val="0"/>
          <w:numId w:val="43"/>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Urbanistički projekat</w:t>
      </w:r>
    </w:p>
    <w:p w14:paraId="2AF69F9D" w14:textId="77777777" w:rsidR="00EA2B24" w:rsidRPr="00412B28" w:rsidRDefault="00EA2B24" w:rsidP="00CB41F0">
      <w:pPr>
        <w:pStyle w:val="ListParagraph"/>
        <w:numPr>
          <w:ilvl w:val="0"/>
          <w:numId w:val="43"/>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Projekat preparcelacije i parcelacije</w:t>
      </w:r>
    </w:p>
    <w:p w14:paraId="52561291" w14:textId="77777777" w:rsidR="00EA2B24" w:rsidRPr="00412B28" w:rsidRDefault="00EA2B24" w:rsidP="00CB41F0">
      <w:pPr>
        <w:pStyle w:val="ListParagraph"/>
        <w:numPr>
          <w:ilvl w:val="0"/>
          <w:numId w:val="43"/>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elaborat geodetskih radova za ispravku granica susednih parcela i spajanje dve susedne parcele istog vlasnika</w:t>
      </w:r>
    </w:p>
    <w:p w14:paraId="4B1317EC"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36898B02"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 skladu sa Zakonom o planiranju i izgradnji i propisima donetim na osnovu ovog zakona planski dokumenti se evidentiraju u Centralnom registru planskih dokumenata (</w:t>
      </w:r>
      <w:hyperlink r:id="rId26" w:history="1">
        <w:r w:rsidRPr="00412B28">
          <w:rPr>
            <w:rStyle w:val="Hyperlink"/>
            <w:rFonts w:ascii="Times New Roman" w:hAnsi="Times New Roman" w:cs="Times New Roman"/>
            <w:sz w:val="24"/>
            <w:szCs w:val="24"/>
          </w:rPr>
          <w:t>www.crpd.gov.rs</w:t>
        </w:r>
      </w:hyperlink>
      <w:r w:rsidRPr="00412B28">
        <w:rPr>
          <w:rFonts w:ascii="Times New Roman" w:hAnsi="Times New Roman" w:cs="Times New Roman"/>
          <w:color w:val="7030A0"/>
          <w:sz w:val="24"/>
          <w:szCs w:val="24"/>
        </w:rPr>
        <w:t xml:space="preserve">). </w:t>
      </w:r>
      <w:r w:rsidRPr="00412B28">
        <w:rPr>
          <w:rFonts w:ascii="Times New Roman" w:hAnsi="Times New Roman" w:cs="Times New Roman"/>
          <w:color w:val="7030A0"/>
          <w:sz w:val="24"/>
          <w:szCs w:val="24"/>
          <w:lang w:val="sr-Cyrl-RS"/>
        </w:rPr>
        <w:t>Nosioci izrade planskih dokumenata (nadležni organ Republike, nadležni organi autonomnih pokrajina, nadležni organi jedinica lokalnih samouprava) su u obavezi da unose planske dokumente iz svoje nadležnosti u ovaj registar. Registar vodi Republički geodetski zavod i trenutno nije funkcionalan, tako da se ne može precizno dati broj planskih dokumenata. Ilustracije radi, u skladu sa zakonom kojim je uređena teritorijalna organizacija u Repblici Srbiji ima 150 jedinica lokalnih samouprava na nivou opština i 26 jedinica lokalnih samouprava na nivou gradova (uključujući grad Beograd). Takođe, postoje 2 autonomne pokrajine.</w:t>
      </w:r>
    </w:p>
    <w:p w14:paraId="55A69023"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Po prvi put u praksi planiranja u Republici Srbiji, sve jedinice lokalne samouprave imaju usvojene prostorne planove (176 i 10 planova gradskih opština na teritoriji grada Beograda). Na snazi je Prostorni plan Republike Srbije, a takođe usvojeni su svi regionalni prostorni planovi (osim za AP Kosovo i Metohiju – ukupno 10 regionalnih prostornih planova). Prostorni plan Republike Srbije i regionalni prostorni planovi imaju usvojene dokumente za sprovođenje, odnosno programe implementacija.</w:t>
      </w:r>
    </w:p>
    <w:p w14:paraId="71F46255"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 periodu od 2003. do danas je usvojeno oko 100 prostornih planova područja posebne namene iz nadležnosti Republike i autonomnih pokrajina.</w:t>
      </w:r>
    </w:p>
    <w:p w14:paraId="476D4BFE"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 xml:space="preserve">Svi gradovi imaju usvojene generalne urbanističke planove (ukupno 26), dok sve jedinice lokalnih samouprava su izradile i usvojile ili jedan plan generalne regulacije, u slučaju kada se radi o sedištu jedinice lokalne samouprave, ili više planova generalne regulacije. Primera radi, grad Beograd ima plan generalne regulacije podeljen na 19 celina i još nekoliko planova generalne regulacije za naseljena mesta (Grocka, Palilula itd...). Sa druge strane, grad Leskovac ima 17 planova generalne regulacije, tako da s obzirom da Centralni registar planskih dokumenata trenutno nije funkcionalan, može se proceniti da ima nekoliko stotina planova generalne regulacije i nekoliko hiljada planova detaljne regulacije u Republici. </w:t>
      </w:r>
    </w:p>
    <w:p w14:paraId="47092584"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 xml:space="preserve">U pogledu urbanističko – tehničkih dokumenata, od izmena zakona iz 2018. godine, nadležno ministarstvo je potvrdilo 147 urbanističkih projekata i javno su dostupni na internet stranici ministarstva. Polazeći od ustavnih i zakonskih nadležnosti jedinica lokalnih samouprava u pogledu planiranja i uređenja svojih teritorija, jedinice lokalnih samouprava su u obavezi da vode evidenciju o potvrđenim urbanističkim projektima, </w:t>
      </w:r>
      <w:r w:rsidRPr="00412B28">
        <w:rPr>
          <w:rFonts w:ascii="Times New Roman" w:hAnsi="Times New Roman" w:cs="Times New Roman"/>
          <w:color w:val="7030A0"/>
          <w:sz w:val="24"/>
          <w:szCs w:val="24"/>
          <w:lang w:val="sr-Cyrl-RS"/>
        </w:rPr>
        <w:lastRenderedPageBreak/>
        <w:t>kao i da ih objavljuju na svojim zvaničnim internet stranicama, s tim da ne postoji obaveza da ove podatke dostavljaju nadležnom ministarstvu.</w:t>
      </w:r>
    </w:p>
    <w:p w14:paraId="44F1156A"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Ne postoji podatak o broju potvrđenih projekata parcelacije i elaborata izmene granica, jer se ovi podaci ne dostavljaju, a ovi postupci se vode u službama za katastar u jedinicama lokalnih samouprava.</w:t>
      </w:r>
    </w:p>
    <w:p w14:paraId="6FCF62E4" w14:textId="77777777" w:rsidR="00EA2B24" w:rsidRPr="00412B28" w:rsidRDefault="00EA2B24" w:rsidP="00CB41F0">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U pogledu planskih dokumenata pre 1993. godine, u Republici ne postoje važeći planovi. Ova mera je doneta izmenama zakona iz 2018. godine u cilju usaglašavanja horizonta izrade planskih dokumenata koji je propisan da se planski dokumenti donose najduže za 25 godina. Ovo ne znači da planski dokumenti „prestaju sa važenjem“ po isteku ovog roka, jer se ne radi o prekluzivnim rokovima, već prediktivnim (okvirnim) rokovima, do kada najkasnije teba pristupiti reviziji planskih dokumenata i izradi novih. Primera radi, u gradu Beogradu je u periodu od 2018. do 2022. godine bilo 106 urbanističkih planova koji su bili doneti pre 1993. godine i koji su u skladu sa tada važećim planom generalne regulacije bili na snazi. Izmenama i dopunama plana generalne regulacije 2022. godine veći broj ovih urbanističkih planova je prestalo da važe, tako da se može oceniti da se radi o manjem broju planskih dokumenata koji su na snazi, a doneti su pre 1993. godine.</w:t>
      </w:r>
    </w:p>
    <w:p w14:paraId="0211A770" w14:textId="77777777" w:rsidR="00EA2B24" w:rsidRPr="00412B28" w:rsidRDefault="00EA2B24" w:rsidP="00CB41F0">
      <w:pPr>
        <w:pStyle w:val="CommentText"/>
        <w:ind w:left="1080"/>
        <w:rPr>
          <w:color w:val="7030A0"/>
          <w:lang w:val="sr-Cyrl-RS"/>
        </w:rPr>
      </w:pPr>
    </w:p>
    <w:p w14:paraId="7A5128A9" w14:textId="77777777" w:rsidR="00EA2B24" w:rsidRPr="00412B28" w:rsidRDefault="00EA2B24" w:rsidP="00CB41F0">
      <w:pPr>
        <w:tabs>
          <w:tab w:val="left" w:pos="8676"/>
        </w:tabs>
        <w:jc w:val="both"/>
        <w:rPr>
          <w:rFonts w:ascii="Times New Roman" w:hAnsi="Times New Roman" w:cs="Times New Roman"/>
          <w:sz w:val="24"/>
          <w:szCs w:val="24"/>
        </w:rPr>
      </w:pPr>
    </w:p>
    <w:p w14:paraId="1691C559" w14:textId="77777777" w:rsidR="00EA2B24" w:rsidRPr="00412B28" w:rsidRDefault="00EA2B24" w:rsidP="00CB41F0">
      <w:pPr>
        <w:pStyle w:val="ListParagraph"/>
        <w:numPr>
          <w:ilvl w:val="1"/>
          <w:numId w:val="29"/>
        </w:numPr>
        <w:tabs>
          <w:tab w:val="left" w:pos="8676"/>
        </w:tabs>
        <w:rPr>
          <w:rFonts w:ascii="Times New Roman" w:hAnsi="Times New Roman" w:cs="Times New Roman"/>
          <w:sz w:val="24"/>
          <w:szCs w:val="24"/>
        </w:rPr>
      </w:pPr>
      <w:r w:rsidRPr="00412B28">
        <w:rPr>
          <w:rFonts w:ascii="Times New Roman" w:hAnsi="Times New Roman" w:cs="Times New Roman"/>
          <w:sz w:val="24"/>
          <w:szCs w:val="24"/>
          <w:lang w:val="sr-Cyrl-CS"/>
        </w:rPr>
        <w:t xml:space="preserve">propisivanje obaveze za sve zgrade da nakon određenog vremena moraju da imaju </w:t>
      </w:r>
      <w:r w:rsidRPr="00412B28">
        <w:rPr>
          <w:rFonts w:ascii="Times New Roman" w:eastAsia="Times New Roman" w:hAnsi="Times New Roman" w:cs="Times New Roman"/>
          <w:bCs/>
          <w:sz w:val="24"/>
          <w:szCs w:val="24"/>
          <w:lang w:val="sr-Cyrl-CS"/>
        </w:rPr>
        <w:t>Sertifikat o energetskim svojstvima zgrade.</w:t>
      </w:r>
    </w:p>
    <w:p w14:paraId="714CABBD" w14:textId="77777777" w:rsidR="00EA2B24" w:rsidRPr="00412B28" w:rsidRDefault="00EA2B24" w:rsidP="00CB41F0">
      <w:pPr>
        <w:pStyle w:val="ListParagraph"/>
        <w:tabs>
          <w:tab w:val="left" w:pos="8676"/>
        </w:tabs>
        <w:ind w:left="1800"/>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Ova mera će doprineti boljoj pravnoj sigurnosti u pogledu kvaliteta izgradnje i prometa nepokretnosti, jer će se za svaku nepokretnost jasno i nedvosmisleno znati u pogledu troškova grejanja i hlađenja objekata, odnosno u pogledu troškova tekućeg i investicionog ulaganja za potrebe klimatizacije. </w:t>
      </w:r>
    </w:p>
    <w:p w14:paraId="25656BA5"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Koja promena se predlaže?</w:t>
      </w:r>
    </w:p>
    <w:p w14:paraId="3EDF67B1" w14:textId="77777777" w:rsidR="00EA2B24" w:rsidRPr="00412B28" w:rsidRDefault="00EA2B24" w:rsidP="00CB41F0">
      <w:pPr>
        <w:pStyle w:val="CommentText"/>
        <w:ind w:left="360"/>
        <w:jc w:val="both"/>
        <w:rPr>
          <w:rFonts w:ascii="Times New Roman" w:hAnsi="Times New Roman" w:cs="Times New Roman"/>
          <w:color w:val="7030A0"/>
          <w:sz w:val="24"/>
          <w:szCs w:val="24"/>
          <w:lang w:val="sr-Cyrl-RS"/>
        </w:rPr>
      </w:pPr>
      <w:r w:rsidRPr="00412B28">
        <w:rPr>
          <w:rFonts w:ascii="Times New Roman" w:hAnsi="Times New Roman" w:cs="Times New Roman"/>
          <w:sz w:val="24"/>
          <w:szCs w:val="24"/>
          <w:lang w:val="sr-Cyrl-RS"/>
        </w:rPr>
        <w:t xml:space="preserve">Izmenama i dopunama Zakona predložene su izmene usmerene ka daljem unapređenju elektronskog sistema (CEOP) za izdavanje građevinskih dozvola, uvođenjem novih funkcionalnosti i poboljšanjem postojećih (naročito uvođenje E-prostora, kojim  postupak za izradu i izmenu planske dokumentacije postaje efikasniji i brži); uvođenju novih elemenata ''zelene agende'', ukidanju lex specialisa za linijske infrastrukturne objekte, otklanjanju kolizionih odredbi i njihovo međusobno usaglašavanje kroz paralelnu izmenu seta srodnih zakona, a naročito Zakona o stanovanju i održavanju zgrada i Zakona o komunalnim delatnostima, formiranju  Agencije za prostorno planiranje i urbanizam Republike Srbije, čime se deo nadležnosti sa državnog organa prenosi na Agenciju, prenosu dela ovlašćenja sa državnog organa na druga pravna lica i javne beležnike (izdavanje informacije o lokaciji), čime proces pribavljanja potrebnih akata za izgradnju  postaje efikasniji, uvođenju  glavnog državnog urbaniste (uvodi se stručno lice, imenovano od strane Vlade, koje će imati pored institucionalne pre svega ličnu odgovornost za sprovođenja postupaka pripreme, koordinacije i praćenja izrade planskih dokumenata. Ovo je sasvim drugačiji pristup u odnosu na tradicionalnu kolektivnu odgovornost u okviru rada komisija, tako da će biti tačno definisana pojedinačna odgovornost lica u ovim postupcima.), čime će dodatno biti uveden red u oblasti prostornog i urbanističkog planiranja na teritoriji Republike Srbije, povećanju zaštite na zaštićenim prirodnim i kulturnim područjima, propisivanjem da  Vlada donosi prostorni plan </w:t>
      </w:r>
      <w:r w:rsidRPr="00412B28">
        <w:rPr>
          <w:rFonts w:ascii="Times New Roman" w:hAnsi="Times New Roman" w:cs="Times New Roman"/>
          <w:sz w:val="24"/>
          <w:szCs w:val="24"/>
          <w:lang w:val="sr-Cyrl-RS"/>
        </w:rPr>
        <w:lastRenderedPageBreak/>
        <w:t>područja posebne namene (zbog značaja ovog prostora i uočenih nepravilnosti u donošenju urbanističkih planova od strane JLS, što je na nekim područjima dovelo do značajne devastacije prostora) i jačanju aktivnost jedinica lokalnih samouprava u oblasti planiranja i uređenja prostora propisivanjem o obaveznom donošenju planskih dokumenata na najmanje 70% građevinskog područja, čime se omogućava zakonita izgradnja i preventivno deluje na pojavu bespravne gradnje. Takođe, izmenama i dopunama Zakona predviđeno je ukidanje Zakona o konverziji uz naknadu.</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U periodu od 2010. godine do kraja 2022. godine, vrednost prihoda ostvarenih po osnovu naknade za pretvaranje prava korišćenja u pravo svojine iznosi 3.645.334.435 dinara, što je 303,777,870 dinara godišnje. Pomenuti iznos je, u smislu doprinosa budžetu Republike Srbije, ne tako značajan. Uvođenje naknade za konverziju iz prava korišćenja u pravo svojine sprečilo je brojne investitore da na predmetnim površinama građevinskog zemljišta, sprovedu investicione poduhvate. Ukidanjem ovog Zakona oslobodile bi se značajne površine građevinskog zemljišta za izgradnju, što bi imalo pozitivan efekat na uvećanje vrednosti izvedenih građevinskih radova i rast BDP Republike Srbije. Ukupan očekivan neto efekat ove mere detljano je opisan u finansijskim i ekonomskim efektima.</w:t>
      </w:r>
    </w:p>
    <w:p w14:paraId="1B99C779"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75861C16"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Uvođenje e prostora biće predmet posebnog podzakonskog akta i posebnog dokumenta javnih politika. U okviru e prostora izvršiće se digitalizacija i horizontalno i vertikalno umrežavanje imalaca javnoh ovlašćenja. Standardizovaće se prostorni podaci koje iz svog delokruga vode imaoci javnih ovlašćenja. Ovi podaci će biti u otvorenom formatu, tako da neće biti potrebna njihova dodatna obrada i generisanje, već specifično korišćenje u zavisnosti od vrste planskog dokumenta, a čitav postupak će biti transparentniji, jer će zainteresovana lica moći da ostvare neposredno uvid kao korisnici usluga e uprave.</w:t>
      </w:r>
    </w:p>
    <w:p w14:paraId="34F05B7F"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Skrećemo pažnju na već dato obrazloženje oko posebnih specefičnih nadležnosti Agencije.</w:t>
      </w:r>
    </w:p>
    <w:p w14:paraId="03F2F95F"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Poseban zadatak Agencije će biti potpuna digitalizacija planskih dokumenata, i uvođenje sistema e prostor, koji će biti definisan kako podzakonskim aktom, tako i posebnim dokumentima – Koncept politike o reformi e-Prostor (Koncept politike o reformi prostornog i urbanističkog planiranja u Republici Srbiji) (u daljem tekstu: Koncept reforme) je dokument javnih politika, kojim se planira reforma sistema produkcije i distribucije planskih dokumenata i drugih pravnih režima kojima se uređuje korišćenje prostora, uključujući i uslove izgradnje. Koncept reforme je bio na javnoj raspravi u aprilu 2022. godine, koja iz tehničkih razloga nije formalno završena, tako da će se po usvajanju predmetnih izmena i dopuna Zakona o planiranju i izgradnji ovaj dokument ponovo naći na javnoj raspravi. Koncept reforme se radi na osnovu čl. 16. i 38. Zakona o planskom sistemu Republike Srbije („Službeni glasnik RS“, broj 30/2018). Ovim konceptom će se posebno razraditi i dopuniti prethodno definisani:</w:t>
      </w:r>
    </w:p>
    <w:p w14:paraId="1B556A03"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Principi refome </w:t>
      </w:r>
    </w:p>
    <w:p w14:paraId="36D0A6EB"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Trenutno stanje prostornog i urbanističkog planiranja u Republici Srbiji i kapaciteta za sprovođenje reforme</w:t>
      </w:r>
    </w:p>
    <w:p w14:paraId="7DA05730"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Podaci o planskim dokumentima i pravnom okviru relevantnom za izradu Koncepta reforme</w:t>
      </w:r>
    </w:p>
    <w:p w14:paraId="0B3DDA21"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Uporedna rešenja u oblasti  prostornog i urbanističkog planiranja</w:t>
      </w:r>
    </w:p>
    <w:p w14:paraId="5EE5EA0B"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Definisanje željene promene</w:t>
      </w:r>
    </w:p>
    <w:p w14:paraId="3550A1D5"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Ciljevi reforme</w:t>
      </w:r>
    </w:p>
    <w:p w14:paraId="715D2930"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Mere programa</w:t>
      </w:r>
    </w:p>
    <w:p w14:paraId="1E021B36"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Određenje načina izveštavanja o rezultatima</w:t>
      </w:r>
    </w:p>
    <w:p w14:paraId="51DABB5C"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Informacije o sprovedenim konsultacijama</w:t>
      </w:r>
    </w:p>
    <w:p w14:paraId="4F52A2F8" w14:textId="77777777" w:rsidR="00EA2B24" w:rsidRPr="00412B28" w:rsidRDefault="00EA2B24" w:rsidP="00CB41F0">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Informacija o propisima koje bi trebalo doneti odnosno izmeniti</w:t>
      </w:r>
    </w:p>
    <w:p w14:paraId="3042E92C"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Za bolje razumevanje e prostora dostavljamo dodatni kratak rezime.</w:t>
      </w:r>
    </w:p>
    <w:p w14:paraId="11F8181A"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E PROSTOR – KRATAK REZIME (SVRHA I CILj)</w:t>
      </w:r>
    </w:p>
    <w:p w14:paraId="75C14C1F"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Predmet projekta E prostor je uvođenje sistema elektronske razmene podataka između imalaca javnih ovlašćenja, u postupku pripreme planskih dokumenata. Neophodno je da svi planski dokumenti budu rađeni u digitalnom obliku, na ažurnim podlogama.</w:t>
      </w:r>
    </w:p>
    <w:p w14:paraId="139247B0"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E prostor će omogućiti da se podaci iz katastra nepokretnosti digitalizuju, ažuriraju i omogući će se brža, lakša i efikasnija njihova obrada.</w:t>
      </w:r>
    </w:p>
    <w:p w14:paraId="6DD4D951"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Takođe, projekat E prostor, predstavlja deo projekta E uprave gde će svi imaoci javnih ovlašćenja (javna preduzeća i komunalna preduzeća) u digitalnom obliku voditi svoje podatke, i u digitalnom obliku vršiti njihovu razmenu.</w:t>
      </w:r>
    </w:p>
    <w:p w14:paraId="19A1E2FA"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 okviru projekta E prostor će praktično postupak objedinjene procedure biti primenjen u postupku izrade planskih dokumenata.</w:t>
      </w:r>
    </w:p>
    <w:p w14:paraId="728D4FAF"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Suština je da se postupak izrade planskih dokumenata skrati, između ostalog na način da se faza prikupljanja podataka i formiranje informacione osnove za izradu planova učini mnogo efikasnijim nego što je to do sada bio slučaj.</w:t>
      </w:r>
    </w:p>
    <w:p w14:paraId="3236D5A0"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Učešće građana će takođe biti kvalitetnije, jer će građanima biti omogućen uvid u planske dokumente pored analognog (tradicionalnog načina uvida u štampane materijale) i na digitalan način, tako da će zainteresovana javnost i građani moći da podnose inicijative, primedbe i sugestije u digitalnom obliku na posebno uređenim i prilagođenim aplikacijama za internet.</w:t>
      </w:r>
    </w:p>
    <w:p w14:paraId="7CAE2813"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Projektom E prostor će se omogućiti i kvalitetnije arhiviranje planske dokumentacije i njihova dostupnost svima, jer po usvajanju planskih dokumenata, planovi imaju snagu propisa i jednako dejstvo prema svima, tako da će projektom E prostor biti unapređen Centralni registar planskih dokumenata i olakšano korišćenje podataka iz planskih dokumenata.</w:t>
      </w:r>
    </w:p>
    <w:p w14:paraId="40444FA6"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Krajnji cilj je da se u okviru E prostora, objedine informacije iz Katastra nepokretnosti i planskih dokumenata, tako da ovi podaci budu javni i dostupni u elektronskom obliku na način da se za svaku katastarsku parcelu mogu dobiti informacije o mogućnostima i ograničenjima izgradnje, odnosno o zabrani izgradnje ukoliko se radi o zaštićenim područjima pod određenim režimima zaštite ili se radi o zemiljštu na kojoj nije predviđena izgradnja.</w:t>
      </w:r>
    </w:p>
    <w:p w14:paraId="17B058C4"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Projekat E prostor predstavlja reformu u sistemu javne evidencije o nepokretnostima, kao i načinu i postupku izrade planskih dokumenata.</w:t>
      </w:r>
    </w:p>
    <w:p w14:paraId="634A194A"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Realizacijom ovog projekta će se dodatno skratiti procedure, neće više biti potrebno izdavanje informacije o lokaciji (jer će ovi podaci biti javno dostupni), a građani će biti bolje informisani o mogućnostima i ograničenjima izgradnje, te će moći pravovremeno da reaguju ukoliko dođe do eventualnih zloupotreba i gradnje koja je u suprotnosti sa planskim dokumentom.</w:t>
      </w:r>
    </w:p>
    <w:p w14:paraId="2CB90DAA"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E PROSTOR – DO SADA URAĐENO I PREDSTOJEĆE AKTIVNOSTI </w:t>
      </w:r>
    </w:p>
    <w:p w14:paraId="524E0E2B"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Projekat E prostor je na predlog MGSI uvršćen u Vladin PROGRAM EKONOMSKIH REFORMI 2021 – 2023 (u okviru strukturne reforme: Unapređenje upravljanja prostornim </w:t>
      </w:r>
      <w:r w:rsidRPr="00412B28">
        <w:rPr>
          <w:rFonts w:ascii="Times New Roman" w:hAnsi="Times New Roman" w:cs="Times New Roman"/>
          <w:sz w:val="24"/>
          <w:szCs w:val="24"/>
          <w:lang w:val="sr-Cyrl-RS"/>
        </w:rPr>
        <w:lastRenderedPageBreak/>
        <w:t>razvojem u Republici Srbiji kroz uspostavljanje digitalne platforme E prostor; oblast: Istraživanje, razvoj i inovacije i digitalne transformacija).</w:t>
      </w:r>
    </w:p>
    <w:p w14:paraId="1782788A"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Projekat E prostor je uvršten u akcioni plan Vlade.</w:t>
      </w:r>
    </w:p>
    <w:p w14:paraId="035715B6"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 okviru RGZ-ovog projekta Investicione mape u saradnji sa NALED-om i RGZ-om pripremljena je radna verzija dokumenta javne politike „Koncept digitalizacije prostornog i urbanističkog planiranja“ (i započeta je javna rasprava u aprilu 2022. godine, koja nije dovršena i koju bi trebalo ponoviti po usvajanju izmena i dopuna Zakona o planiranju i izgradnji i formiranju Agencije za prostorno planiranje i urbanizam).</w:t>
      </w:r>
    </w:p>
    <w:p w14:paraId="3EE896D9"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Projekat E prostor je predložen za finansiranje iz IPA fondova (pripremljena je radna verzija ToR-a)</w:t>
      </w:r>
    </w:p>
    <w:p w14:paraId="7BEFD15B"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Potrebno je obnoviti rad radne grupe od predstavnika NALED-a, RGZ-a, MGSI, kabineta premijerke, Agencije za prostorno planiranje i urbanizam, sa zadatkom završetka izrade reformskog dokumenta javne politike „Koncept digitalizacije prostornog i urbanističkog planiranja“</w:t>
      </w:r>
    </w:p>
    <w:p w14:paraId="3A3F77AF"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Finalizirati redigovani koncept, ponovo sprovesti javnu raspravu i uputiti na mišljenja resorima i usvajanje na Vladi</w:t>
      </w:r>
    </w:p>
    <w:p w14:paraId="2FDF5682"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Definisati način finansiranja sprovođenja reforme i formirati radnu grupu za praćenje sprovođenja. </w:t>
      </w:r>
    </w:p>
    <w:p w14:paraId="26067C37" w14:textId="77777777" w:rsidR="00EA2B24" w:rsidRPr="00412B28" w:rsidRDefault="00EA2B24" w:rsidP="00CB41F0">
      <w:pPr>
        <w:ind w:left="360"/>
        <w:jc w:val="both"/>
        <w:rPr>
          <w:rFonts w:ascii="Times New Roman" w:hAnsi="Times New Roman" w:cs="Times New Roman"/>
          <w:sz w:val="24"/>
          <w:szCs w:val="24"/>
          <w:lang w:val="sr-Cyrl-RS"/>
        </w:rPr>
      </w:pPr>
      <w:r w:rsidRPr="00412B28">
        <w:rPr>
          <w:rFonts w:ascii="Times New Roman" w:eastAsia="Times New Roman" w:hAnsi="Times New Roman" w:cs="Times New Roman"/>
          <w:sz w:val="24"/>
          <w:szCs w:val="24"/>
          <w:lang w:val="sr-Cyrl-CS"/>
        </w:rPr>
        <w:t xml:space="preserve">Novim zakonskim rešenjem, predviđeno je </w:t>
      </w:r>
      <w:r w:rsidRPr="00412B28">
        <w:rPr>
          <w:rFonts w:ascii="Times New Roman" w:hAnsi="Times New Roman" w:cs="Times New Roman"/>
          <w:sz w:val="24"/>
          <w:szCs w:val="24"/>
          <w:lang w:val="sr-Cyrl-CS"/>
        </w:rPr>
        <w:t xml:space="preserve">ukidanje </w:t>
      </w:r>
      <w:r w:rsidRPr="00412B28">
        <w:rPr>
          <w:rFonts w:ascii="Times New Roman" w:hAnsi="Times New Roman" w:cs="Times New Roman"/>
          <w:i/>
          <w:sz w:val="24"/>
          <w:szCs w:val="24"/>
          <w:lang w:val="sr-Latn-CS"/>
        </w:rPr>
        <w:t xml:space="preserve">lex specialisa </w:t>
      </w:r>
      <w:r w:rsidRPr="00412B28">
        <w:rPr>
          <w:rFonts w:ascii="Times New Roman" w:hAnsi="Times New Roman" w:cs="Times New Roman"/>
          <w:sz w:val="24"/>
          <w:szCs w:val="24"/>
          <w:lang w:val="sr-Cyrl-CS"/>
        </w:rPr>
        <w:t xml:space="preserve">za linijsku infrastrukturu, </w:t>
      </w:r>
      <w:r w:rsidRPr="00412B28">
        <w:rPr>
          <w:rFonts w:ascii="Times New Roman" w:hAnsi="Times New Roman" w:cs="Times New Roman"/>
          <w:sz w:val="24"/>
          <w:szCs w:val="24"/>
          <w:lang w:val="sr-Cyrl-RS"/>
        </w:rPr>
        <w:t>što je jedna od ključnih zamerki Evropske komisije EU u ovoj oblasti.</w:t>
      </w:r>
    </w:p>
    <w:p w14:paraId="61D80C4A" w14:textId="77777777" w:rsidR="00EA2B24" w:rsidRPr="00412B28" w:rsidRDefault="00EA2B24" w:rsidP="00CB41F0">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Jedan od proklamovanih ciljeva izmena i dopuna Zakona o planiranju i izgradnji jeste i usklađivanje propisa Republike Srbije sa propisima Evropske Unije, između ostalog i radi povećanje transparentnosti rada državne uprave i podsticanje primene savremenih, održivih koncepata u oblasti planiranja i uređenja prostora.</w:t>
      </w:r>
    </w:p>
    <w:p w14:paraId="385C6992" w14:textId="77777777" w:rsidR="00EA2B24" w:rsidRPr="00412B28" w:rsidRDefault="00EA2B24" w:rsidP="00CB41F0">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Naime, u izveštaju Evropske komisije za 2022. godinu konstatovano je da veliki broj izuzetaka od primene Zakona o javnim nabavkama predstavlja ozbiljan rizik od korupcije u javnim nabavkama. Zakonu o posebnim postupcima radi realizacije projekata izgradnje i rekonstrukcije linijskih infrastrukturnih objekata od posebnog značaja za Republiku Srbiju nedostaju jasnoća procedura odabira i transparentnost. </w:t>
      </w:r>
    </w:p>
    <w:p w14:paraId="4C4AD517" w14:textId="77777777" w:rsidR="00EA2B24" w:rsidRPr="00412B28" w:rsidRDefault="00EA2B24" w:rsidP="00CB41F0">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Prema ocenama Evropske komisije, Srbija je umereno pripremljena u oblasti javne nabavke. Zakon o posebnim postupcima radi realizacije projekata izgradnje i rekonstrukcije linijskih infrastrukturnih objekata od posebnog značaja za Republiku Srbiju ozbiljno ugrožava efikasno sprovođenje Zakona o javnim nabavkama. Sve veći broj izuzeća od primene Zakona o javnim nabavkama, u ukupnom iznosu od 67% (3,2 milijarde evra) kumulativne vrednosti ugovora o javnim nabavkama u 2021. godini, rizikuje nazadovanje u ovoj oblasti. </w:t>
      </w:r>
    </w:p>
    <w:p w14:paraId="6DDD9F08" w14:textId="77777777" w:rsidR="00EA2B24" w:rsidRPr="00412B28" w:rsidRDefault="00EA2B24" w:rsidP="00CB41F0">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Preporuke Komisije iz 2021. godine i 2022. godine je da Srbija treba naročito da stavi van snage Zakon o posebnim postupcima radi realizacije projekata izgradnje i rekonstrukcije linijskih infrastrukturnih objekata od posebnog značaja za Republiku Srbiju i da obezbedi potpuno usklađivanje sa Direktivama EU o javnim nabavkama iz 2014. godine, tako što će se postarati da projekti koji se finansiraju iz javnih sredstava podležu postupcima javne nabavke; </w:t>
      </w:r>
      <w:r w:rsidRPr="00412B28">
        <w:rPr>
          <w:rFonts w:ascii="Times New Roman" w:eastAsia="Times New Roman" w:hAnsi="Times New Roman" w:cs="Times New Roman"/>
          <w:sz w:val="24"/>
          <w:szCs w:val="24"/>
          <w:lang w:val="sr-Cyrl-CS"/>
        </w:rPr>
        <w:lastRenderedPageBreak/>
        <w:t>obezbedi da međuvladini sporazumi zaključeni sa trećim zemljama ne ograničavaju neopravdano konkurenciju i da budu u skladu sa osnovnim načelima javnih nabavki, u skladu sa nacionalnim zakonodavstvom i pravnim tekovinama EU.</w:t>
      </w:r>
    </w:p>
    <w:p w14:paraId="6A2AE147" w14:textId="77777777" w:rsidR="00EA2B24" w:rsidRPr="00412B28" w:rsidRDefault="00EA2B24" w:rsidP="00CB41F0">
      <w:pPr>
        <w:shd w:val="clear" w:color="auto" w:fill="C6D9F1" w:themeFill="text2" w:themeFillTint="33"/>
        <w:spacing w:before="240" w:after="0" w:line="276" w:lineRule="auto"/>
        <w:jc w:val="both"/>
        <w:rPr>
          <w:rFonts w:ascii="Times New Roman" w:hAnsi="Times New Roman" w:cs="Times New Roman"/>
          <w:sz w:val="24"/>
          <w:szCs w:val="24"/>
          <w:lang w:val="sr-Cyrl-RS"/>
        </w:rPr>
      </w:pPr>
    </w:p>
    <w:p w14:paraId="0A1145E0"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je promena zaista neophodna</w:t>
      </w:r>
      <w:r w:rsidRPr="00412B28">
        <w:rPr>
          <w:rFonts w:ascii="Times New Roman" w:hAnsi="Times New Roman" w:cs="Times New Roman"/>
          <w:sz w:val="24"/>
          <w:szCs w:val="24"/>
          <w:lang w:val="sr-Cyrl-RS"/>
        </w:rPr>
        <w:t xml:space="preserve"> i</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u kom obimu</w:t>
      </w:r>
      <w:r w:rsidRPr="00412B28">
        <w:rPr>
          <w:rFonts w:ascii="Times New Roman" w:hAnsi="Times New Roman" w:cs="Times New Roman"/>
          <w:sz w:val="24"/>
          <w:szCs w:val="24"/>
        </w:rPr>
        <w:t>?</w:t>
      </w:r>
    </w:p>
    <w:p w14:paraId="53B25720"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u obimu koji je predložen predlogom izmena i dopuna Zakona. Predložene promene predstavljaju efikasnije organizovanje poslova na pripremi, koordinaciji i praćenju izrade planskih dokumenata u Republici. Osnivanje javne agencije za prostorno planiranje i urbanizam je u skladu sa zakonom kojim je uređen rad javnih agencija. Ova agencija predstavlja pre svega stručno razvojnu agenciju, sa određenim regulatornim poslovima koji su definisani u okviru nadležnosti agencije (izdavanje potvrda o zelenim sertifikatima, izdavanje licenci za izradu planskih dokumenata, izdavanje informacije o lokaciji za potrebe izgradnje, izdavanje informacije o lokaciji za potrebe konverzije), kao i sa poverenim poslovima u pogledu stručne kontrole i kontrole usklađenosti dokumenata prostornog i urbanističkog planiranja. Neophodna je promena iz razloga uvođenja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elektronske razmene podataka između imalaca javnih ovlašćenja za potrebe izrade planskih dokumenata (E-prostor), u smislu da će agencija za prostorno planiranje i urbanizam biti nadležna institucija za vođenje Centralnog registra planskih dokumenata i sistema E-prostor.</w:t>
      </w:r>
    </w:p>
    <w:p w14:paraId="7BC53BAA"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Inače, opšta je ocena da je prethodna odluka o ukidanju prethodne agencije, bila ishitrena. Nešto slično je i kod zakona o konverziji, jer su se u praksi pokazali sasvim suprotni rezultati.</w:t>
      </w:r>
    </w:p>
    <w:p w14:paraId="588EEF2E"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 pravilu, javne agencije se osnivaju kako bi u određenom periodu sprovele odgovarajuće regulatorne reforme. Ovde se radi o stručno razvojnoj Agenciji, koja je u prethodnom periodu nastala od Republičkog zavoda za prostorno planiranje i urbanizam. Poslovi pripreme, koordinacije i praćenje izrade planskih dokumenata, vertikalne i horizontalne koordinacije, vođenje registara, izdavanje sertifikata i licenci, vođenje sistema e prostor zahtevaju posebno institucionalno organizovanje, što prevazilazi delokrug organa uprave čije se nadležnosti uređuju zakonom kojima se uređuje delokrug ministarstva.</w:t>
      </w:r>
    </w:p>
    <w:p w14:paraId="7E7A8C74" w14:textId="77777777" w:rsidR="00EA2B24" w:rsidRPr="00412B28" w:rsidRDefault="00EA2B24" w:rsidP="00CB41F0">
      <w:pPr>
        <w:pStyle w:val="CommentText"/>
        <w:ind w:left="360"/>
        <w:jc w:val="both"/>
        <w:rPr>
          <w:rFonts w:ascii="Times New Roman" w:hAnsi="Times New Roman" w:cs="Times New Roman"/>
          <w:sz w:val="24"/>
          <w:szCs w:val="24"/>
          <w:lang w:val="sr-Cyrl-RS"/>
        </w:rPr>
      </w:pPr>
    </w:p>
    <w:p w14:paraId="3E6B28B0" w14:textId="77777777" w:rsidR="00EA2B24" w:rsidRPr="00412B28" w:rsidRDefault="00EA2B24" w:rsidP="00CB41F0">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Sa druge strane, Srbija je jedina zemlja u regionu i šire koja u periodu od 2014 do danas nije imala specijalizovanu republičku insitutciju za poslove planiranja i uređenja prostora, tako da je i to jedan od pokazatelja da je odluka iz 2014. godine bila u suprotnosti sa aktuelnom praksom. Zemalja iz okruženja i u Evropi.</w:t>
      </w:r>
    </w:p>
    <w:p w14:paraId="3004CD2B"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433FAD4F"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Na koje </w:t>
      </w:r>
      <w:r w:rsidRPr="00412B28">
        <w:rPr>
          <w:rFonts w:ascii="Times New Roman" w:hAnsi="Times New Roman" w:cs="Times New Roman"/>
          <w:sz w:val="24"/>
          <w:szCs w:val="24"/>
          <w:lang w:val="sr-Cyrl-RS"/>
        </w:rPr>
        <w:t xml:space="preserve">ciljne grupe </w:t>
      </w:r>
      <w:r w:rsidRPr="00412B28">
        <w:rPr>
          <w:rFonts w:ascii="Times New Roman" w:hAnsi="Times New Roman" w:cs="Times New Roman"/>
          <w:sz w:val="24"/>
          <w:szCs w:val="24"/>
        </w:rPr>
        <w:t xml:space="preserve">će uticati predložena promena? Utvrditi i predstaviti </w:t>
      </w:r>
      <w:r w:rsidRPr="00412B28">
        <w:rPr>
          <w:rFonts w:ascii="Times New Roman" w:hAnsi="Times New Roman" w:cs="Times New Roman"/>
          <w:sz w:val="24"/>
          <w:szCs w:val="24"/>
          <w:lang w:val="sr-Cyrl-RS"/>
        </w:rPr>
        <w:t xml:space="preserve">ciljne grupe </w:t>
      </w:r>
      <w:r w:rsidRPr="00412B28">
        <w:rPr>
          <w:rFonts w:ascii="Times New Roman" w:hAnsi="Times New Roman" w:cs="Times New Roman"/>
          <w:sz w:val="24"/>
          <w:szCs w:val="24"/>
        </w:rPr>
        <w:t xml:space="preserve">na koje će promena imati neposredan odnosno posredan uticaj. </w:t>
      </w:r>
    </w:p>
    <w:p w14:paraId="7CE87C7F"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Ciljne grupe na koje će uticati promena su privreda, prvenstveno sektor građevinske industrije, državna i lokalna administracija, građanstvo i društvo u celini.</w:t>
      </w:r>
    </w:p>
    <w:p w14:paraId="7DFD1B4E"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postoje važeći dokumenti javnih politika kojima bi se mogla ostvariti željena promena i o kojim dokumentima se radi?</w:t>
      </w:r>
    </w:p>
    <w:p w14:paraId="720D733F"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w:t>
      </w:r>
    </w:p>
    <w:p w14:paraId="090B3818"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Da li je promenu moguće ostvariti primenom važećih propisa?</w:t>
      </w:r>
    </w:p>
    <w:p w14:paraId="0E739C1B"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lang w:val="sr-Cyrl-RS"/>
        </w:rPr>
        <w:t>Da.</w:t>
      </w:r>
    </w:p>
    <w:p w14:paraId="043871CF"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Kvantitativno (numerički, statistički) predstaviti očekivane trendove u predmetnoj oblasti, ukoliko se odustane od intervencije (</w:t>
      </w:r>
      <w:r w:rsidRPr="00412B28">
        <w:rPr>
          <w:rFonts w:ascii="Times New Roman" w:hAnsi="Times New Roman" w:cs="Times New Roman"/>
          <w:i/>
          <w:sz w:val="24"/>
          <w:szCs w:val="24"/>
        </w:rPr>
        <w:t>status quo</w:t>
      </w:r>
      <w:r w:rsidRPr="00412B28">
        <w:rPr>
          <w:rFonts w:ascii="Times New Roman" w:hAnsi="Times New Roman" w:cs="Times New Roman"/>
          <w:sz w:val="24"/>
          <w:szCs w:val="24"/>
        </w:rPr>
        <w:t>).</w:t>
      </w:r>
    </w:p>
    <w:p w14:paraId="0472B5F2"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Odustajanje od primene izmena Zakona, uvažavajući trendove koji su aktuelni, dovela bi do negativnih efekata, prvenstveno po BDP Republike Srbije, budžet Republike Srbije, opštu privrednu aktivnost, građevinsku industriju ali i blagostanje građana.</w:t>
      </w:r>
    </w:p>
    <w:p w14:paraId="3FBAAAAE"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77329DAA"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Tabela. Kretanje broja građevinskih dozvola</w:t>
      </w:r>
    </w:p>
    <w:p w14:paraId="6BD77565"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7DA8FBF8" wp14:editId="56D74750">
            <wp:extent cx="5971540" cy="7753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71540" cy="775335"/>
                    </a:xfrm>
                    <a:prstGeom prst="rect">
                      <a:avLst/>
                    </a:prstGeom>
                  </pic:spPr>
                </pic:pic>
              </a:graphicData>
            </a:graphic>
          </wp:inline>
        </w:drawing>
      </w:r>
    </w:p>
    <w:p w14:paraId="43BFA099"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1BD7A966" wp14:editId="3B8A5FA8">
                <wp:simplePos x="0" y="0"/>
                <wp:positionH relativeFrom="column">
                  <wp:posOffset>67310</wp:posOffset>
                </wp:positionH>
                <wp:positionV relativeFrom="paragraph">
                  <wp:posOffset>-80010</wp:posOffset>
                </wp:positionV>
                <wp:extent cx="403860" cy="289560"/>
                <wp:effectExtent l="0" t="0" r="0" b="0"/>
                <wp:wrapNone/>
                <wp:docPr id="16" name="Rectangle 16"/>
                <wp:cNvGraphicFramePr/>
                <a:graphic xmlns:a="http://schemas.openxmlformats.org/drawingml/2006/main">
                  <a:graphicData uri="http://schemas.microsoft.com/office/word/2010/wordprocessingShape">
                    <wps:wsp>
                      <wps:cNvSpPr/>
                      <wps:spPr>
                        <a:xfrm>
                          <a:off x="0" y="0"/>
                          <a:ext cx="403860" cy="2895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3C164F" id="Rectangle 16" o:spid="_x0000_s1026" style="position:absolute;margin-left:5.3pt;margin-top:-6.3pt;width:31.8pt;height:22.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" fillcolor="white [3212]" stroked="f" strokeweight="2pt"/>
            </w:pict>
          </mc:Fallback>
        </mc:AlternateContent>
      </w:r>
      <w:r w:rsidRPr="00412B28">
        <w:rPr>
          <w:rFonts w:ascii="Times New Roman" w:hAnsi="Times New Roman" w:cs="Times New Roman"/>
          <w:noProof/>
          <w:sz w:val="24"/>
          <w:szCs w:val="24"/>
        </w:rPr>
        <w:drawing>
          <wp:inline distT="0" distB="0" distL="0" distR="0" wp14:anchorId="46849350" wp14:editId="67143163">
            <wp:extent cx="5971540" cy="33559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71540" cy="3355975"/>
                    </a:xfrm>
                    <a:prstGeom prst="rect">
                      <a:avLst/>
                    </a:prstGeom>
                  </pic:spPr>
                </pic:pic>
              </a:graphicData>
            </a:graphic>
          </wp:inline>
        </w:drawing>
      </w:r>
    </w:p>
    <w:p w14:paraId="2980DFA1"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500FF95B"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 Kvantifikacija ovih efekata prikazana je kroz obrazloženje finansijskih i ekonomskih efekata.</w:t>
      </w:r>
    </w:p>
    <w:p w14:paraId="0FDDF80C" w14:textId="77777777" w:rsidR="00EA2B24" w:rsidRPr="00412B28" w:rsidRDefault="00EA2B24" w:rsidP="00CB41F0">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Kakvo je iskustvo u ostvarivanju ovakvih promena u poređenju sa iskustvom drugih država, odnosno lokalnih samouprava (ako je reč o javnoj politici ili aktu lokalne samouprave)?</w:t>
      </w:r>
    </w:p>
    <w:p w14:paraId="51818B9F" w14:textId="77777777" w:rsidR="00EA2B24" w:rsidRPr="00412B28" w:rsidRDefault="00EA2B24" w:rsidP="00CB41F0">
      <w:pPr>
        <w:jc w:val="both"/>
        <w:rPr>
          <w:rFonts w:ascii="Times New Roman" w:eastAsia="Times New Roman" w:hAnsi="Times New Roman" w:cs="Times New Roman"/>
          <w:b/>
          <w:bCs/>
          <w:sz w:val="24"/>
          <w:szCs w:val="24"/>
          <w:lang w:val="sr-Cyrl-CS"/>
        </w:rPr>
      </w:pPr>
      <w:r w:rsidRPr="00412B28">
        <w:rPr>
          <w:rFonts w:ascii="Times New Roman" w:hAnsi="Times New Roman" w:cs="Times New Roman"/>
          <w:sz w:val="24"/>
          <w:szCs w:val="24"/>
          <w:lang w:val="sr-Cyrl-RS"/>
        </w:rPr>
        <w:t>Predložena rešenja u svakom smislu prate pozitivnu praksu i savremene trendove na evropskom i globalnom nivou.</w:t>
      </w:r>
      <w:r w:rsidRPr="00412B28">
        <w:rPr>
          <w:rFonts w:ascii="Times New Roman" w:eastAsia="Times New Roman" w:hAnsi="Times New Roman" w:cs="Times New Roman"/>
          <w:sz w:val="24"/>
          <w:szCs w:val="24"/>
          <w:lang w:val="sr-Cyrl-CS"/>
        </w:rPr>
        <w:t xml:space="preserve"> Jedan od proklamovanih ciljeva </w:t>
      </w:r>
      <w:r w:rsidRPr="00412B28">
        <w:rPr>
          <w:rFonts w:ascii="Times New Roman" w:eastAsia="Times New Roman" w:hAnsi="Times New Roman" w:cs="Times New Roman"/>
          <w:b/>
          <w:bCs/>
          <w:sz w:val="24"/>
          <w:szCs w:val="24"/>
          <w:lang w:val="sr-Cyrl-CS"/>
        </w:rPr>
        <w:t xml:space="preserve">izmena i dopuna Zakona o planiranju i izgradnji </w:t>
      </w:r>
      <w:r w:rsidRPr="00412B28">
        <w:rPr>
          <w:rFonts w:ascii="Times New Roman" w:eastAsia="Times New Roman" w:hAnsi="Times New Roman" w:cs="Times New Roman"/>
          <w:b/>
          <w:bCs/>
          <w:sz w:val="24"/>
          <w:szCs w:val="24"/>
          <w:u w:val="single"/>
          <w:lang w:val="sr-Cyrl-CS"/>
        </w:rPr>
        <w:t>jeste i usklađivanje propisa Republike Srbije sa propisima Evropske Unije, između ostalog i radi povećanje transparentnosti rada državne uprave i podsticanje primene savremenih, održivih koncepata u oblasti planiranja i uređenja prostora.</w:t>
      </w:r>
    </w:p>
    <w:p w14:paraId="71D6337E" w14:textId="77777777" w:rsidR="00EA2B24" w:rsidRPr="00412B28" w:rsidRDefault="00EA2B24" w:rsidP="00CB41F0">
      <w:pPr>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Reforme zakona, u ovom kontekstu, su po svom zahvatu opsežne, a po svom sadržaju fokusirane na rešavanje konkretnih problema i sveobuhvatno unapređenje ambijenta u građevinskoj industriji.</w:t>
      </w:r>
    </w:p>
    <w:p w14:paraId="418255B8" w14:textId="77777777" w:rsidR="00EA2B24" w:rsidRPr="00412B28" w:rsidRDefault="00EA2B24" w:rsidP="00CB41F0">
      <w:pPr>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lastRenderedPageBreak/>
        <w:t xml:space="preserve">Novim zakonskim rešenjem, </w:t>
      </w:r>
      <w:r w:rsidRPr="00412B28">
        <w:rPr>
          <w:rFonts w:ascii="Times New Roman" w:eastAsia="Times New Roman" w:hAnsi="Times New Roman" w:cs="Times New Roman"/>
          <w:b/>
          <w:bCs/>
          <w:sz w:val="24"/>
          <w:szCs w:val="24"/>
          <w:lang w:val="sr-Cyrl-CS"/>
        </w:rPr>
        <w:t xml:space="preserve">predviđeno je </w:t>
      </w:r>
      <w:r w:rsidRPr="00412B28">
        <w:rPr>
          <w:rFonts w:ascii="Times New Roman" w:hAnsi="Times New Roman" w:cs="Times New Roman"/>
          <w:b/>
          <w:bCs/>
          <w:sz w:val="24"/>
          <w:szCs w:val="24"/>
          <w:lang w:val="sr-Cyrl-CS"/>
        </w:rPr>
        <w:t xml:space="preserve">ukidanje </w:t>
      </w:r>
      <w:r w:rsidRPr="00412B28">
        <w:rPr>
          <w:rFonts w:ascii="Times New Roman" w:hAnsi="Times New Roman" w:cs="Times New Roman"/>
          <w:b/>
          <w:bCs/>
          <w:i/>
          <w:sz w:val="24"/>
          <w:szCs w:val="24"/>
          <w:lang w:val="sr-Latn-CS"/>
        </w:rPr>
        <w:t xml:space="preserve">lex specialisa </w:t>
      </w:r>
      <w:r w:rsidRPr="00412B28">
        <w:rPr>
          <w:rFonts w:ascii="Times New Roman" w:hAnsi="Times New Roman" w:cs="Times New Roman"/>
          <w:b/>
          <w:bCs/>
          <w:sz w:val="24"/>
          <w:szCs w:val="24"/>
          <w:lang w:val="sr-Cyrl-CS"/>
        </w:rPr>
        <w:t xml:space="preserve">za linijsku infrastrukturu, </w:t>
      </w:r>
      <w:r w:rsidRPr="00412B28">
        <w:rPr>
          <w:rFonts w:ascii="Times New Roman" w:hAnsi="Times New Roman" w:cs="Times New Roman"/>
          <w:b/>
          <w:bCs/>
          <w:sz w:val="24"/>
          <w:szCs w:val="24"/>
          <w:lang w:val="sr-Cyrl-RS"/>
        </w:rPr>
        <w:t>što je jedna od ključnih zamerki Evropske komisije EU u ovoj oblasti.</w:t>
      </w:r>
    </w:p>
    <w:p w14:paraId="401F51E1" w14:textId="77777777" w:rsidR="00EA2B24" w:rsidRPr="00412B28" w:rsidRDefault="00EA2B24" w:rsidP="00CB41F0">
      <w:pPr>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Posebno značajno mesto u izmenama i dopunama Zakona o planiranju i izgradnji zauzimaju rešenja koja tretiraju pitanja ,,Zelene agende</w:t>
      </w:r>
      <w:r w:rsidRPr="00412B28">
        <w:rPr>
          <w:rFonts w:ascii="Times New Roman" w:hAnsi="Times New Roman" w:cs="Times New Roman"/>
          <w:b/>
          <w:bCs/>
          <w:sz w:val="24"/>
          <w:szCs w:val="24"/>
        </w:rPr>
        <w:t>”, ,,</w:t>
      </w:r>
      <w:r w:rsidRPr="00412B28">
        <w:rPr>
          <w:rFonts w:ascii="Times New Roman" w:hAnsi="Times New Roman" w:cs="Times New Roman"/>
          <w:b/>
          <w:bCs/>
          <w:sz w:val="24"/>
          <w:szCs w:val="24"/>
          <w:lang w:val="sr-Cyrl-RS"/>
        </w:rPr>
        <w:t>Zelene transformacije</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energetske efikasnosti i održivosti.</w:t>
      </w:r>
    </w:p>
    <w:p w14:paraId="0C94FD02" w14:textId="77777777" w:rsidR="00EA2B24" w:rsidRPr="00412B28" w:rsidRDefault="00EA2B24" w:rsidP="00CB41F0">
      <w:p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Naime, </w:t>
      </w:r>
      <w:r w:rsidRPr="00412B28">
        <w:rPr>
          <w:rFonts w:ascii="Times New Roman" w:hAnsi="Times New Roman" w:cs="Times New Roman"/>
          <w:b/>
          <w:bCs/>
          <w:sz w:val="24"/>
          <w:szCs w:val="24"/>
          <w:lang w:val="sr-Cyrl-RS"/>
        </w:rPr>
        <w:t>Republika Srbija je potpisnica Deklaracije o zelenoj agendi</w:t>
      </w:r>
      <w:r w:rsidRPr="00412B28">
        <w:rPr>
          <w:rFonts w:ascii="Times New Roman" w:hAnsi="Times New Roman" w:cs="Times New Roman"/>
          <w:sz w:val="24"/>
          <w:szCs w:val="24"/>
          <w:lang w:val="sr-Cyrl-RS"/>
        </w:rPr>
        <w:t xml:space="preserve"> (Sofija, novembar 2020.godine), kojom su usvojene i prihvaćene preporuke o:</w:t>
      </w:r>
    </w:p>
    <w:p w14:paraId="4ABAE827" w14:textId="77777777" w:rsidR="00EA2B24" w:rsidRPr="00412B28" w:rsidRDefault="00EA2B24" w:rsidP="00CB41F0">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obnovljivim izvorima energije i zaštiti klime</w:t>
      </w:r>
      <w:r w:rsidRPr="00412B28">
        <w:rPr>
          <w:rFonts w:ascii="Times New Roman" w:hAnsi="Times New Roman" w:cs="Times New Roman"/>
          <w:sz w:val="24"/>
          <w:szCs w:val="24"/>
        </w:rPr>
        <w:t>;</w:t>
      </w:r>
    </w:p>
    <w:p w14:paraId="7F69035F" w14:textId="77777777" w:rsidR="00EA2B24" w:rsidRPr="00412B28" w:rsidRDefault="00EA2B24" w:rsidP="00CB41F0">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prelazu na cirkularnu ekonomiju</w:t>
      </w:r>
      <w:r w:rsidRPr="00412B28">
        <w:rPr>
          <w:rFonts w:ascii="Times New Roman" w:hAnsi="Times New Roman" w:cs="Times New Roman"/>
          <w:sz w:val="24"/>
          <w:szCs w:val="24"/>
        </w:rPr>
        <w:t>;</w:t>
      </w:r>
    </w:p>
    <w:p w14:paraId="7AB3403B" w14:textId="77777777" w:rsidR="00EA2B24" w:rsidRPr="00412B28" w:rsidRDefault="00EA2B24" w:rsidP="00CB41F0">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smanjenju zagađenja vazduha, vode i zemljišta</w:t>
      </w:r>
      <w:r w:rsidRPr="00412B28">
        <w:rPr>
          <w:rFonts w:ascii="Times New Roman" w:hAnsi="Times New Roman" w:cs="Times New Roman"/>
          <w:sz w:val="24"/>
          <w:szCs w:val="24"/>
        </w:rPr>
        <w:t>;</w:t>
      </w:r>
    </w:p>
    <w:p w14:paraId="49B406DA" w14:textId="77777777" w:rsidR="00EA2B24" w:rsidRPr="00412B28" w:rsidRDefault="00EA2B24" w:rsidP="00CB41F0">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zaštiti biodiverziteta i ekosistema</w:t>
      </w:r>
      <w:r w:rsidRPr="00412B28">
        <w:rPr>
          <w:rFonts w:ascii="Times New Roman" w:hAnsi="Times New Roman" w:cs="Times New Roman"/>
          <w:sz w:val="24"/>
          <w:szCs w:val="24"/>
        </w:rPr>
        <w:t>.</w:t>
      </w:r>
    </w:p>
    <w:p w14:paraId="1A77B6EF" w14:textId="77777777" w:rsidR="00EA2B24" w:rsidRPr="00412B28" w:rsidRDefault="00EA2B24" w:rsidP="00CB41F0">
      <w:pPr>
        <w:jc w:val="both"/>
        <w:rPr>
          <w:rFonts w:ascii="Times New Roman" w:hAnsi="Times New Roman" w:cs="Times New Roman"/>
          <w:sz w:val="24"/>
          <w:szCs w:val="24"/>
        </w:rPr>
      </w:pPr>
      <w:r w:rsidRPr="00412B28">
        <w:rPr>
          <w:rFonts w:ascii="Times New Roman" w:hAnsi="Times New Roman" w:cs="Times New Roman"/>
          <w:sz w:val="24"/>
          <w:szCs w:val="24"/>
          <w:lang w:val="sr-Cyrl-RS"/>
        </w:rPr>
        <w:t>Poštujući ciljeve pomenute deklaracije, u skladu sa svojim nadležnostima, Ministarstvo građevinarstva, saobraćaja i infrastrukture Republike Srbije, izmenama i dopunama Zakona o planiranju i izgradnji, omogućava primenu nekih od preporuka deklaracije, i to</w:t>
      </w:r>
      <w:r w:rsidRPr="00412B28">
        <w:rPr>
          <w:rFonts w:ascii="Times New Roman" w:hAnsi="Times New Roman" w:cs="Times New Roman"/>
          <w:sz w:val="24"/>
          <w:szCs w:val="24"/>
        </w:rPr>
        <w:t>:</w:t>
      </w:r>
    </w:p>
    <w:p w14:paraId="7DB1AB37"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u w:val="single"/>
          <w:lang w:val="sr-Cyrl-RS"/>
        </w:rPr>
        <w:t>razvoj i podsticanje elektromobilnosti,</w:t>
      </w:r>
      <w:r w:rsidRPr="00412B28">
        <w:rPr>
          <w:rFonts w:ascii="Times New Roman" w:hAnsi="Times New Roman" w:cs="Times New Roman"/>
          <w:sz w:val="24"/>
          <w:szCs w:val="24"/>
          <w:lang w:val="sr-Cyrl-RS"/>
        </w:rPr>
        <w:t xml:space="preserve"> kao ekološki prihvatljivog vida saobraćaja</w:t>
      </w:r>
      <w:r w:rsidRPr="00412B28">
        <w:rPr>
          <w:rFonts w:ascii="Times New Roman" w:hAnsi="Times New Roman" w:cs="Times New Roman"/>
          <w:sz w:val="24"/>
          <w:szCs w:val="24"/>
        </w:rPr>
        <w:t>;</w:t>
      </w:r>
    </w:p>
    <w:p w14:paraId="24024642"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podsticanje izgradnje postrojenja za proizvodnju električne energije iz obnovljivih izvora</w:t>
      </w:r>
      <w:r w:rsidRPr="00412B28">
        <w:rPr>
          <w:rFonts w:ascii="Times New Roman" w:hAnsi="Times New Roman" w:cs="Times New Roman"/>
          <w:sz w:val="24"/>
          <w:szCs w:val="24"/>
          <w:lang w:val="sr-Cyrl-RS"/>
        </w:rPr>
        <w:t xml:space="preserve"> kroz unapređenje i bliže definisanje odredbi za izgradnju ovih objekata (solarnih parkova, vetroelektana...)</w:t>
      </w:r>
      <w:r w:rsidRPr="00412B28">
        <w:rPr>
          <w:rFonts w:ascii="Times New Roman" w:hAnsi="Times New Roman" w:cs="Times New Roman"/>
          <w:sz w:val="24"/>
          <w:szCs w:val="24"/>
        </w:rPr>
        <w:t>;</w:t>
      </w:r>
    </w:p>
    <w:p w14:paraId="064E0D66"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smanjenje zagađenja vazduha, smanjenjem broja individualnih ložišta kroz uvođenje obaveza priključenja vlasnika zgrada na izgrađenu komunalnu infrastrukturu</w:t>
      </w:r>
      <w:r w:rsidRPr="00412B28">
        <w:rPr>
          <w:rFonts w:ascii="Times New Roman" w:hAnsi="Times New Roman" w:cs="Times New Roman"/>
          <w:sz w:val="24"/>
          <w:szCs w:val="24"/>
          <w:lang w:val="sr-Cyrl-RS"/>
        </w:rPr>
        <w:t xml:space="preserve"> (toplovode i gasovode)</w:t>
      </w:r>
      <w:r w:rsidRPr="00412B28">
        <w:rPr>
          <w:rFonts w:ascii="Times New Roman" w:hAnsi="Times New Roman" w:cs="Times New Roman"/>
          <w:sz w:val="24"/>
          <w:szCs w:val="24"/>
        </w:rPr>
        <w:t>;</w:t>
      </w:r>
    </w:p>
    <w:p w14:paraId="7B64B71A"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unpaređenje procesa upravljanja otpadom odredbama o kretanju i skladištenju građevinskog otpada</w:t>
      </w:r>
      <w:r w:rsidRPr="00412B28">
        <w:rPr>
          <w:rFonts w:ascii="Times New Roman" w:hAnsi="Times New Roman" w:cs="Times New Roman"/>
          <w:sz w:val="24"/>
          <w:szCs w:val="24"/>
          <w:lang w:val="sr-Cyrl-RS"/>
        </w:rPr>
        <w:t>. S tim u vezi, izrađen je i podzakonski akt, a predstoji nam i normiranje o upotrebi recikliranog građevinskog materijala prilikom izgradnje novih objekata, uz napomenu da je donet pravilnik o struganom asfaltu čije su odredbe usaglašene sa MZŽS</w:t>
      </w:r>
      <w:r w:rsidRPr="00412B28">
        <w:rPr>
          <w:rFonts w:ascii="Times New Roman" w:hAnsi="Times New Roman" w:cs="Times New Roman"/>
          <w:sz w:val="24"/>
          <w:szCs w:val="24"/>
        </w:rPr>
        <w:t>;</w:t>
      </w:r>
    </w:p>
    <w:p w14:paraId="61D1515C"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unapređenje postupaka povezanih sa kretanjem i skladištenjem građevinskog otpada</w:t>
      </w:r>
      <w:r w:rsidRPr="00412B28">
        <w:rPr>
          <w:rFonts w:ascii="Times New Roman" w:hAnsi="Times New Roman" w:cs="Times New Roman"/>
          <w:b/>
          <w:bCs/>
          <w:sz w:val="24"/>
          <w:szCs w:val="24"/>
        </w:rPr>
        <w:t>;</w:t>
      </w:r>
    </w:p>
    <w:p w14:paraId="362B2C6F"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unapređenje procesa realizacije projekata izgradnje komunalne infrastrukture</w:t>
      </w:r>
      <w:r w:rsidRPr="00412B28">
        <w:rPr>
          <w:rFonts w:ascii="Times New Roman" w:hAnsi="Times New Roman" w:cs="Times New Roman"/>
          <w:sz w:val="24"/>
          <w:szCs w:val="24"/>
          <w:lang w:val="sr-Cyrl-RS"/>
        </w:rPr>
        <w:t xml:space="preserve"> poput postrojenja za prečišćavanje otpadnih voda uvođenjem olakšanih procedura (primer projekat ,,Čista Srbija</w:t>
      </w:r>
      <w:r w:rsidRPr="00412B28">
        <w:rPr>
          <w:rFonts w:ascii="Times New Roman" w:hAnsi="Times New Roman" w:cs="Times New Roman"/>
          <w:sz w:val="24"/>
          <w:szCs w:val="24"/>
        </w:rPr>
        <w:t>”);</w:t>
      </w:r>
    </w:p>
    <w:p w14:paraId="31547B63"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regulisanje postupka potvrđivanja sertifikata zelene gradnje</w:t>
      </w:r>
      <w:r w:rsidRPr="00412B28">
        <w:rPr>
          <w:rFonts w:ascii="Times New Roman" w:hAnsi="Times New Roman" w:cs="Times New Roman"/>
          <w:sz w:val="24"/>
          <w:szCs w:val="24"/>
          <w:lang w:val="sr-Cyrl-RS"/>
        </w:rPr>
        <w:t xml:space="preserve"> koji će imati pozitivan uticaj na povećanu upotrebu ekoloških materijala i projektovanje, izgradnju i upotrebu objekata po međunarodno priznatim standardima. U Zakon je uneta sledeća odredba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„U cilju smanjenja emisije gasova sa efektom staklene bašte, korišćenja ekološki sertifikovanih građevinskih materijala i opreme, smanjenja produkcije otpada, korišćenja obnovljivih izvora energije, za sve nove zgrade preko 10.000 m2 bruto razvijene građevinske površine, po izdavanju upotrebne dozvole, pribavlja se sertifikat zelene gradnje''.</w:t>
      </w:r>
    </w:p>
    <w:p w14:paraId="110E4F5F"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unapređenje stepena zaštite prirodnih i kulturnih dobara</w:t>
      </w:r>
      <w:r w:rsidRPr="00412B28">
        <w:rPr>
          <w:rFonts w:ascii="Times New Roman" w:hAnsi="Times New Roman" w:cs="Times New Roman"/>
          <w:sz w:val="24"/>
          <w:szCs w:val="24"/>
          <w:lang w:val="sr-Cyrl-RS"/>
        </w:rPr>
        <w:t xml:space="preserve"> odredbom kojom je predviđeno da Prostorni plan područja posebne namene, u zaštićenim prirodnim i kulturnim dobrima, na predlog ministarstva</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donosi Vlada. Ovo obezbeđuje veću zaštitu i kontrolu izgradnje na pomenutim prostorima, uz puno poštovanje preuzetih obaveza o procentu poljoprivrednog i šumskog zemljišta, broju, odnosno površini nacionalnih parkova i sl.</w:t>
      </w:r>
    </w:p>
    <w:p w14:paraId="6D07B125"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lastRenderedPageBreak/>
        <w:t>primenu Direktive Inspire,</w:t>
      </w:r>
      <w:r w:rsidRPr="00412B28">
        <w:rPr>
          <w:rFonts w:ascii="Times New Roman" w:hAnsi="Times New Roman" w:cs="Times New Roman"/>
          <w:sz w:val="24"/>
          <w:szCs w:val="24"/>
          <w:lang w:val="sr-Cyrl-RS"/>
        </w:rPr>
        <w:t xml:space="preserve"> kao dokumenta kojim se postavljaju osnovna pravila usmerena ka uspostavljanju Infrastrukture prostornih informacija u Evropskoj uniji, a u Srbiji se sprovodi kroz Nacionalnu infrastrukturu geoprostornih podataka.</w:t>
      </w:r>
    </w:p>
    <w:p w14:paraId="5B23DD23"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unapređenje upravljanja raspoloživim građevinskim zemljištem uspostavljanjem registra brownfield  lokacija.</w:t>
      </w:r>
      <w:r w:rsidRPr="00412B28">
        <w:rPr>
          <w:rFonts w:ascii="Times New Roman" w:hAnsi="Times New Roman" w:cs="Times New Roman"/>
          <w:sz w:val="24"/>
          <w:szCs w:val="24"/>
          <w:lang w:val="sr-Cyrl-RS"/>
        </w:rPr>
        <w:t xml:space="preserve"> Naime, građevinsko zemljište, kao iscrpiv resurs, na kome se nalaze zapuštena industrijska postrojenja, se ponovo koristi, ne zauzimajući nove površine poljoprivrednog i šumskog zemljišta, a istovremeno se vrši remedijacija, rekultivacija i revitalizacija zemljišta na kojem se nalaze </w:t>
      </w:r>
      <w:r w:rsidRPr="00412B28">
        <w:rPr>
          <w:rFonts w:ascii="Times New Roman" w:hAnsi="Times New Roman" w:cs="Times New Roman"/>
          <w:sz w:val="24"/>
          <w:szCs w:val="24"/>
        </w:rPr>
        <w:t xml:space="preserve">brownfield </w:t>
      </w:r>
      <w:r w:rsidRPr="00412B28">
        <w:rPr>
          <w:rFonts w:ascii="Times New Roman" w:hAnsi="Times New Roman" w:cs="Times New Roman"/>
          <w:sz w:val="24"/>
          <w:szCs w:val="24"/>
          <w:lang w:val="sr-Cyrl-RS"/>
        </w:rPr>
        <w:t>objekti.</w:t>
      </w:r>
    </w:p>
    <w:p w14:paraId="09E77BEF"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unapređenje procesa povezanih sa sanacijom klizišta,</w:t>
      </w:r>
      <w:r w:rsidRPr="00412B28">
        <w:rPr>
          <w:rFonts w:ascii="Times New Roman" w:hAnsi="Times New Roman" w:cs="Times New Roman"/>
          <w:sz w:val="24"/>
          <w:szCs w:val="24"/>
          <w:lang w:val="sr-Cyrl-RS"/>
        </w:rPr>
        <w:t xml:space="preserve"> koja obuhvata sve radove kojima se vrši saniranje klizišta nastalih na građevinskom, šumskom, poljoprivrednom, putnom ili drugoj vrsti zemljišta. Ovi radovi obuhvataju raščišćavanje i otklanjanje nanosa nastalih kao posledica klizanja tla, projektovanje, obezbeđenje potrebne tehničke dokumentacije, potrebnih građevinskih uslova i izvođenje građevinskih radova potrebnih za sanaciju i zaštitu od pojave novog klizišta.</w:t>
      </w:r>
    </w:p>
    <w:p w14:paraId="108A28BD" w14:textId="77777777" w:rsidR="00EA2B24" w:rsidRPr="00412B28" w:rsidRDefault="00EA2B24" w:rsidP="00CB41F0">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uvođenje odredbi koje tretiraju pitanja </w:t>
      </w:r>
      <w:r w:rsidRPr="00412B28">
        <w:rPr>
          <w:rFonts w:ascii="Times New Roman" w:hAnsi="Times New Roman" w:cs="Times New Roman"/>
          <w:b/>
          <w:bCs/>
          <w:sz w:val="24"/>
          <w:szCs w:val="24"/>
          <w:lang w:val="sr-Cyrl-RS"/>
        </w:rPr>
        <w:t>SEVESO postrojenje i SEVESO kompleksa</w:t>
      </w:r>
      <w:r w:rsidRPr="00412B28">
        <w:rPr>
          <w:rFonts w:ascii="Times New Roman" w:hAnsi="Times New Roman" w:cs="Times New Roman"/>
          <w:sz w:val="24"/>
          <w:szCs w:val="24"/>
          <w:lang w:val="sr-Cyrl-RS"/>
        </w:rPr>
        <w:t xml:space="preserve"> kao postrojenja i kompleksa koji mogu imati uticaj na životnu sredinu i određuju se u skladu sa propisima kojima se uređuje životna sredina.</w:t>
      </w:r>
    </w:p>
    <w:p w14:paraId="1F4994E2" w14:textId="77777777" w:rsidR="00EA2B24" w:rsidRPr="00412B28" w:rsidRDefault="00EA2B24" w:rsidP="00CB41F0">
      <w:p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Što se </w:t>
      </w:r>
      <w:r w:rsidRPr="00412B28">
        <w:rPr>
          <w:rFonts w:ascii="Times New Roman" w:hAnsi="Times New Roman" w:cs="Times New Roman"/>
          <w:b/>
          <w:bCs/>
          <w:sz w:val="24"/>
          <w:szCs w:val="24"/>
          <w:lang w:val="sr-Cyrl-RS"/>
        </w:rPr>
        <w:t>oblasti energetske efikasnosti</w:t>
      </w:r>
      <w:r w:rsidRPr="00412B28">
        <w:rPr>
          <w:rFonts w:ascii="Times New Roman" w:hAnsi="Times New Roman" w:cs="Times New Roman"/>
          <w:sz w:val="24"/>
          <w:szCs w:val="24"/>
          <w:lang w:val="sr-Cyrl-RS"/>
        </w:rPr>
        <w:t xml:space="preserve"> tiče, odredbama Zakona direktno se transponuju</w:t>
      </w:r>
      <w:r w:rsidRPr="00412B28">
        <w:rPr>
          <w:lang w:val="sr-Cyrl-RS"/>
        </w:rPr>
        <w:t xml:space="preserve"> </w:t>
      </w:r>
      <w:r w:rsidRPr="00412B28">
        <w:rPr>
          <w:rFonts w:ascii="Times New Roman" w:hAnsi="Times New Roman" w:cs="Times New Roman"/>
          <w:sz w:val="24"/>
          <w:szCs w:val="24"/>
          <w:lang w:val="sr-Cyrl-RS"/>
        </w:rPr>
        <w:t xml:space="preserve">član 12. i član 13. Direktive o energetskim performansama zgrada 2010/31/EU i predviđa izrada Nacionalne metodologije proračuna energetskih karakteristika zgrada, čime je napravljen značajan korak ka daljem unapređenju energetske efikasnosti.  </w:t>
      </w:r>
    </w:p>
    <w:p w14:paraId="64E15ABF" w14:textId="77777777" w:rsidR="00EA2B24" w:rsidRPr="00412B28" w:rsidRDefault="00EA2B24" w:rsidP="00CB41F0">
      <w:pPr>
        <w:jc w:val="both"/>
        <w:rPr>
          <w:rFonts w:ascii="Times New Roman" w:hAnsi="Times New Roman" w:cs="Times New Roman"/>
          <w:sz w:val="24"/>
          <w:szCs w:val="24"/>
          <w:lang w:val="sr-Cyrl-CS"/>
        </w:rPr>
      </w:pPr>
      <w:r w:rsidRPr="00412B28">
        <w:rPr>
          <w:rFonts w:ascii="Times New Roman" w:hAnsi="Times New Roman" w:cs="Times New Roman"/>
          <w:sz w:val="24"/>
          <w:szCs w:val="24"/>
          <w:lang w:val="sr-Cyrl-RS"/>
        </w:rPr>
        <w:t>Zakonske odredbe omogućavaju i</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iCs/>
          <w:sz w:val="24"/>
          <w:szCs w:val="24"/>
          <w:lang w:val="sr-Cyrl-CS"/>
        </w:rPr>
        <w:t xml:space="preserve">dalje unapređenje </w:t>
      </w:r>
      <w:r w:rsidRPr="00412B28">
        <w:rPr>
          <w:rFonts w:ascii="Times New Roman" w:hAnsi="Times New Roman" w:cs="Times New Roman"/>
          <w:iCs/>
          <w:sz w:val="24"/>
          <w:szCs w:val="24"/>
        </w:rPr>
        <w:t>standarda pristupačnosti</w:t>
      </w:r>
      <w:r w:rsidRPr="00412B28">
        <w:rPr>
          <w:rFonts w:ascii="Times New Roman" w:hAnsi="Times New Roman" w:cs="Times New Roman"/>
          <w:sz w:val="24"/>
          <w:szCs w:val="24"/>
          <w:lang w:val="sr-Cyrl-RS"/>
        </w:rPr>
        <w:t xml:space="preserve"> objekata propisivanjem </w:t>
      </w:r>
      <w:r w:rsidRPr="00412B28">
        <w:rPr>
          <w:rFonts w:ascii="Times New Roman" w:hAnsi="Times New Roman" w:cs="Times New Roman"/>
          <w:sz w:val="24"/>
          <w:szCs w:val="24"/>
        </w:rPr>
        <w:t>obavezn</w:t>
      </w:r>
      <w:r w:rsidRPr="00412B28">
        <w:rPr>
          <w:rFonts w:ascii="Times New Roman" w:hAnsi="Times New Roman" w:cs="Times New Roman"/>
          <w:sz w:val="24"/>
          <w:szCs w:val="24"/>
          <w:lang w:val="sr-Cyrl-RS"/>
        </w:rPr>
        <w:t xml:space="preserve">ih </w:t>
      </w:r>
      <w:r w:rsidRPr="00412B28">
        <w:rPr>
          <w:rFonts w:ascii="Times New Roman" w:hAnsi="Times New Roman" w:cs="Times New Roman"/>
          <w:sz w:val="24"/>
          <w:szCs w:val="24"/>
        </w:rPr>
        <w:t>tehničk</w:t>
      </w:r>
      <w:r w:rsidRPr="00412B28">
        <w:rPr>
          <w:rFonts w:ascii="Times New Roman" w:hAnsi="Times New Roman" w:cs="Times New Roman"/>
          <w:sz w:val="24"/>
          <w:szCs w:val="24"/>
          <w:lang w:val="sr-Cyrl-RS"/>
        </w:rPr>
        <w:t>ih</w:t>
      </w:r>
      <w:r w:rsidRPr="00412B28">
        <w:rPr>
          <w:rFonts w:ascii="Times New Roman" w:hAnsi="Times New Roman" w:cs="Times New Roman"/>
          <w:sz w:val="24"/>
          <w:szCs w:val="24"/>
        </w:rPr>
        <w:t xml:space="preserve"> mer</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standard</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i uslov</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projektovanja, planiranja i izgradnje kojima se osigurava nesmetano kretanje i pristup osobama sa invaliditetom, deci i starim osobama</w:t>
      </w:r>
      <w:r w:rsidRPr="00412B28">
        <w:rPr>
          <w:rFonts w:ascii="Times New Roman" w:hAnsi="Times New Roman" w:cs="Times New Roman"/>
          <w:sz w:val="24"/>
          <w:szCs w:val="24"/>
          <w:lang w:val="sr-Cyrl-CS"/>
        </w:rPr>
        <w:t>.</w:t>
      </w:r>
    </w:p>
    <w:p w14:paraId="34633784" w14:textId="77777777" w:rsidR="00EA2B24" w:rsidRPr="00412B28" w:rsidRDefault="00EA2B24" w:rsidP="00CB41F0">
      <w:pPr>
        <w:jc w:val="both"/>
        <w:rPr>
          <w:rFonts w:ascii="Times New Roman" w:hAnsi="Times New Roman" w:cs="Times New Roman"/>
          <w:sz w:val="24"/>
          <w:szCs w:val="24"/>
          <w:lang w:val="sr-Cyrl-CS"/>
        </w:rPr>
      </w:pPr>
      <w:r w:rsidRPr="00412B28">
        <w:rPr>
          <w:rFonts w:ascii="Times New Roman" w:hAnsi="Times New Roman" w:cs="Times New Roman"/>
          <w:iCs/>
          <w:sz w:val="24"/>
          <w:szCs w:val="24"/>
          <w:lang w:val="sr-Cyrl-CS"/>
        </w:rPr>
        <w:t>Zakon podrazumeva primenu mera za unapređenje, podsticanje i obezbeđivanje dostupnosti elektronskim komunikacionim mrežama novih generacija, koje omogućavaju pružanje širokopojasnih servisa velikih brzina.</w:t>
      </w:r>
      <w:r w:rsidRPr="00412B28">
        <w:rPr>
          <w:rFonts w:ascii="Times New Roman" w:hAnsi="Times New Roman" w:cs="Times New Roman"/>
          <w:sz w:val="24"/>
          <w:szCs w:val="24"/>
          <w:lang w:val="sr-Cyrl-CS"/>
        </w:rPr>
        <w:t xml:space="preserve"> </w:t>
      </w:r>
    </w:p>
    <w:p w14:paraId="5D558C88" w14:textId="77777777" w:rsidR="00EA2B24" w:rsidRPr="00412B28" w:rsidRDefault="00EA2B24" w:rsidP="00CB41F0">
      <w:pPr>
        <w:shd w:val="clear" w:color="auto" w:fill="FFFFFF"/>
        <w:spacing w:after="150" w:line="240" w:lineRule="auto"/>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Dalje, bitno je napomenuti da je u osnovnim načelima Zakona propisano da se tehničkom dokumentacijom  obezbeđuje da objekat u celini, odnosno u svakom posebnom delu bude pogodan za predviđenu upotrebu, kao i da u ekonomski prihvatljivom vremenu upotrebe objekat ispuni sledeće osnovne zahteve:</w:t>
      </w:r>
    </w:p>
    <w:p w14:paraId="35FD257C"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zahteve mehaničke otpornost i stabilnost;</w:t>
      </w:r>
    </w:p>
    <w:p w14:paraId="4B93C4FC"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zahteve bezbednosti u slučaju požara;</w:t>
      </w:r>
    </w:p>
    <w:p w14:paraId="7EF8E790"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zahteve higijene, zdravlja i očuvanja životne sredine;</w:t>
      </w:r>
    </w:p>
    <w:p w14:paraId="2DD86E5C"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zahteve bezbednosti i pristupačnosti prilikom upotrebe;</w:t>
      </w:r>
    </w:p>
    <w:p w14:paraId="630E7A63"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zahteve zaštite od buke;</w:t>
      </w:r>
    </w:p>
    <w:p w14:paraId="3D7A264B"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zahetve uštede energije i obezbeđenje termičkog komfora i</w:t>
      </w:r>
    </w:p>
    <w:p w14:paraId="121BEE87" w14:textId="77777777" w:rsidR="00EA2B24" w:rsidRPr="00412B28" w:rsidRDefault="00EA2B24" w:rsidP="00CB41F0">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zahteve održivog korišćenje prirodnih resursa.</w:t>
      </w:r>
    </w:p>
    <w:p w14:paraId="549A7E5E" w14:textId="77777777" w:rsidR="00EA2B24" w:rsidRPr="00412B28" w:rsidRDefault="00EA2B24" w:rsidP="00CB41F0">
      <w:pPr>
        <w:shd w:val="clear" w:color="auto" w:fill="FFFFFF"/>
        <w:spacing w:after="0" w:line="240" w:lineRule="auto"/>
        <w:ind w:left="480"/>
        <w:contextualSpacing/>
        <w:jc w:val="both"/>
        <w:rPr>
          <w:rFonts w:ascii="Times New Roman" w:eastAsia="Times New Roman" w:hAnsi="Times New Roman" w:cs="Times New Roman"/>
          <w:sz w:val="24"/>
          <w:szCs w:val="24"/>
          <w:lang w:val="sr-Cyrl-CS"/>
        </w:rPr>
      </w:pPr>
    </w:p>
    <w:p w14:paraId="45EEC75F" w14:textId="77777777" w:rsidR="00EA2B24" w:rsidRPr="00412B28" w:rsidRDefault="00EA2B24" w:rsidP="00CB41F0">
      <w:pPr>
        <w:shd w:val="clear" w:color="auto" w:fill="FFFFFF"/>
        <w:spacing w:after="150" w:line="240" w:lineRule="auto"/>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Objekti moraju biti projektovani, građeni i održavani na način da korišćenje prirodnih resursa bude održivo, a naročito da: </w:t>
      </w:r>
    </w:p>
    <w:p w14:paraId="74635E93" w14:textId="77777777" w:rsidR="00EA2B24" w:rsidRPr="00412B28" w:rsidRDefault="00EA2B24" w:rsidP="00CB41F0">
      <w:pPr>
        <w:shd w:val="clear" w:color="auto" w:fill="FFFFFF"/>
        <w:spacing w:after="150" w:line="240" w:lineRule="auto"/>
        <w:ind w:left="48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1) se omogućava ponovna upotreba ili reciklaža objekta, delova objekta ili građevinskog materijala nakon uklanjanja i</w:t>
      </w:r>
    </w:p>
    <w:p w14:paraId="23303028" w14:textId="77777777" w:rsidR="00EA2B24" w:rsidRPr="00412B28" w:rsidRDefault="00EA2B24" w:rsidP="00CB41F0">
      <w:pPr>
        <w:shd w:val="clear" w:color="auto" w:fill="FFFFFF"/>
        <w:spacing w:after="150" w:line="240" w:lineRule="auto"/>
        <w:ind w:left="48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lastRenderedPageBreak/>
        <w:t>2) koriste ekološki prihvatljive sirovine ili sekundarni materijali u objektima.</w:t>
      </w:r>
    </w:p>
    <w:p w14:paraId="0AB420A9" w14:textId="77777777" w:rsidR="00EA2B24" w:rsidRPr="00412B28" w:rsidRDefault="00EA2B24" w:rsidP="00CB41F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Dakle, Ministarstvo građevinarstva, saobraćaja i infrastrukture Republike Srbije se, u postupku formulisanja odredbi izmena i dopuna Zakona o planiranju i izgradnji pobrinulo da, saglasno svojim nadležnostima, ukaže na značaj i neophodnost primene savremenih koncepata i standarda povezanih sa ,,Zelenom agendom</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ekološki prihvatljivim vidovima transporta i održivosti.</w:t>
      </w:r>
    </w:p>
    <w:p w14:paraId="3B55BABA" w14:textId="77777777" w:rsidR="00EA2B24" w:rsidRPr="00412B28" w:rsidRDefault="00EA2B24" w:rsidP="00CB41F0">
      <w:pPr>
        <w:spacing w:before="240" w:line="276" w:lineRule="auto"/>
        <w:rPr>
          <w:rFonts w:ascii="Times New Roman" w:hAnsi="Times New Roman" w:cs="Times New Roman"/>
          <w:b/>
          <w:sz w:val="24"/>
          <w:szCs w:val="24"/>
          <w:u w:val="single"/>
        </w:rPr>
      </w:pPr>
    </w:p>
    <w:p w14:paraId="62E94869" w14:textId="77777777" w:rsidR="00EA2B24" w:rsidRPr="00412B28" w:rsidRDefault="00EA2B24" w:rsidP="00CB41F0">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2A8BD1FE" w14:textId="77777777" w:rsidR="00EA2B24" w:rsidRPr="00412B28" w:rsidRDefault="00EA2B24" w:rsidP="00CB41F0">
      <w:pPr>
        <w:spacing w:before="240" w:line="276" w:lineRule="auto"/>
        <w:ind w:left="7920"/>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 xml:space="preserve"> PRILOG 3:</w:t>
      </w:r>
    </w:p>
    <w:p w14:paraId="5103BBB0"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utvrđivanje ciljeva</w:t>
      </w:r>
    </w:p>
    <w:p w14:paraId="1744348B" w14:textId="77777777" w:rsidR="00EA2B24" w:rsidRPr="00412B28" w:rsidRDefault="00EA2B24" w:rsidP="00CB41F0">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Zbog čega je neophodno postići željenu promenu na nivou društva? (odgovorom na ovo pitanje definiše se opšti cilj).</w:t>
      </w:r>
      <w:r w:rsidRPr="00412B28">
        <w:rPr>
          <w:rFonts w:ascii="Times New Roman" w:hAnsi="Times New Roman" w:cs="Times New Roman"/>
          <w:sz w:val="24"/>
          <w:szCs w:val="24"/>
          <w:lang w:val="sr-Cyrl-RS"/>
        </w:rPr>
        <w:t xml:space="preserve"> </w:t>
      </w:r>
    </w:p>
    <w:p w14:paraId="2EA077A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Kretanje makroekonomskih pokazatelja, posebno u oblasti građevinarstva, ukazuju na potrebu preduzimanja sistemskih mera koje će unaprediti opšti ambijent u oblasti planiranja i izgradnje.  </w:t>
      </w:r>
    </w:p>
    <w:p w14:paraId="5D1B6CF4" w14:textId="77777777" w:rsidR="00EA2B24" w:rsidRPr="00412B28" w:rsidRDefault="00EA2B24" w:rsidP="00CB41F0">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Šta se predmetnom promenom želi postići? (odgovorom na ovo pitanje definišu se posebni ciljevi, čije postizanje treba da dovode do ostvarenja opšteg cilja. U odnosu na posebne ciljeve, formulišu se mere za njihovo postizanje).</w:t>
      </w:r>
    </w:p>
    <w:p w14:paraId="002FAF53"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Cilj predloženih izmena i dopuna Zakona jeste da se unaprede i skrate procedure čime se proces pribavljanja potrebnih akata za izgradnju čini  efikasnijim. Takođe, ideja je da se prethodno navedeni cilj ostvari daljim</w:t>
      </w:r>
      <w:r w:rsidRPr="00412B28">
        <w:rPr>
          <w:rFonts w:ascii="Times New Roman" w:hAnsi="Times New Roman" w:cs="Times New Roman"/>
          <w:sz w:val="24"/>
          <w:szCs w:val="24"/>
        </w:rPr>
        <w:t xml:space="preserve"> unapređenje</w:t>
      </w:r>
      <w:r w:rsidRPr="00412B28">
        <w:rPr>
          <w:rFonts w:ascii="Times New Roman" w:hAnsi="Times New Roman" w:cs="Times New Roman"/>
          <w:sz w:val="24"/>
          <w:szCs w:val="24"/>
          <w:lang w:val="sr-Cyrl-RS"/>
        </w:rPr>
        <w:t>m</w:t>
      </w:r>
      <w:r w:rsidRPr="00412B28">
        <w:rPr>
          <w:rFonts w:ascii="Times New Roman" w:hAnsi="Times New Roman" w:cs="Times New Roman"/>
          <w:sz w:val="24"/>
          <w:szCs w:val="24"/>
        </w:rPr>
        <w:t xml:space="preserve"> elektronskog sistema (CEOP) za izdavanje građevinskih dozvola, uv</w:t>
      </w:r>
      <w:r w:rsidRPr="00412B28">
        <w:rPr>
          <w:rFonts w:ascii="Times New Roman" w:hAnsi="Times New Roman" w:cs="Times New Roman"/>
          <w:sz w:val="24"/>
          <w:szCs w:val="24"/>
          <w:lang w:val="sr-Cyrl-RS"/>
        </w:rPr>
        <w:t>ođenjem</w:t>
      </w:r>
      <w:r w:rsidRPr="00412B28">
        <w:rPr>
          <w:rFonts w:ascii="Times New Roman" w:hAnsi="Times New Roman" w:cs="Times New Roman"/>
          <w:sz w:val="24"/>
          <w:szCs w:val="24"/>
        </w:rPr>
        <w:t xml:space="preserve"> no</w:t>
      </w:r>
      <w:r w:rsidRPr="00412B28">
        <w:rPr>
          <w:rFonts w:ascii="Times New Roman" w:hAnsi="Times New Roman" w:cs="Times New Roman"/>
          <w:sz w:val="24"/>
          <w:szCs w:val="24"/>
          <w:lang w:val="sr-Cyrl-RS"/>
        </w:rPr>
        <w:t>vih</w:t>
      </w:r>
      <w:r w:rsidRPr="00412B28">
        <w:rPr>
          <w:rFonts w:ascii="Times New Roman" w:hAnsi="Times New Roman" w:cs="Times New Roman"/>
          <w:sz w:val="24"/>
          <w:szCs w:val="24"/>
        </w:rPr>
        <w:t xml:space="preserve"> funkcionalnosti i poboljša</w:t>
      </w:r>
      <w:r w:rsidRPr="00412B28">
        <w:rPr>
          <w:rFonts w:ascii="Times New Roman" w:hAnsi="Times New Roman" w:cs="Times New Roman"/>
          <w:sz w:val="24"/>
          <w:szCs w:val="24"/>
          <w:lang w:val="sr-Cyrl-RS"/>
        </w:rPr>
        <w:t>nju</w:t>
      </w:r>
      <w:r w:rsidRPr="00412B28">
        <w:rPr>
          <w:rFonts w:ascii="Times New Roman" w:hAnsi="Times New Roman" w:cs="Times New Roman"/>
          <w:sz w:val="24"/>
          <w:szCs w:val="24"/>
        </w:rPr>
        <w:t xml:space="preserve"> postoje</w:t>
      </w:r>
      <w:r w:rsidRPr="00412B28">
        <w:rPr>
          <w:rFonts w:ascii="Times New Roman" w:hAnsi="Times New Roman" w:cs="Times New Roman"/>
          <w:sz w:val="24"/>
          <w:szCs w:val="24"/>
          <w:lang w:val="sr-Cyrl-RS"/>
        </w:rPr>
        <w:t>ćih. Predmetne izmene i dopune Zakona ciljaju na povećanje efikasnost administracije prenosom dela ovlašćenja sa državnog organa na druga pravna lica i javne beležnike (izdavanje informacije o lokaciji).</w:t>
      </w:r>
      <w:r w:rsidRPr="00412B28">
        <w:t xml:space="preserve"> </w:t>
      </w:r>
      <w:r w:rsidRPr="00412B28">
        <w:rPr>
          <w:rFonts w:ascii="Times New Roman" w:hAnsi="Times New Roman" w:cs="Times New Roman"/>
          <w:sz w:val="24"/>
          <w:szCs w:val="24"/>
          <w:lang w:val="sr-Cyrl-RS"/>
        </w:rPr>
        <w:t xml:space="preserve">Cilj predloženih izmena jeste i povećanje odgovornosti ovlašćenih lica u postupcima izdavanja akta za izgradnju, kroz primenu odredbi o podnošenju prijava za prekršaj protiv odgovornih lica koja ne izdaju akta za izgradnju u zakonskim rokovima;  </w:t>
      </w:r>
    </w:p>
    <w:p w14:paraId="4065BF18"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Ideja je da se unapređenjem regulative podstakne primena relevantnih savremenih koncepata zelene gradnje, što će doprineti </w:t>
      </w:r>
      <w:r w:rsidRPr="00412B28">
        <w:rPr>
          <w:rFonts w:ascii="Times New Roman" w:hAnsi="Times New Roman" w:cs="Times New Roman"/>
          <w:sz w:val="24"/>
          <w:szCs w:val="24"/>
        </w:rPr>
        <w:t>unapređenj</w:t>
      </w:r>
      <w:r w:rsidRPr="00412B28">
        <w:rPr>
          <w:rFonts w:ascii="Times New Roman" w:hAnsi="Times New Roman" w:cs="Times New Roman"/>
          <w:sz w:val="24"/>
          <w:szCs w:val="24"/>
          <w:lang w:val="sr-Cyrl-RS"/>
        </w:rPr>
        <w:t>u</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energetske efikasnosti objekata, </w:t>
      </w:r>
      <w:r w:rsidRPr="00412B28">
        <w:rPr>
          <w:rFonts w:ascii="Times New Roman" w:hAnsi="Times New Roman" w:cs="Times New Roman"/>
          <w:sz w:val="24"/>
          <w:szCs w:val="24"/>
        </w:rPr>
        <w:t>povećanj</w:t>
      </w:r>
      <w:r w:rsidRPr="00412B28">
        <w:rPr>
          <w:rFonts w:ascii="Times New Roman" w:hAnsi="Times New Roman" w:cs="Times New Roman"/>
          <w:sz w:val="24"/>
          <w:szCs w:val="24"/>
          <w:lang w:val="sr-Cyrl-RS"/>
        </w:rPr>
        <w:t>u značaja i primene koncepta</w:t>
      </w:r>
      <w:r w:rsidRPr="00412B28">
        <w:rPr>
          <w:rFonts w:ascii="Times New Roman" w:hAnsi="Times New Roman" w:cs="Times New Roman"/>
          <w:sz w:val="24"/>
          <w:szCs w:val="24"/>
        </w:rPr>
        <w:t xml:space="preserve"> elektromobilnosti</w:t>
      </w:r>
      <w:r w:rsidRPr="00412B28">
        <w:rPr>
          <w:rFonts w:ascii="Times New Roman" w:hAnsi="Times New Roman" w:cs="Times New Roman"/>
          <w:sz w:val="24"/>
          <w:szCs w:val="24"/>
          <w:lang w:val="sr-Cyrl-RS"/>
        </w:rPr>
        <w:t xml:space="preserve"> i podsticanje </w:t>
      </w:r>
      <w:r w:rsidRPr="00412B28">
        <w:rPr>
          <w:rFonts w:ascii="Times New Roman" w:hAnsi="Times New Roman" w:cs="Times New Roman"/>
          <w:sz w:val="24"/>
          <w:szCs w:val="24"/>
        </w:rPr>
        <w:t>izgradnji solarnih parkova</w:t>
      </w:r>
      <w:r w:rsidRPr="00412B28">
        <w:rPr>
          <w:rFonts w:ascii="Times New Roman" w:hAnsi="Times New Roman" w:cs="Times New Roman"/>
          <w:sz w:val="24"/>
          <w:szCs w:val="24"/>
          <w:lang w:val="sr-Cyrl-RS"/>
        </w:rPr>
        <w:t>.</w:t>
      </w:r>
    </w:p>
    <w:p w14:paraId="1A60E18D"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Formiranjem Agencije za prostorno planiranje i u</w:t>
      </w:r>
      <w:r w:rsidRPr="00412B28">
        <w:rPr>
          <w:rFonts w:ascii="Times New Roman" w:hAnsi="Times New Roman" w:cs="Times New Roman"/>
          <w:sz w:val="24"/>
          <w:szCs w:val="24"/>
        </w:rPr>
        <w:t xml:space="preserve">vođenjem  glavnog državnog urbaniste, </w:t>
      </w:r>
      <w:r w:rsidRPr="00412B28">
        <w:rPr>
          <w:rFonts w:ascii="Times New Roman" w:hAnsi="Times New Roman" w:cs="Times New Roman"/>
          <w:sz w:val="24"/>
          <w:szCs w:val="24"/>
          <w:lang w:val="sr-Cyrl-RS"/>
        </w:rPr>
        <w:t xml:space="preserve">cilja se na </w:t>
      </w:r>
      <w:r w:rsidRPr="00412B28">
        <w:rPr>
          <w:rFonts w:ascii="Times New Roman" w:hAnsi="Times New Roman" w:cs="Times New Roman"/>
          <w:sz w:val="24"/>
          <w:szCs w:val="24"/>
        </w:rPr>
        <w:t xml:space="preserve">dodatno </w:t>
      </w:r>
      <w:r w:rsidRPr="00412B28">
        <w:rPr>
          <w:rFonts w:ascii="Times New Roman" w:hAnsi="Times New Roman" w:cs="Times New Roman"/>
          <w:sz w:val="24"/>
          <w:szCs w:val="24"/>
          <w:lang w:val="sr-Cyrl-RS"/>
        </w:rPr>
        <w:t>uvođenje</w:t>
      </w:r>
      <w:r w:rsidRPr="00412B28">
        <w:rPr>
          <w:rFonts w:ascii="Times New Roman" w:hAnsi="Times New Roman" w:cs="Times New Roman"/>
          <w:sz w:val="24"/>
          <w:szCs w:val="24"/>
        </w:rPr>
        <w:t xml:space="preserve"> red</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 oblasti prostornog i urbanističkog planiranja na teritoriji Republike Srbij</w:t>
      </w:r>
      <w:r w:rsidRPr="00412B28">
        <w:rPr>
          <w:rFonts w:ascii="Times New Roman" w:hAnsi="Times New Roman" w:cs="Times New Roman"/>
          <w:sz w:val="24"/>
          <w:szCs w:val="24"/>
          <w:lang w:val="sr-Cyrl-RS"/>
        </w:rPr>
        <w:t>e. Takođe, ideja je da se podstakne pojačana aktivnost jedinica lokalnih samouprava u oblasti planiranja i uređenja prostora propisivanjem o obaveznom donošenju planskih dokumenata na najmanje 70% građevinskog područja, čime se omogućava zakonita izgradnja i preventivno deluje na pojavu bespravne gradnje.</w:t>
      </w:r>
    </w:p>
    <w:p w14:paraId="11B99A51"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Još jedan značajan aspekt i cilj izmena i dopuna Zakona jeste </w:t>
      </w:r>
      <w:r w:rsidRPr="00412B28">
        <w:rPr>
          <w:rFonts w:ascii="Times New Roman" w:hAnsi="Times New Roman" w:cs="Times New Roman"/>
          <w:sz w:val="24"/>
          <w:szCs w:val="24"/>
        </w:rPr>
        <w:t>poveća</w:t>
      </w:r>
      <w:r w:rsidRPr="00412B28">
        <w:rPr>
          <w:rFonts w:ascii="Times New Roman" w:hAnsi="Times New Roman" w:cs="Times New Roman"/>
          <w:sz w:val="24"/>
          <w:szCs w:val="24"/>
          <w:lang w:val="sr-Cyrl-RS"/>
        </w:rPr>
        <w:t>nje</w:t>
      </w:r>
      <w:r w:rsidRPr="00412B28">
        <w:rPr>
          <w:rFonts w:ascii="Times New Roman" w:hAnsi="Times New Roman" w:cs="Times New Roman"/>
          <w:sz w:val="24"/>
          <w:szCs w:val="24"/>
        </w:rPr>
        <w:t xml:space="preserve"> zaštite na zaštićenim prirodnim i kulturnim područjima, propisivanjem da  Vlada donosi prostorni plan područja posebne namene (zbog značaja ovog prostora i uočenih nepravilnosti u donošenju urbanističkih planova od strane JLS, što je na nekim područjima dovelo do značajne  devastacije prostora);</w:t>
      </w:r>
    </w:p>
    <w:p w14:paraId="1861E2D4"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p>
    <w:p w14:paraId="7E47AAD7" w14:textId="77777777" w:rsidR="00EA2B24" w:rsidRPr="00412B28" w:rsidRDefault="00EA2B24" w:rsidP="00CB41F0">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Da </w:t>
      </w:r>
      <w:r w:rsidRPr="00412B28">
        <w:rPr>
          <w:rFonts w:ascii="Times New Roman" w:hAnsi="Times New Roman" w:cs="Times New Roman"/>
          <w:sz w:val="24"/>
          <w:szCs w:val="24"/>
          <w:shd w:val="clear" w:color="auto" w:fill="C6D9F1" w:themeFill="text2" w:themeFillTint="33"/>
        </w:rPr>
        <w:t>li su opšti i posebni ciljevi usklađeni sa važećim dokumentima javnih politika i postojećim</w:t>
      </w:r>
      <w:r w:rsidRPr="00412B28">
        <w:rPr>
          <w:rFonts w:ascii="Times New Roman" w:hAnsi="Times New Roman" w:cs="Times New Roman"/>
          <w:sz w:val="24"/>
          <w:szCs w:val="24"/>
        </w:rPr>
        <w:t xml:space="preserve"> pravnim okvirom, a pre svega sa prioritetnim ciljevima Vlade? </w:t>
      </w:r>
    </w:p>
    <w:p w14:paraId="1E71F36B"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w:t>
      </w:r>
    </w:p>
    <w:p w14:paraId="14940659" w14:textId="77777777" w:rsidR="00EA2B24" w:rsidRPr="00412B28" w:rsidRDefault="00EA2B24" w:rsidP="00CB41F0">
      <w:p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1. Prioritetni cilj </w:t>
      </w:r>
      <w:r w:rsidRPr="00412B28">
        <w:rPr>
          <w:rFonts w:ascii="Times New Roman" w:hAnsi="Times New Roman" w:cs="Times New Roman"/>
          <w:sz w:val="24"/>
          <w:szCs w:val="24"/>
        </w:rPr>
        <w:t xml:space="preserve">- 3.3. Unapređenje uslova za stanogradnju, saobraćajnu infrastrukturu i liberalizacija saobraćajnog režima. </w:t>
      </w:r>
      <w:r w:rsidRPr="00412B28">
        <w:rPr>
          <w:rFonts w:ascii="Times New Roman" w:hAnsi="Times New Roman" w:cs="Times New Roman"/>
          <w:sz w:val="24"/>
          <w:szCs w:val="24"/>
          <w:lang w:val="sr-Cyrl-RS"/>
        </w:rPr>
        <w:t>Ciljevi su prikazani u tabeli ispod</w:t>
      </w:r>
      <w:r w:rsidRPr="00412B28">
        <w:rPr>
          <w:rFonts w:ascii="Times New Roman" w:hAnsi="Times New Roman" w:cs="Times New Roman"/>
          <w:sz w:val="24"/>
          <w:szCs w:val="24"/>
        </w:rPr>
        <w:t>:</w:t>
      </w:r>
    </w:p>
    <w:p w14:paraId="0DC439D6" w14:textId="77777777" w:rsidR="00EA2B24" w:rsidRPr="00412B28" w:rsidRDefault="00EA2B24" w:rsidP="00CB41F0">
      <w:pPr>
        <w:shd w:val="clear" w:color="auto" w:fill="C6D9F1" w:themeFill="text2" w:themeFillTint="33"/>
        <w:spacing w:before="240" w:after="0" w:line="276" w:lineRule="auto"/>
        <w:jc w:val="both"/>
        <w:rPr>
          <w:rFonts w:ascii="Times New Roman" w:hAnsi="Times New Roman" w:cs="Times New Roman"/>
          <w:sz w:val="24"/>
          <w:szCs w:val="24"/>
        </w:rPr>
      </w:pPr>
    </w:p>
    <w:tbl>
      <w:tblPr>
        <w:tblW w:w="0" w:type="auto"/>
        <w:tblLook w:val="04A0" w:firstRow="1" w:lastRow="0" w:firstColumn="1" w:lastColumn="0" w:noHBand="0" w:noVBand="1"/>
      </w:tblPr>
      <w:tblGrid>
        <w:gridCol w:w="825"/>
        <w:gridCol w:w="3986"/>
        <w:gridCol w:w="1058"/>
        <w:gridCol w:w="3303"/>
        <w:gridCol w:w="222"/>
      </w:tblGrid>
      <w:tr w:rsidR="00EA2B24" w:rsidRPr="00412B28" w14:paraId="557AB244" w14:textId="77777777" w:rsidTr="00D41708">
        <w:trPr>
          <w:gridAfter w:val="1"/>
          <w:trHeight w:val="720"/>
        </w:trPr>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3BEB6E61" w14:textId="77777777" w:rsidR="00EA2B24" w:rsidRPr="00412B28" w:rsidRDefault="00EA2B24" w:rsidP="00D41708">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Redni broj</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51F65C73" w14:textId="77777777" w:rsidR="00EA2B24" w:rsidRPr="00412B28" w:rsidRDefault="00EA2B24" w:rsidP="00D41708">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Rezultati koji doprinose ostvarenju cilja</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7345801D" w14:textId="77777777" w:rsidR="00EA2B24" w:rsidRPr="00412B28" w:rsidRDefault="00EA2B24" w:rsidP="00D41708">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Nosilac</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4C50DEA8" w14:textId="77777777" w:rsidR="00EA2B24" w:rsidRPr="00412B28" w:rsidRDefault="00EA2B24" w:rsidP="00D41708">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Naziv pokazatelja</w:t>
            </w:r>
          </w:p>
        </w:tc>
      </w:tr>
      <w:tr w:rsidR="00EA2B24" w:rsidRPr="00412B28" w14:paraId="52F42525" w14:textId="77777777" w:rsidTr="00D41708">
        <w:trPr>
          <w:trHeight w:val="1056"/>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5F15AF5F" w14:textId="77777777" w:rsidR="00EA2B24" w:rsidRPr="00412B28" w:rsidRDefault="00EA2B24" w:rsidP="00D41708">
            <w:pPr>
              <w:spacing w:after="0" w:line="240" w:lineRule="auto"/>
              <w:rPr>
                <w:rFonts w:ascii="Calibri (Body)" w:eastAsia="Times New Roman" w:hAnsi="Calibri (Body)" w:cs="Calibri"/>
                <w:b/>
                <w:bCs/>
                <w:color w:val="FFFFFF"/>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5DF5B317" w14:textId="77777777" w:rsidR="00EA2B24" w:rsidRPr="00412B28" w:rsidRDefault="00EA2B24" w:rsidP="00D41708">
            <w:pPr>
              <w:spacing w:after="0" w:line="240" w:lineRule="auto"/>
              <w:rPr>
                <w:rFonts w:ascii="Calibri (Body)" w:eastAsia="Times New Roman" w:hAnsi="Calibri (Body)" w:cs="Calibri"/>
                <w:b/>
                <w:bCs/>
                <w:color w:val="FFFFFF"/>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35E4628E" w14:textId="77777777" w:rsidR="00EA2B24" w:rsidRPr="00412B28" w:rsidRDefault="00EA2B24" w:rsidP="00D41708">
            <w:pPr>
              <w:spacing w:after="0" w:line="240" w:lineRule="auto"/>
              <w:rPr>
                <w:rFonts w:ascii="Calibri (Body)" w:eastAsia="Times New Roman" w:hAnsi="Calibri (Body)" w:cs="Calibri"/>
                <w:b/>
                <w:bCs/>
                <w:color w:val="FFFFFF"/>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15A5BC54" w14:textId="77777777" w:rsidR="00EA2B24" w:rsidRPr="00412B28" w:rsidRDefault="00EA2B24" w:rsidP="00D41708">
            <w:pPr>
              <w:spacing w:after="0" w:line="240" w:lineRule="auto"/>
              <w:rPr>
                <w:rFonts w:ascii="Calibri (Body)" w:eastAsia="Times New Roman" w:hAnsi="Calibri (Body)" w:cs="Calibri"/>
                <w:b/>
                <w:bCs/>
                <w:color w:val="FFFFFF"/>
                <w:sz w:val="20"/>
                <w:szCs w:val="20"/>
              </w:rPr>
            </w:pPr>
          </w:p>
        </w:tc>
        <w:tc>
          <w:tcPr>
            <w:tcW w:w="0" w:type="auto"/>
            <w:tcBorders>
              <w:top w:val="nil"/>
              <w:left w:val="nil"/>
              <w:bottom w:val="nil"/>
              <w:right w:val="nil"/>
            </w:tcBorders>
            <w:shd w:val="clear" w:color="auto" w:fill="auto"/>
            <w:noWrap/>
            <w:vAlign w:val="bottom"/>
            <w:hideMark/>
          </w:tcPr>
          <w:p w14:paraId="123694B9" w14:textId="77777777" w:rsidR="00EA2B24" w:rsidRPr="00412B28" w:rsidRDefault="00EA2B24" w:rsidP="00D41708">
            <w:pPr>
              <w:spacing w:after="0" w:line="240" w:lineRule="auto"/>
              <w:jc w:val="center"/>
              <w:rPr>
                <w:rFonts w:ascii="Calibri (Body)" w:eastAsia="Times New Roman" w:hAnsi="Calibri (Body)" w:cs="Calibri"/>
                <w:b/>
                <w:bCs/>
                <w:color w:val="FFFFFF"/>
                <w:sz w:val="20"/>
                <w:szCs w:val="20"/>
              </w:rPr>
            </w:pPr>
          </w:p>
        </w:tc>
      </w:tr>
      <w:tr w:rsidR="00EA2B24" w:rsidRPr="00412B28" w14:paraId="64F5B1D3" w14:textId="77777777" w:rsidTr="00D41708">
        <w:trPr>
          <w:trHeight w:val="264"/>
        </w:trPr>
        <w:tc>
          <w:tcPr>
            <w:tcW w:w="0" w:type="auto"/>
            <w:tcBorders>
              <w:top w:val="nil"/>
              <w:left w:val="nil"/>
              <w:bottom w:val="nil"/>
              <w:right w:val="nil"/>
            </w:tcBorders>
            <w:shd w:val="clear" w:color="000000" w:fill="FFFFFF"/>
            <w:hideMark/>
          </w:tcPr>
          <w:p w14:paraId="7B41CF29" w14:textId="77777777" w:rsidR="00EA2B24" w:rsidRPr="00412B28" w:rsidRDefault="00EA2B24" w:rsidP="00D41708">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tcBorders>
              <w:top w:val="nil"/>
              <w:left w:val="nil"/>
              <w:bottom w:val="nil"/>
              <w:right w:val="nil"/>
            </w:tcBorders>
            <w:shd w:val="clear" w:color="000000" w:fill="FFFFFF"/>
            <w:hideMark/>
          </w:tcPr>
          <w:p w14:paraId="26B5461E" w14:textId="77777777" w:rsidR="00EA2B24" w:rsidRPr="00412B28" w:rsidRDefault="00EA2B24" w:rsidP="00D41708">
            <w:pPr>
              <w:spacing w:after="0" w:line="240" w:lineRule="auto"/>
              <w:rPr>
                <w:rFonts w:ascii="Calibri (Body)" w:eastAsia="Times New Roman" w:hAnsi="Calibri (Body)" w:cs="Calibri"/>
                <w:color w:val="000000"/>
                <w:sz w:val="20"/>
                <w:szCs w:val="20"/>
              </w:rPr>
            </w:pPr>
          </w:p>
        </w:tc>
        <w:tc>
          <w:tcPr>
            <w:tcW w:w="0" w:type="auto"/>
            <w:tcBorders>
              <w:top w:val="nil"/>
              <w:left w:val="nil"/>
              <w:bottom w:val="nil"/>
              <w:right w:val="nil"/>
            </w:tcBorders>
            <w:shd w:val="clear" w:color="000000" w:fill="FFFFFF"/>
            <w:hideMark/>
          </w:tcPr>
          <w:p w14:paraId="134FA7DF" w14:textId="77777777" w:rsidR="00EA2B24" w:rsidRPr="00412B28" w:rsidRDefault="00EA2B24" w:rsidP="00D41708">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tcBorders>
              <w:top w:val="nil"/>
              <w:left w:val="nil"/>
              <w:bottom w:val="nil"/>
              <w:right w:val="nil"/>
            </w:tcBorders>
            <w:shd w:val="clear" w:color="000000" w:fill="FFFFFF"/>
            <w:hideMark/>
          </w:tcPr>
          <w:p w14:paraId="71E7C79D" w14:textId="77777777" w:rsidR="00EA2B24" w:rsidRPr="00412B28" w:rsidRDefault="00EA2B24" w:rsidP="00D41708">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vAlign w:val="center"/>
            <w:hideMark/>
          </w:tcPr>
          <w:p w14:paraId="63E1B550" w14:textId="77777777" w:rsidR="00EA2B24" w:rsidRPr="00412B28" w:rsidRDefault="00EA2B24" w:rsidP="00D41708">
            <w:pPr>
              <w:spacing w:after="0" w:line="240" w:lineRule="auto"/>
              <w:rPr>
                <w:rFonts w:ascii="Times New Roman" w:eastAsia="Times New Roman" w:hAnsi="Times New Roman" w:cs="Times New Roman"/>
                <w:sz w:val="20"/>
                <w:szCs w:val="20"/>
              </w:rPr>
            </w:pPr>
          </w:p>
        </w:tc>
      </w:tr>
      <w:tr w:rsidR="00EA2B24" w:rsidRPr="00412B28" w14:paraId="6C49433E" w14:textId="77777777" w:rsidTr="00D41708">
        <w:trPr>
          <w:trHeight w:val="264"/>
        </w:trPr>
        <w:tc>
          <w:tcPr>
            <w:tcW w:w="0" w:type="auto"/>
            <w:tcBorders>
              <w:top w:val="nil"/>
              <w:left w:val="nil"/>
              <w:bottom w:val="single" w:sz="4" w:space="0" w:color="auto"/>
              <w:right w:val="nil"/>
            </w:tcBorders>
            <w:shd w:val="clear" w:color="000000" w:fill="FFFFFF"/>
            <w:hideMark/>
          </w:tcPr>
          <w:p w14:paraId="40B3DDD8" w14:textId="77777777" w:rsidR="00EA2B24" w:rsidRPr="00412B28" w:rsidRDefault="00EA2B24" w:rsidP="00D41708">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tcBorders>
              <w:top w:val="nil"/>
              <w:left w:val="nil"/>
              <w:bottom w:val="single" w:sz="4" w:space="0" w:color="auto"/>
              <w:right w:val="nil"/>
            </w:tcBorders>
            <w:shd w:val="clear" w:color="000000" w:fill="FFFFFF"/>
            <w:hideMark/>
          </w:tcPr>
          <w:p w14:paraId="4F527A6A"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w:t>
            </w:r>
          </w:p>
        </w:tc>
        <w:tc>
          <w:tcPr>
            <w:tcW w:w="0" w:type="auto"/>
            <w:tcBorders>
              <w:top w:val="nil"/>
              <w:left w:val="nil"/>
              <w:bottom w:val="single" w:sz="4" w:space="0" w:color="auto"/>
              <w:right w:val="nil"/>
            </w:tcBorders>
            <w:shd w:val="clear" w:color="000000" w:fill="FFFFFF"/>
            <w:hideMark/>
          </w:tcPr>
          <w:p w14:paraId="2A2F1145"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w:t>
            </w:r>
          </w:p>
        </w:tc>
        <w:tc>
          <w:tcPr>
            <w:tcW w:w="0" w:type="auto"/>
            <w:tcBorders>
              <w:top w:val="nil"/>
              <w:left w:val="nil"/>
              <w:bottom w:val="single" w:sz="4" w:space="0" w:color="auto"/>
              <w:right w:val="nil"/>
            </w:tcBorders>
            <w:shd w:val="clear" w:color="000000" w:fill="FFFFFF"/>
            <w:hideMark/>
          </w:tcPr>
          <w:p w14:paraId="6AB658F5"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w:t>
            </w:r>
          </w:p>
        </w:tc>
        <w:tc>
          <w:tcPr>
            <w:tcW w:w="0" w:type="auto"/>
            <w:vAlign w:val="center"/>
            <w:hideMark/>
          </w:tcPr>
          <w:p w14:paraId="707FA77C" w14:textId="77777777" w:rsidR="00EA2B24" w:rsidRPr="00412B28" w:rsidRDefault="00EA2B24" w:rsidP="00D41708">
            <w:pPr>
              <w:spacing w:after="0" w:line="240" w:lineRule="auto"/>
              <w:rPr>
                <w:rFonts w:ascii="Times New Roman" w:eastAsia="Times New Roman" w:hAnsi="Times New Roman" w:cs="Times New Roman"/>
                <w:sz w:val="20"/>
                <w:szCs w:val="20"/>
              </w:rPr>
            </w:pPr>
          </w:p>
        </w:tc>
      </w:tr>
      <w:tr w:rsidR="00EA2B24" w:rsidRPr="00412B28" w14:paraId="23AFE3CE" w14:textId="77777777" w:rsidTr="00D41708">
        <w:trPr>
          <w:trHeight w:val="264"/>
        </w:trPr>
        <w:tc>
          <w:tcPr>
            <w:tcW w:w="0" w:type="auto"/>
            <w:gridSpan w:val="2"/>
            <w:tcBorders>
              <w:top w:val="single" w:sz="4" w:space="0" w:color="auto"/>
              <w:left w:val="single" w:sz="4" w:space="0" w:color="auto"/>
              <w:bottom w:val="single" w:sz="4" w:space="0" w:color="auto"/>
              <w:right w:val="nil"/>
            </w:tcBorders>
            <w:shd w:val="clear" w:color="000000" w:fill="000000"/>
            <w:hideMark/>
          </w:tcPr>
          <w:p w14:paraId="51A5A3D3" w14:textId="77777777" w:rsidR="00EA2B24" w:rsidRPr="00412B28" w:rsidRDefault="00EA2B24" w:rsidP="00D41708">
            <w:pPr>
              <w:spacing w:after="0" w:line="240" w:lineRule="auto"/>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 xml:space="preserve">Prioritetni cilj:                                                                             </w:t>
            </w:r>
          </w:p>
        </w:tc>
        <w:tc>
          <w:tcPr>
            <w:tcW w:w="0" w:type="auto"/>
            <w:gridSpan w:val="2"/>
            <w:tcBorders>
              <w:top w:val="single" w:sz="4" w:space="0" w:color="auto"/>
              <w:left w:val="single" w:sz="4" w:space="0" w:color="auto"/>
              <w:bottom w:val="single" w:sz="4" w:space="0" w:color="auto"/>
              <w:right w:val="nil"/>
            </w:tcBorders>
            <w:shd w:val="clear" w:color="000000" w:fill="000000"/>
            <w:hideMark/>
          </w:tcPr>
          <w:p w14:paraId="5A8AAAB2" w14:textId="77777777" w:rsidR="00EA2B24" w:rsidRPr="00412B28" w:rsidRDefault="00EA2B24" w:rsidP="00D41708">
            <w:pPr>
              <w:spacing w:after="0" w:line="240" w:lineRule="auto"/>
              <w:rPr>
                <w:rFonts w:ascii="Calibri (Body)" w:eastAsia="Times New Roman" w:hAnsi="Calibri (Body)" w:cs="Calibri"/>
                <w:b/>
                <w:bCs/>
                <w:color w:val="FF0000"/>
                <w:sz w:val="20"/>
                <w:szCs w:val="20"/>
              </w:rPr>
            </w:pPr>
            <w:r w:rsidRPr="00412B28">
              <w:rPr>
                <w:rFonts w:ascii="Calibri (Body)" w:eastAsia="Times New Roman" w:hAnsi="Calibri (Body)" w:cs="Calibri"/>
                <w:b/>
                <w:bCs/>
                <w:color w:val="FF0000"/>
                <w:sz w:val="20"/>
                <w:szCs w:val="20"/>
              </w:rPr>
              <w:t>3.3. Unapređenje uslova za stanogradnju, saobraćajnu infrastrukturu i liberalizacija saobraćajnog režima</w:t>
            </w:r>
          </w:p>
        </w:tc>
        <w:tc>
          <w:tcPr>
            <w:tcW w:w="0" w:type="auto"/>
            <w:vAlign w:val="center"/>
            <w:hideMark/>
          </w:tcPr>
          <w:p w14:paraId="14C34EBA" w14:textId="77777777" w:rsidR="00EA2B24" w:rsidRPr="00412B28" w:rsidRDefault="00EA2B24" w:rsidP="00D41708">
            <w:pPr>
              <w:spacing w:after="0" w:line="240" w:lineRule="auto"/>
              <w:rPr>
                <w:rFonts w:ascii="Times New Roman" w:eastAsia="Times New Roman" w:hAnsi="Times New Roman" w:cs="Times New Roman"/>
                <w:sz w:val="20"/>
                <w:szCs w:val="20"/>
              </w:rPr>
            </w:pPr>
          </w:p>
        </w:tc>
      </w:tr>
      <w:tr w:rsidR="00EA2B24" w:rsidRPr="00412B28" w14:paraId="10E9FF9C" w14:textId="77777777" w:rsidTr="00D41708">
        <w:trPr>
          <w:trHeight w:val="528"/>
        </w:trPr>
        <w:tc>
          <w:tcPr>
            <w:tcW w:w="0" w:type="auto"/>
            <w:tcBorders>
              <w:top w:val="nil"/>
              <w:left w:val="single" w:sz="4" w:space="0" w:color="auto"/>
              <w:bottom w:val="nil"/>
              <w:right w:val="single" w:sz="4" w:space="0" w:color="auto"/>
            </w:tcBorders>
            <w:shd w:val="clear" w:color="000000" w:fill="FEF3CC"/>
            <w:hideMark/>
          </w:tcPr>
          <w:p w14:paraId="2DC30C16"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3.3.2.</w:t>
            </w:r>
          </w:p>
        </w:tc>
        <w:tc>
          <w:tcPr>
            <w:tcW w:w="0" w:type="auto"/>
            <w:tcBorders>
              <w:top w:val="nil"/>
              <w:left w:val="nil"/>
              <w:bottom w:val="nil"/>
              <w:right w:val="single" w:sz="4" w:space="0" w:color="auto"/>
            </w:tcBorders>
            <w:shd w:val="clear" w:color="000000" w:fill="FEF3CC"/>
            <w:hideMark/>
          </w:tcPr>
          <w:p w14:paraId="2EB36EF3"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xml:space="preserve">Skraćivanje procedure za izdavanje građevinske dozvole </w:t>
            </w:r>
          </w:p>
        </w:tc>
        <w:tc>
          <w:tcPr>
            <w:tcW w:w="0" w:type="auto"/>
            <w:tcBorders>
              <w:top w:val="nil"/>
              <w:left w:val="nil"/>
              <w:bottom w:val="nil"/>
              <w:right w:val="single" w:sz="4" w:space="0" w:color="auto"/>
            </w:tcBorders>
            <w:shd w:val="clear" w:color="000000" w:fill="FEF3CC"/>
            <w:hideMark/>
          </w:tcPr>
          <w:p w14:paraId="34B43AA4"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MGSI</w:t>
            </w:r>
          </w:p>
        </w:tc>
        <w:tc>
          <w:tcPr>
            <w:tcW w:w="0" w:type="auto"/>
            <w:tcBorders>
              <w:top w:val="nil"/>
              <w:left w:val="nil"/>
              <w:bottom w:val="nil"/>
              <w:right w:val="single" w:sz="4" w:space="0" w:color="auto"/>
            </w:tcBorders>
            <w:shd w:val="clear" w:color="000000" w:fill="FFFFFF"/>
            <w:hideMark/>
          </w:tcPr>
          <w:p w14:paraId="013A81AB"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broj dana za izdavanje građevinske dozvole</w:t>
            </w:r>
          </w:p>
        </w:tc>
        <w:tc>
          <w:tcPr>
            <w:tcW w:w="0" w:type="auto"/>
            <w:vAlign w:val="center"/>
            <w:hideMark/>
          </w:tcPr>
          <w:p w14:paraId="3C8D39AA" w14:textId="77777777" w:rsidR="00EA2B24" w:rsidRPr="00412B28" w:rsidRDefault="00EA2B24" w:rsidP="00D41708">
            <w:pPr>
              <w:spacing w:after="0" w:line="240" w:lineRule="auto"/>
              <w:rPr>
                <w:rFonts w:ascii="Times New Roman" w:eastAsia="Times New Roman" w:hAnsi="Times New Roman" w:cs="Times New Roman"/>
                <w:sz w:val="20"/>
                <w:szCs w:val="20"/>
              </w:rPr>
            </w:pPr>
          </w:p>
        </w:tc>
      </w:tr>
      <w:tr w:rsidR="00EA2B24" w:rsidRPr="00412B28" w14:paraId="7723B9BD" w14:textId="77777777" w:rsidTr="00D41708">
        <w:trPr>
          <w:trHeight w:val="528"/>
        </w:trPr>
        <w:tc>
          <w:tcPr>
            <w:tcW w:w="0" w:type="auto"/>
            <w:tcBorders>
              <w:top w:val="nil"/>
              <w:left w:val="single" w:sz="4" w:space="0" w:color="auto"/>
              <w:bottom w:val="nil"/>
              <w:right w:val="single" w:sz="4" w:space="0" w:color="auto"/>
            </w:tcBorders>
            <w:shd w:val="clear" w:color="000000" w:fill="FEF3CC"/>
            <w:hideMark/>
          </w:tcPr>
          <w:p w14:paraId="7BFFC23C"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3.3.5.</w:t>
            </w:r>
          </w:p>
        </w:tc>
        <w:tc>
          <w:tcPr>
            <w:tcW w:w="0" w:type="auto"/>
            <w:tcBorders>
              <w:top w:val="nil"/>
              <w:left w:val="nil"/>
              <w:bottom w:val="nil"/>
              <w:right w:val="single" w:sz="4" w:space="0" w:color="auto"/>
            </w:tcBorders>
            <w:shd w:val="clear" w:color="000000" w:fill="FEF3CC"/>
            <w:hideMark/>
          </w:tcPr>
          <w:p w14:paraId="1DCB6B57"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Uvođenje sertifikata zelene gradnje</w:t>
            </w:r>
          </w:p>
        </w:tc>
        <w:tc>
          <w:tcPr>
            <w:tcW w:w="0" w:type="auto"/>
            <w:tcBorders>
              <w:top w:val="nil"/>
              <w:left w:val="nil"/>
              <w:bottom w:val="nil"/>
              <w:right w:val="single" w:sz="4" w:space="0" w:color="auto"/>
            </w:tcBorders>
            <w:shd w:val="clear" w:color="000000" w:fill="FEF3CC"/>
            <w:hideMark/>
          </w:tcPr>
          <w:p w14:paraId="1FE19FAE"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MGSI</w:t>
            </w:r>
          </w:p>
        </w:tc>
        <w:tc>
          <w:tcPr>
            <w:tcW w:w="0" w:type="auto"/>
            <w:tcBorders>
              <w:top w:val="nil"/>
              <w:left w:val="nil"/>
              <w:bottom w:val="nil"/>
              <w:right w:val="single" w:sz="4" w:space="0" w:color="auto"/>
            </w:tcBorders>
            <w:shd w:val="clear" w:color="000000" w:fill="FFFFFF"/>
            <w:hideMark/>
          </w:tcPr>
          <w:p w14:paraId="2DB79D18"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utvrđeni uslovi za dobijanje sertifikata</w:t>
            </w:r>
          </w:p>
        </w:tc>
        <w:tc>
          <w:tcPr>
            <w:tcW w:w="0" w:type="auto"/>
            <w:vAlign w:val="center"/>
            <w:hideMark/>
          </w:tcPr>
          <w:p w14:paraId="7812751C" w14:textId="77777777" w:rsidR="00EA2B24" w:rsidRPr="00412B28" w:rsidRDefault="00EA2B24" w:rsidP="00D41708">
            <w:pPr>
              <w:spacing w:after="0" w:line="240" w:lineRule="auto"/>
              <w:rPr>
                <w:rFonts w:ascii="Times New Roman" w:eastAsia="Times New Roman" w:hAnsi="Times New Roman" w:cs="Times New Roman"/>
                <w:sz w:val="20"/>
                <w:szCs w:val="20"/>
              </w:rPr>
            </w:pPr>
          </w:p>
        </w:tc>
      </w:tr>
      <w:tr w:rsidR="00EA2B24" w:rsidRPr="00412B28" w14:paraId="65751110" w14:textId="77777777" w:rsidTr="00D41708">
        <w:trPr>
          <w:trHeight w:val="792"/>
        </w:trPr>
        <w:tc>
          <w:tcPr>
            <w:tcW w:w="0" w:type="auto"/>
            <w:tcBorders>
              <w:top w:val="nil"/>
              <w:left w:val="single" w:sz="4" w:space="0" w:color="auto"/>
              <w:bottom w:val="nil"/>
              <w:right w:val="single" w:sz="4" w:space="0" w:color="auto"/>
            </w:tcBorders>
            <w:shd w:val="clear" w:color="000000" w:fill="FEF3CC"/>
            <w:hideMark/>
          </w:tcPr>
          <w:p w14:paraId="3099908E"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3.3.6.</w:t>
            </w:r>
          </w:p>
        </w:tc>
        <w:tc>
          <w:tcPr>
            <w:tcW w:w="0" w:type="auto"/>
            <w:tcBorders>
              <w:top w:val="nil"/>
              <w:left w:val="nil"/>
              <w:bottom w:val="nil"/>
              <w:right w:val="single" w:sz="4" w:space="0" w:color="auto"/>
            </w:tcBorders>
            <w:shd w:val="clear" w:color="000000" w:fill="FEF3CC"/>
            <w:hideMark/>
          </w:tcPr>
          <w:p w14:paraId="0E4B6C09"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Sertifikat o energetskim svojstvima zgrade - energetski pasoši (propisivanje obaveze i za nove i za stare zgrade)</w:t>
            </w:r>
          </w:p>
        </w:tc>
        <w:tc>
          <w:tcPr>
            <w:tcW w:w="0" w:type="auto"/>
            <w:tcBorders>
              <w:top w:val="nil"/>
              <w:left w:val="nil"/>
              <w:bottom w:val="nil"/>
              <w:right w:val="single" w:sz="4" w:space="0" w:color="auto"/>
            </w:tcBorders>
            <w:shd w:val="clear" w:color="000000" w:fill="FEF3CC"/>
            <w:hideMark/>
          </w:tcPr>
          <w:p w14:paraId="7E7C3D94"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MGSI</w:t>
            </w:r>
          </w:p>
        </w:tc>
        <w:tc>
          <w:tcPr>
            <w:tcW w:w="0" w:type="auto"/>
            <w:tcBorders>
              <w:top w:val="nil"/>
              <w:left w:val="nil"/>
              <w:bottom w:val="nil"/>
              <w:right w:val="single" w:sz="4" w:space="0" w:color="auto"/>
            </w:tcBorders>
            <w:shd w:val="clear" w:color="000000" w:fill="FFFFFF"/>
            <w:hideMark/>
          </w:tcPr>
          <w:p w14:paraId="7F534C53" w14:textId="77777777" w:rsidR="00EA2B24" w:rsidRPr="00412B28" w:rsidRDefault="00EA2B24" w:rsidP="00D41708">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broj objekata za koje je izdat energetski pasoš</w:t>
            </w:r>
          </w:p>
        </w:tc>
        <w:tc>
          <w:tcPr>
            <w:tcW w:w="0" w:type="auto"/>
            <w:vAlign w:val="center"/>
            <w:hideMark/>
          </w:tcPr>
          <w:p w14:paraId="39A40C35" w14:textId="77777777" w:rsidR="00EA2B24" w:rsidRPr="00412B28" w:rsidRDefault="00EA2B24" w:rsidP="00D41708">
            <w:pPr>
              <w:spacing w:after="0" w:line="240" w:lineRule="auto"/>
              <w:rPr>
                <w:rFonts w:ascii="Times New Roman" w:eastAsia="Times New Roman" w:hAnsi="Times New Roman" w:cs="Times New Roman"/>
                <w:sz w:val="20"/>
                <w:szCs w:val="20"/>
              </w:rPr>
            </w:pPr>
          </w:p>
        </w:tc>
      </w:tr>
    </w:tbl>
    <w:p w14:paraId="571C7B69" w14:textId="77777777" w:rsidR="00EA2B24" w:rsidRPr="00412B28" w:rsidRDefault="00EA2B24" w:rsidP="00CB41F0">
      <w:pPr>
        <w:shd w:val="clear" w:color="auto" w:fill="C6D9F1" w:themeFill="text2" w:themeFillTint="33"/>
        <w:spacing w:before="240" w:after="0" w:line="276" w:lineRule="auto"/>
        <w:jc w:val="both"/>
        <w:rPr>
          <w:rFonts w:ascii="Times New Roman" w:hAnsi="Times New Roman" w:cs="Times New Roman"/>
          <w:sz w:val="24"/>
          <w:szCs w:val="24"/>
        </w:rPr>
      </w:pPr>
    </w:p>
    <w:p w14:paraId="7AB75ADC" w14:textId="77777777" w:rsidR="00EA2B24" w:rsidRPr="00412B28" w:rsidRDefault="00EA2B24" w:rsidP="00CB41F0">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Na osnovu kojih pokazatelja učinka će biti moguće utvrditi da li je došlo do ostvarivanja opštih odnosno posebnih ciljeva?</w:t>
      </w:r>
      <w:r w:rsidRPr="00412B28">
        <w:rPr>
          <w:rFonts w:ascii="Times New Roman" w:hAnsi="Times New Roman" w:cs="Times New Roman"/>
          <w:sz w:val="24"/>
          <w:szCs w:val="24"/>
          <w:lang w:val="sr-Cyrl-RS"/>
        </w:rPr>
        <w:t xml:space="preserve"> </w:t>
      </w:r>
    </w:p>
    <w:p w14:paraId="6725A374" w14:textId="77777777" w:rsidR="00EA2B24" w:rsidRPr="00412B28" w:rsidRDefault="00EA2B24" w:rsidP="00CB41F0">
      <w:pPr>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Pokazatelji su definisani u tabeli ispod.</w:t>
      </w:r>
    </w:p>
    <w:p w14:paraId="29FC8AF5" w14:textId="77777777" w:rsidR="00EA2B24" w:rsidRPr="00412B28" w:rsidRDefault="00EA2B24" w:rsidP="00CB41F0">
      <w:pPr>
        <w:shd w:val="clear" w:color="auto" w:fill="C6D9F1" w:themeFill="text2" w:themeFillTint="33"/>
        <w:spacing w:before="240" w:after="0" w:line="276" w:lineRule="auto"/>
        <w:ind w:left="360"/>
        <w:jc w:val="both"/>
      </w:pPr>
    </w:p>
    <w:p w14:paraId="586BAF78" w14:textId="77777777" w:rsidR="00EA2B24" w:rsidRPr="00412B28" w:rsidRDefault="00EA2B24" w:rsidP="00CB41F0">
      <w:pPr>
        <w:shd w:val="clear" w:color="auto" w:fill="C6D9F1" w:themeFill="text2" w:themeFillTint="33"/>
        <w:spacing w:before="240" w:after="0" w:line="276" w:lineRule="auto"/>
        <w:ind w:left="360"/>
        <w:jc w:val="both"/>
      </w:pPr>
    </w:p>
    <w:p w14:paraId="36377FF6" w14:textId="77777777" w:rsidR="00EA2B24" w:rsidRPr="00412B28" w:rsidRDefault="00EA2B24" w:rsidP="00CB41F0">
      <w:pPr>
        <w:shd w:val="clear" w:color="auto" w:fill="C6D9F1" w:themeFill="text2" w:themeFillTint="33"/>
        <w:spacing w:before="240" w:after="0" w:line="276" w:lineRule="auto"/>
        <w:ind w:left="36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1150"/>
        <w:gridCol w:w="1250"/>
        <w:gridCol w:w="1083"/>
        <w:gridCol w:w="927"/>
        <w:gridCol w:w="869"/>
        <w:gridCol w:w="869"/>
        <w:gridCol w:w="869"/>
        <w:gridCol w:w="869"/>
        <w:gridCol w:w="869"/>
      </w:tblGrid>
      <w:tr w:rsidR="00EA2B24" w:rsidRPr="00412B28" w14:paraId="293532AA" w14:textId="77777777" w:rsidTr="00D41708">
        <w:trPr>
          <w:trHeight w:val="720"/>
        </w:trPr>
        <w:tc>
          <w:tcPr>
            <w:tcW w:w="0" w:type="auto"/>
            <w:vMerge w:val="restart"/>
            <w:shd w:val="clear" w:color="000000" w:fill="44536A"/>
            <w:vAlign w:val="center"/>
            <w:hideMark/>
          </w:tcPr>
          <w:p w14:paraId="0A34D364"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Redni broj</w:t>
            </w:r>
          </w:p>
        </w:tc>
        <w:tc>
          <w:tcPr>
            <w:tcW w:w="0" w:type="auto"/>
            <w:vMerge w:val="restart"/>
            <w:shd w:val="clear" w:color="000000" w:fill="44536A"/>
            <w:vAlign w:val="center"/>
            <w:hideMark/>
          </w:tcPr>
          <w:p w14:paraId="279E60B2"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 xml:space="preserve">Rezultati koji doprinose </w:t>
            </w:r>
            <w:r w:rsidRPr="00412B28">
              <w:rPr>
                <w:rFonts w:ascii="Calibri (Body)" w:eastAsia="Times New Roman" w:hAnsi="Calibri (Body)" w:cs="Calibri"/>
                <w:b/>
                <w:bCs/>
                <w:color w:val="FFFFFF"/>
                <w:sz w:val="18"/>
                <w:szCs w:val="18"/>
              </w:rPr>
              <w:lastRenderedPageBreak/>
              <w:t>ostvarenju cilja</w:t>
            </w:r>
          </w:p>
        </w:tc>
        <w:tc>
          <w:tcPr>
            <w:tcW w:w="0" w:type="auto"/>
            <w:vMerge w:val="restart"/>
            <w:shd w:val="clear" w:color="000000" w:fill="44536A"/>
            <w:vAlign w:val="center"/>
            <w:hideMark/>
          </w:tcPr>
          <w:p w14:paraId="01F05D71"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lastRenderedPageBreak/>
              <w:t>Nosilac</w:t>
            </w:r>
          </w:p>
        </w:tc>
        <w:tc>
          <w:tcPr>
            <w:tcW w:w="0" w:type="auto"/>
            <w:vMerge w:val="restart"/>
            <w:shd w:val="clear" w:color="000000" w:fill="44536A"/>
            <w:vAlign w:val="center"/>
            <w:hideMark/>
          </w:tcPr>
          <w:p w14:paraId="7D3D642E"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Naziv pokazatelja</w:t>
            </w:r>
          </w:p>
        </w:tc>
        <w:tc>
          <w:tcPr>
            <w:tcW w:w="0" w:type="auto"/>
            <w:gridSpan w:val="6"/>
            <w:shd w:val="clear" w:color="000000" w:fill="44536A"/>
            <w:vAlign w:val="center"/>
            <w:hideMark/>
          </w:tcPr>
          <w:p w14:paraId="37393864"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Pokazatelj rezultata</w:t>
            </w:r>
          </w:p>
        </w:tc>
      </w:tr>
      <w:tr w:rsidR="00EA2B24" w:rsidRPr="00412B28" w14:paraId="2BE8D559" w14:textId="77777777" w:rsidTr="00D41708">
        <w:trPr>
          <w:trHeight w:val="1056"/>
        </w:trPr>
        <w:tc>
          <w:tcPr>
            <w:tcW w:w="0" w:type="auto"/>
            <w:vMerge/>
            <w:vAlign w:val="center"/>
            <w:hideMark/>
          </w:tcPr>
          <w:p w14:paraId="78E57188" w14:textId="77777777" w:rsidR="00EA2B24" w:rsidRPr="00412B28" w:rsidRDefault="00EA2B24" w:rsidP="00D41708">
            <w:pPr>
              <w:spacing w:after="0" w:line="240" w:lineRule="auto"/>
              <w:rPr>
                <w:rFonts w:ascii="Calibri (Body)" w:eastAsia="Times New Roman" w:hAnsi="Calibri (Body)" w:cs="Calibri"/>
                <w:b/>
                <w:bCs/>
                <w:color w:val="FFFFFF"/>
                <w:sz w:val="18"/>
                <w:szCs w:val="18"/>
              </w:rPr>
            </w:pPr>
          </w:p>
        </w:tc>
        <w:tc>
          <w:tcPr>
            <w:tcW w:w="0" w:type="auto"/>
            <w:vMerge/>
            <w:vAlign w:val="center"/>
            <w:hideMark/>
          </w:tcPr>
          <w:p w14:paraId="15415D14" w14:textId="77777777" w:rsidR="00EA2B24" w:rsidRPr="00412B28" w:rsidRDefault="00EA2B24" w:rsidP="00D41708">
            <w:pPr>
              <w:spacing w:after="0" w:line="240" w:lineRule="auto"/>
              <w:rPr>
                <w:rFonts w:ascii="Calibri (Body)" w:eastAsia="Times New Roman" w:hAnsi="Calibri (Body)" w:cs="Calibri"/>
                <w:b/>
                <w:bCs/>
                <w:color w:val="FFFFFF"/>
                <w:sz w:val="18"/>
                <w:szCs w:val="18"/>
              </w:rPr>
            </w:pPr>
          </w:p>
        </w:tc>
        <w:tc>
          <w:tcPr>
            <w:tcW w:w="0" w:type="auto"/>
            <w:vMerge/>
            <w:vAlign w:val="center"/>
            <w:hideMark/>
          </w:tcPr>
          <w:p w14:paraId="079C86AF" w14:textId="77777777" w:rsidR="00EA2B24" w:rsidRPr="00412B28" w:rsidRDefault="00EA2B24" w:rsidP="00D41708">
            <w:pPr>
              <w:spacing w:after="0" w:line="240" w:lineRule="auto"/>
              <w:rPr>
                <w:rFonts w:ascii="Calibri (Body)" w:eastAsia="Times New Roman" w:hAnsi="Calibri (Body)" w:cs="Calibri"/>
                <w:b/>
                <w:bCs/>
                <w:color w:val="FFFFFF"/>
                <w:sz w:val="18"/>
                <w:szCs w:val="18"/>
              </w:rPr>
            </w:pPr>
          </w:p>
        </w:tc>
        <w:tc>
          <w:tcPr>
            <w:tcW w:w="0" w:type="auto"/>
            <w:vMerge/>
            <w:vAlign w:val="center"/>
            <w:hideMark/>
          </w:tcPr>
          <w:p w14:paraId="1AE7A6D1" w14:textId="77777777" w:rsidR="00EA2B24" w:rsidRPr="00412B28" w:rsidRDefault="00EA2B24" w:rsidP="00D41708">
            <w:pPr>
              <w:spacing w:after="0" w:line="240" w:lineRule="auto"/>
              <w:rPr>
                <w:rFonts w:ascii="Calibri (Body)" w:eastAsia="Times New Roman" w:hAnsi="Calibri (Body)" w:cs="Calibri"/>
                <w:b/>
                <w:bCs/>
                <w:color w:val="FFFFFF"/>
                <w:sz w:val="18"/>
                <w:szCs w:val="18"/>
              </w:rPr>
            </w:pPr>
          </w:p>
        </w:tc>
        <w:tc>
          <w:tcPr>
            <w:tcW w:w="0" w:type="auto"/>
            <w:shd w:val="clear" w:color="000000" w:fill="44536A"/>
            <w:vAlign w:val="center"/>
            <w:hideMark/>
          </w:tcPr>
          <w:p w14:paraId="43F75F17"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Jedinica mere</w:t>
            </w:r>
          </w:p>
        </w:tc>
        <w:tc>
          <w:tcPr>
            <w:tcW w:w="0" w:type="auto"/>
            <w:shd w:val="clear" w:color="000000" w:fill="44536A"/>
            <w:vAlign w:val="center"/>
            <w:hideMark/>
          </w:tcPr>
          <w:p w14:paraId="0407D3EB"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Početna vrednost (godina)</w:t>
            </w:r>
          </w:p>
        </w:tc>
        <w:tc>
          <w:tcPr>
            <w:tcW w:w="0" w:type="auto"/>
            <w:shd w:val="clear" w:color="000000" w:fill="44536A"/>
            <w:vAlign w:val="center"/>
            <w:hideMark/>
          </w:tcPr>
          <w:p w14:paraId="3B599AB0"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Ciljna vrednost</w:t>
            </w:r>
            <w:r w:rsidRPr="00412B28">
              <w:rPr>
                <w:rFonts w:ascii="Calibri (Body)" w:eastAsia="Times New Roman" w:hAnsi="Calibri (Body)" w:cs="Calibri"/>
                <w:b/>
                <w:bCs/>
                <w:color w:val="FFFFFF"/>
                <w:sz w:val="18"/>
                <w:szCs w:val="18"/>
              </w:rPr>
              <w:br/>
              <w:t>(kraj 2023. godine)</w:t>
            </w:r>
          </w:p>
        </w:tc>
        <w:tc>
          <w:tcPr>
            <w:tcW w:w="0" w:type="auto"/>
            <w:shd w:val="clear" w:color="000000" w:fill="44536A"/>
            <w:vAlign w:val="center"/>
            <w:hideMark/>
          </w:tcPr>
          <w:p w14:paraId="7790343E"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Ciljna vrednost</w:t>
            </w:r>
            <w:r w:rsidRPr="00412B28">
              <w:rPr>
                <w:rFonts w:ascii="Calibri (Body)" w:eastAsia="Times New Roman" w:hAnsi="Calibri (Body)" w:cs="Calibri"/>
                <w:b/>
                <w:bCs/>
                <w:color w:val="FFFFFF"/>
                <w:sz w:val="18"/>
                <w:szCs w:val="18"/>
              </w:rPr>
              <w:br/>
              <w:t>(kraj 2024. godine)</w:t>
            </w:r>
          </w:p>
        </w:tc>
        <w:tc>
          <w:tcPr>
            <w:tcW w:w="0" w:type="auto"/>
            <w:shd w:val="clear" w:color="000000" w:fill="44536A"/>
            <w:vAlign w:val="center"/>
            <w:hideMark/>
          </w:tcPr>
          <w:p w14:paraId="72311459"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Ciljna vrednost</w:t>
            </w:r>
            <w:r w:rsidRPr="00412B28">
              <w:rPr>
                <w:rFonts w:ascii="Calibri (Body)" w:eastAsia="Times New Roman" w:hAnsi="Calibri (Body)" w:cs="Calibri"/>
                <w:b/>
                <w:bCs/>
                <w:color w:val="FFFFFF"/>
                <w:sz w:val="18"/>
                <w:szCs w:val="18"/>
              </w:rPr>
              <w:br/>
              <w:t>(kraj 2025. godine)</w:t>
            </w:r>
          </w:p>
        </w:tc>
        <w:tc>
          <w:tcPr>
            <w:tcW w:w="0" w:type="auto"/>
            <w:shd w:val="clear" w:color="000000" w:fill="44536A"/>
            <w:vAlign w:val="center"/>
            <w:hideMark/>
          </w:tcPr>
          <w:p w14:paraId="5FE694D7" w14:textId="77777777" w:rsidR="00EA2B24" w:rsidRPr="00412B28" w:rsidRDefault="00EA2B24" w:rsidP="00D41708">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Ciljna vrednost</w:t>
            </w:r>
            <w:r w:rsidRPr="00412B28">
              <w:rPr>
                <w:rFonts w:ascii="Calibri (Body)" w:eastAsia="Times New Roman" w:hAnsi="Calibri (Body)" w:cs="Calibri"/>
                <w:b/>
                <w:bCs/>
                <w:color w:val="FFFFFF"/>
                <w:sz w:val="18"/>
                <w:szCs w:val="18"/>
              </w:rPr>
              <w:br/>
              <w:t>(kraj 2026. godine)</w:t>
            </w:r>
          </w:p>
        </w:tc>
      </w:tr>
      <w:tr w:rsidR="00EA2B24" w:rsidRPr="00412B28" w14:paraId="5A00CA87" w14:textId="77777777" w:rsidTr="00D41708">
        <w:trPr>
          <w:trHeight w:val="264"/>
        </w:trPr>
        <w:tc>
          <w:tcPr>
            <w:tcW w:w="0" w:type="auto"/>
            <w:shd w:val="clear" w:color="000000" w:fill="FFFFFF"/>
            <w:hideMark/>
          </w:tcPr>
          <w:p w14:paraId="1E4D779F" w14:textId="77777777" w:rsidR="00EA2B24" w:rsidRPr="00412B28" w:rsidRDefault="00EA2B24" w:rsidP="00D41708">
            <w:pPr>
              <w:spacing w:after="0" w:line="240" w:lineRule="auto"/>
              <w:rPr>
                <w:rFonts w:ascii="Calibri (Body)" w:eastAsia="Times New Roman" w:hAnsi="Calibri (Body)" w:cs="Calibri"/>
                <w:color w:val="000000"/>
                <w:sz w:val="18"/>
                <w:szCs w:val="18"/>
              </w:rPr>
            </w:pPr>
            <w:r w:rsidRPr="00412B28">
              <w:rPr>
                <w:rFonts w:ascii="Calibri (Body)" w:eastAsia="Times New Roman" w:hAnsi="Calibri (Body)" w:cs="Calibri"/>
                <w:color w:val="000000"/>
                <w:sz w:val="18"/>
                <w:szCs w:val="18"/>
              </w:rPr>
              <w:t> </w:t>
            </w:r>
          </w:p>
        </w:tc>
        <w:tc>
          <w:tcPr>
            <w:tcW w:w="0" w:type="auto"/>
            <w:shd w:val="clear" w:color="000000" w:fill="FFFFFF"/>
            <w:hideMark/>
          </w:tcPr>
          <w:p w14:paraId="1CF2E2C2"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2CF1F7B5"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59B89C51"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1A51A6CB"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49788BA4"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309200E0"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6C38533C"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47DE1809"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2E4CF932"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r>
      <w:tr w:rsidR="00EA2B24" w:rsidRPr="00412B28" w14:paraId="6B8E99DC" w14:textId="77777777" w:rsidTr="00D41708">
        <w:trPr>
          <w:trHeight w:val="264"/>
        </w:trPr>
        <w:tc>
          <w:tcPr>
            <w:tcW w:w="0" w:type="auto"/>
            <w:gridSpan w:val="2"/>
            <w:shd w:val="clear" w:color="000000" w:fill="000000"/>
            <w:hideMark/>
          </w:tcPr>
          <w:p w14:paraId="6B66954D" w14:textId="77777777" w:rsidR="00EA2B24" w:rsidRPr="00412B28" w:rsidRDefault="00EA2B24" w:rsidP="00D41708">
            <w:pPr>
              <w:spacing w:after="0" w:line="240" w:lineRule="auto"/>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 xml:space="preserve">Prioritetni cilj:                                                                             </w:t>
            </w:r>
          </w:p>
        </w:tc>
        <w:tc>
          <w:tcPr>
            <w:tcW w:w="0" w:type="auto"/>
            <w:shd w:val="clear" w:color="000000" w:fill="000000"/>
            <w:hideMark/>
          </w:tcPr>
          <w:p w14:paraId="597A9944"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3.3. Unapređenje uslova za stanogradnju, saobraćajnu infrastrukturu i liberalizacija saobraćajnog režima</w:t>
            </w:r>
          </w:p>
        </w:tc>
        <w:tc>
          <w:tcPr>
            <w:tcW w:w="0" w:type="auto"/>
            <w:shd w:val="clear" w:color="000000" w:fill="000000"/>
            <w:hideMark/>
          </w:tcPr>
          <w:p w14:paraId="4F56ADEE"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4B5B5056"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0925DB06"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0C501840"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77BF0306"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75E3EAB9"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43B0AAA0" w14:textId="77777777" w:rsidR="00EA2B24" w:rsidRPr="00412B28" w:rsidRDefault="00EA2B24" w:rsidP="00D41708">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r>
      <w:tr w:rsidR="00EA2B24" w:rsidRPr="00412B28" w14:paraId="0B4F8281" w14:textId="77777777" w:rsidTr="00D41708">
        <w:trPr>
          <w:trHeight w:val="528"/>
        </w:trPr>
        <w:tc>
          <w:tcPr>
            <w:tcW w:w="0" w:type="auto"/>
            <w:shd w:val="clear" w:color="000000" w:fill="FEF3CC"/>
            <w:hideMark/>
          </w:tcPr>
          <w:p w14:paraId="58B16FAD"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3.3.2.</w:t>
            </w:r>
          </w:p>
        </w:tc>
        <w:tc>
          <w:tcPr>
            <w:tcW w:w="0" w:type="auto"/>
            <w:shd w:val="clear" w:color="000000" w:fill="FEF3CC"/>
            <w:hideMark/>
          </w:tcPr>
          <w:p w14:paraId="2A162946"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xml:space="preserve">Skraćivanje procedure za izdavanje građevinske dozvole </w:t>
            </w:r>
          </w:p>
        </w:tc>
        <w:tc>
          <w:tcPr>
            <w:tcW w:w="0" w:type="auto"/>
            <w:shd w:val="clear" w:color="000000" w:fill="FEF3CC"/>
            <w:hideMark/>
          </w:tcPr>
          <w:p w14:paraId="2F3A2BB6"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MGSI</w:t>
            </w:r>
          </w:p>
        </w:tc>
        <w:tc>
          <w:tcPr>
            <w:tcW w:w="0" w:type="auto"/>
            <w:shd w:val="clear" w:color="000000" w:fill="FFFFFF"/>
            <w:hideMark/>
          </w:tcPr>
          <w:p w14:paraId="65ABB151"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broj dana za izdavanje građevinske dozvole</w:t>
            </w:r>
          </w:p>
        </w:tc>
        <w:tc>
          <w:tcPr>
            <w:tcW w:w="0" w:type="auto"/>
            <w:shd w:val="clear" w:color="000000" w:fill="FFFFFF"/>
            <w:hideMark/>
          </w:tcPr>
          <w:p w14:paraId="06BE6638"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broj</w:t>
            </w:r>
          </w:p>
        </w:tc>
        <w:tc>
          <w:tcPr>
            <w:tcW w:w="0" w:type="auto"/>
            <w:shd w:val="clear" w:color="000000" w:fill="FFFFFF"/>
            <w:hideMark/>
          </w:tcPr>
          <w:p w14:paraId="51641423"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97 (2022.)</w:t>
            </w:r>
          </w:p>
        </w:tc>
        <w:tc>
          <w:tcPr>
            <w:tcW w:w="0" w:type="auto"/>
            <w:shd w:val="clear" w:color="000000" w:fill="FFFFFF"/>
            <w:hideMark/>
          </w:tcPr>
          <w:p w14:paraId="0765597C"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90 </w:t>
            </w:r>
          </w:p>
        </w:tc>
        <w:tc>
          <w:tcPr>
            <w:tcW w:w="0" w:type="auto"/>
            <w:shd w:val="clear" w:color="000000" w:fill="FFFFFF"/>
            <w:hideMark/>
          </w:tcPr>
          <w:p w14:paraId="5626AA8F"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85 </w:t>
            </w:r>
          </w:p>
        </w:tc>
        <w:tc>
          <w:tcPr>
            <w:tcW w:w="0" w:type="auto"/>
            <w:shd w:val="clear" w:color="000000" w:fill="FFFFFF"/>
            <w:hideMark/>
          </w:tcPr>
          <w:p w14:paraId="246A18DA"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80 </w:t>
            </w:r>
          </w:p>
        </w:tc>
        <w:tc>
          <w:tcPr>
            <w:tcW w:w="0" w:type="auto"/>
            <w:shd w:val="clear" w:color="000000" w:fill="FFFFFF"/>
            <w:hideMark/>
          </w:tcPr>
          <w:p w14:paraId="15482210"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60 </w:t>
            </w:r>
          </w:p>
        </w:tc>
      </w:tr>
      <w:tr w:rsidR="00EA2B24" w:rsidRPr="00412B28" w14:paraId="59797652" w14:textId="77777777" w:rsidTr="00D41708">
        <w:trPr>
          <w:trHeight w:val="528"/>
        </w:trPr>
        <w:tc>
          <w:tcPr>
            <w:tcW w:w="0" w:type="auto"/>
            <w:shd w:val="clear" w:color="000000" w:fill="FEF3CC"/>
            <w:hideMark/>
          </w:tcPr>
          <w:p w14:paraId="044E354E"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3.3.5.</w:t>
            </w:r>
          </w:p>
        </w:tc>
        <w:tc>
          <w:tcPr>
            <w:tcW w:w="0" w:type="auto"/>
            <w:shd w:val="clear" w:color="000000" w:fill="FEF3CC"/>
            <w:hideMark/>
          </w:tcPr>
          <w:p w14:paraId="475FABC8"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Uvođenje sertifikata zelene gradnje</w:t>
            </w:r>
          </w:p>
        </w:tc>
        <w:tc>
          <w:tcPr>
            <w:tcW w:w="0" w:type="auto"/>
            <w:shd w:val="clear" w:color="000000" w:fill="FEF3CC"/>
            <w:hideMark/>
          </w:tcPr>
          <w:p w14:paraId="3C4DE535"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MGSI</w:t>
            </w:r>
          </w:p>
        </w:tc>
        <w:tc>
          <w:tcPr>
            <w:tcW w:w="0" w:type="auto"/>
            <w:shd w:val="clear" w:color="000000" w:fill="FFFFFF"/>
            <w:hideMark/>
          </w:tcPr>
          <w:p w14:paraId="135EFC05"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utvrđeni uslovi za dobijanje sertifikata</w:t>
            </w:r>
          </w:p>
        </w:tc>
        <w:tc>
          <w:tcPr>
            <w:tcW w:w="0" w:type="auto"/>
            <w:shd w:val="clear" w:color="000000" w:fill="FFFFFF"/>
            <w:hideMark/>
          </w:tcPr>
          <w:p w14:paraId="3DF71685"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da/ne</w:t>
            </w:r>
          </w:p>
        </w:tc>
        <w:tc>
          <w:tcPr>
            <w:tcW w:w="0" w:type="auto"/>
            <w:shd w:val="clear" w:color="000000" w:fill="FFFFFF"/>
            <w:hideMark/>
          </w:tcPr>
          <w:p w14:paraId="4B27C9D4"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ne (2022.)</w:t>
            </w:r>
          </w:p>
        </w:tc>
        <w:tc>
          <w:tcPr>
            <w:tcW w:w="0" w:type="auto"/>
            <w:shd w:val="clear" w:color="000000" w:fill="FFFFFF"/>
            <w:hideMark/>
          </w:tcPr>
          <w:p w14:paraId="507697DE"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da </w:t>
            </w:r>
          </w:p>
        </w:tc>
        <w:tc>
          <w:tcPr>
            <w:tcW w:w="0" w:type="auto"/>
            <w:shd w:val="clear" w:color="000000" w:fill="FFFFFF"/>
            <w:hideMark/>
          </w:tcPr>
          <w:p w14:paraId="70ACEEEC"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3556B451"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5A506682"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r>
      <w:tr w:rsidR="00EA2B24" w:rsidRPr="00412B28" w14:paraId="3C703A59" w14:textId="77777777" w:rsidTr="00D41708">
        <w:trPr>
          <w:trHeight w:val="792"/>
        </w:trPr>
        <w:tc>
          <w:tcPr>
            <w:tcW w:w="0" w:type="auto"/>
            <w:shd w:val="clear" w:color="000000" w:fill="FEF3CC"/>
            <w:hideMark/>
          </w:tcPr>
          <w:p w14:paraId="23BD139D"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3.3.6.</w:t>
            </w:r>
          </w:p>
        </w:tc>
        <w:tc>
          <w:tcPr>
            <w:tcW w:w="0" w:type="auto"/>
            <w:shd w:val="clear" w:color="000000" w:fill="FEF3CC"/>
            <w:hideMark/>
          </w:tcPr>
          <w:p w14:paraId="27A63020"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Sertifikat o energetskim svojstvima zgrade - energetski pasoši (propisivanje obaveze i za nove i za stare zgrade)</w:t>
            </w:r>
          </w:p>
        </w:tc>
        <w:tc>
          <w:tcPr>
            <w:tcW w:w="0" w:type="auto"/>
            <w:shd w:val="clear" w:color="000000" w:fill="FEF3CC"/>
            <w:hideMark/>
          </w:tcPr>
          <w:p w14:paraId="2D90F70B"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MGSI</w:t>
            </w:r>
          </w:p>
        </w:tc>
        <w:tc>
          <w:tcPr>
            <w:tcW w:w="0" w:type="auto"/>
            <w:shd w:val="clear" w:color="000000" w:fill="FFFFFF"/>
            <w:hideMark/>
          </w:tcPr>
          <w:p w14:paraId="2D623C69"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broj objekata za koje je izdat energetski pasoš</w:t>
            </w:r>
          </w:p>
        </w:tc>
        <w:tc>
          <w:tcPr>
            <w:tcW w:w="0" w:type="auto"/>
            <w:shd w:val="clear" w:color="000000" w:fill="FFFFFF"/>
            <w:hideMark/>
          </w:tcPr>
          <w:p w14:paraId="2CB452B3" w14:textId="77777777" w:rsidR="00EA2B24" w:rsidRPr="00412B28" w:rsidRDefault="00EA2B24" w:rsidP="00D41708">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broj (godišnje)</w:t>
            </w:r>
          </w:p>
        </w:tc>
        <w:tc>
          <w:tcPr>
            <w:tcW w:w="0" w:type="auto"/>
            <w:shd w:val="clear" w:color="000000" w:fill="FFFFFF"/>
            <w:hideMark/>
          </w:tcPr>
          <w:p w14:paraId="1CD56C9B"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3.200 (2022.)</w:t>
            </w:r>
          </w:p>
        </w:tc>
        <w:tc>
          <w:tcPr>
            <w:tcW w:w="0" w:type="auto"/>
            <w:shd w:val="clear" w:color="000000" w:fill="FFFFFF"/>
            <w:hideMark/>
          </w:tcPr>
          <w:p w14:paraId="42B4260A"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3,400 </w:t>
            </w:r>
          </w:p>
        </w:tc>
        <w:tc>
          <w:tcPr>
            <w:tcW w:w="0" w:type="auto"/>
            <w:shd w:val="clear" w:color="000000" w:fill="FFFFFF"/>
            <w:hideMark/>
          </w:tcPr>
          <w:p w14:paraId="14241C29"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3,600 </w:t>
            </w:r>
          </w:p>
        </w:tc>
        <w:tc>
          <w:tcPr>
            <w:tcW w:w="0" w:type="auto"/>
            <w:shd w:val="clear" w:color="000000" w:fill="FFFFFF"/>
            <w:hideMark/>
          </w:tcPr>
          <w:p w14:paraId="48591228"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3,800 </w:t>
            </w:r>
          </w:p>
        </w:tc>
        <w:tc>
          <w:tcPr>
            <w:tcW w:w="0" w:type="auto"/>
            <w:shd w:val="clear" w:color="000000" w:fill="FFFFFF"/>
            <w:hideMark/>
          </w:tcPr>
          <w:p w14:paraId="1C1A6A64" w14:textId="77777777" w:rsidR="00EA2B24" w:rsidRPr="00412B28" w:rsidRDefault="00EA2B24" w:rsidP="00D41708">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r>
    </w:tbl>
    <w:p w14:paraId="387B2EC4" w14:textId="77777777" w:rsidR="00EA2B24" w:rsidRPr="00412B28" w:rsidRDefault="00EA2B24" w:rsidP="00CB41F0">
      <w:pPr>
        <w:spacing w:after="200" w:line="276" w:lineRule="auto"/>
        <w:rPr>
          <w:rFonts w:ascii="Times New Roman" w:hAnsi="Times New Roman" w:cs="Times New Roman"/>
          <w:b/>
          <w:sz w:val="24"/>
          <w:szCs w:val="24"/>
          <w:u w:val="single"/>
        </w:rPr>
      </w:pPr>
    </w:p>
    <w:p w14:paraId="68BDE526" w14:textId="77777777" w:rsidR="00EA2B24" w:rsidRPr="00412B28" w:rsidRDefault="00EA2B24" w:rsidP="00CB41F0">
      <w:pPr>
        <w:spacing w:before="240" w:line="276" w:lineRule="auto"/>
        <w:ind w:left="7920"/>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t>PRILOG 4:</w:t>
      </w:r>
    </w:p>
    <w:p w14:paraId="580CDBBD"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identifikovanje opcija javnih politika</w:t>
      </w:r>
    </w:p>
    <w:p w14:paraId="0056C1F2"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Koje relevantne opcije (alternativne mere, odnosno grupe mera) za ostvarenje cilja su uzete u razmatranje? Da li je razmatrana „</w:t>
      </w:r>
      <w:r w:rsidRPr="00412B28">
        <w:rPr>
          <w:rFonts w:ascii="Times New Roman" w:hAnsi="Times New Roman" w:cs="Times New Roman"/>
          <w:i/>
          <w:sz w:val="24"/>
          <w:szCs w:val="24"/>
        </w:rPr>
        <w:t>status quo</w:t>
      </w:r>
      <w:r w:rsidRPr="00412B28">
        <w:rPr>
          <w:rFonts w:ascii="Times New Roman" w:hAnsi="Times New Roman" w:cs="Times New Roman"/>
          <w:sz w:val="24"/>
          <w:szCs w:val="24"/>
        </w:rPr>
        <w:t xml:space="preserve">” opcija? </w:t>
      </w:r>
    </w:p>
    <w:p w14:paraId="1B5B240D"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Predložena rešenja rezultat su razmatranja svih relevantnih opcija, za svako pojedinačno rešenje, uključujući i opciju „status quo”. Očito je da, uzimajući u obzir sve faktore koji utiču na građevinsku industriju, da prethodno opisani negativni trendovi, zahtevaju reakciju države, a najefikasnije sredstvo koje je državi na raspolaganju jeste Zakon i njegova izmena. S tim u vezi, predložena zakonska rešenja targetiraju građevinsku industriju u više pravaca, što će u konačnom, prema oceni Ministarstva građevinarstva, saobraćaja i infrastrukture, doneti značajno unaprećenje</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ključnih procesa povezanih sa građevinskom industrijom.</w:t>
      </w:r>
    </w:p>
    <w:p w14:paraId="1282D6FA"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 xml:space="preserve">Da li su, pored regulatornih mera, identifikovane i druge opcije za postizanje željene promene i analizirani njihovi potencijalni efekti? </w:t>
      </w:r>
    </w:p>
    <w:p w14:paraId="407DE4ED"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Odgovor je negativan.</w:t>
      </w:r>
    </w:p>
    <w:p w14:paraId="38C4231A"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Da li su, pored restriktivnih mera (zabrane, ograničenja, sankcije i slično) ispitane i podsticajne mere za postizanje posebnog cilja? </w:t>
      </w:r>
    </w:p>
    <w:p w14:paraId="57836F7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Da. </w:t>
      </w:r>
    </w:p>
    <w:p w14:paraId="68580BF5"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su u okviru razmatranih opcija identifikovane institucionalno  upravljačko organizacione mere koje je neophodno sprovesti da bi se postigli posebni ciljevi?</w:t>
      </w:r>
    </w:p>
    <w:p w14:paraId="14CFAD25"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Da.</w:t>
      </w:r>
    </w:p>
    <w:p w14:paraId="7E321092"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se promena može postići kroz sprovođenje informativno-edukativnih mera?</w:t>
      </w:r>
    </w:p>
    <w:p w14:paraId="61B2B0B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Da.</w:t>
      </w:r>
    </w:p>
    <w:p w14:paraId="1F324A1A"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Da li ciljne grupe i druge zainteresovane strane iz civilnog i privatnog sektora mogu da budu uključene u proces sprovođenja javne politike, odnosno propisa ili se problem može rešiti isključivo intervencijom javnog sektora? </w:t>
      </w:r>
    </w:p>
    <w:p w14:paraId="67519751"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w:t>
      </w:r>
    </w:p>
    <w:p w14:paraId="4026F064"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postoje raspoloživi, odnosno potencijalni resursi za sprovođenje identifikovanih opcija?</w:t>
      </w:r>
    </w:p>
    <w:p w14:paraId="30E110BC"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Da.</w:t>
      </w:r>
    </w:p>
    <w:p w14:paraId="454BBF0F" w14:textId="77777777" w:rsidR="00EA2B24" w:rsidRPr="00412B28" w:rsidRDefault="00EA2B24" w:rsidP="00CB41F0">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Koja opcija je izabrana za sprovođenje i na osnovu čega je procenjeno da će se tom opcijom postići željena promena i</w:t>
      </w:r>
      <w:r w:rsidRPr="00412B28">
        <w:rPr>
          <w:rFonts w:ascii="Times New Roman" w:hAnsi="Times New Roman"/>
          <w:sz w:val="24"/>
          <w:szCs w:val="24"/>
          <w:lang w:val="ru-RU"/>
        </w:rPr>
        <w:t xml:space="preserve"> ostvarenje utvrđenih ciljeva?</w:t>
      </w:r>
    </w:p>
    <w:p w14:paraId="05ED763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sz w:val="24"/>
          <w:szCs w:val="24"/>
          <w:lang w:val="ru-RU"/>
        </w:rPr>
        <w:t>Izabrana opcija je Izmena i dopuna Zakona o planiranju izgradnji.</w:t>
      </w:r>
      <w:r w:rsidRPr="00412B28">
        <w:t xml:space="preserve"> </w:t>
      </w:r>
      <w:r w:rsidRPr="00412B28">
        <w:rPr>
          <w:rFonts w:ascii="Times New Roman" w:hAnsi="Times New Roman"/>
          <w:sz w:val="24"/>
          <w:szCs w:val="24"/>
          <w:lang w:val="ru-RU"/>
        </w:rPr>
        <w:t xml:space="preserve">Opšta kretanja u oblasti građevinske industrije daju jasan signal da je donošenje odgovarajućih sistemskih rešenja kroz izmene i dopune Zakona neophodno. </w:t>
      </w:r>
    </w:p>
    <w:p w14:paraId="01DD1F09" w14:textId="77777777" w:rsidR="00EA2B24" w:rsidRPr="00412B28" w:rsidRDefault="00EA2B24" w:rsidP="00CB41F0">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r w:rsidRPr="00412B28">
        <w:rPr>
          <w:rFonts w:ascii="Times New Roman" w:hAnsi="Times New Roman" w:cs="Times New Roman"/>
          <w:b/>
          <w:sz w:val="24"/>
          <w:szCs w:val="24"/>
          <w:u w:val="single"/>
        </w:rPr>
        <w:lastRenderedPageBreak/>
        <w:t>PRILOG 5:</w:t>
      </w:r>
    </w:p>
    <w:p w14:paraId="1AFC43D6"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analizu finansijskih efekata</w:t>
      </w:r>
    </w:p>
    <w:p w14:paraId="5AC3189F" w14:textId="77777777" w:rsidR="00EA2B24" w:rsidRPr="00412B28" w:rsidRDefault="00EA2B24" w:rsidP="00CB41F0">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Kakve će efekte izabrana opcija imati na javne prihode i rashode u srednjem i dugom roku? </w:t>
      </w:r>
    </w:p>
    <w:p w14:paraId="09947F3B" w14:textId="77777777" w:rsidR="00EA2B24" w:rsidRPr="00E76327" w:rsidRDefault="00EA2B24" w:rsidP="00CB41F0">
      <w:pPr>
        <w:shd w:val="clear" w:color="auto" w:fill="C6D9F1" w:themeFill="text2" w:themeFillTint="33"/>
        <w:spacing w:before="240" w:after="0" w:line="276" w:lineRule="auto"/>
        <w:ind w:left="720"/>
        <w:jc w:val="both"/>
        <w:rPr>
          <w:i/>
          <w:iCs/>
          <w:lang w:val="sr-Cyrl-RS"/>
        </w:rPr>
      </w:pPr>
      <w:r w:rsidRPr="00412B28">
        <w:rPr>
          <w:rFonts w:ascii="Times New Roman" w:hAnsi="Times New Roman" w:cs="Times New Roman"/>
          <w:sz w:val="24"/>
          <w:szCs w:val="24"/>
          <w:lang w:val="sr-Cyrl-RS"/>
        </w:rPr>
        <w:t xml:space="preserve">Izmene i dopune Zakona o planiranju i izgradnji koje za cilj imaju </w:t>
      </w:r>
      <w:r w:rsidRPr="00412B28">
        <w:rPr>
          <w:rFonts w:ascii="Times New Roman" w:hAnsi="Times New Roman" w:cs="Times New Roman"/>
          <w:b/>
          <w:bCs/>
          <w:sz w:val="24"/>
          <w:szCs w:val="24"/>
          <w:lang w:val="sr-Cyrl-RS"/>
        </w:rPr>
        <w:t>unapređenje elektronskog sistema (CEOP)</w:t>
      </w:r>
      <w:r w:rsidRPr="00412B28">
        <w:rPr>
          <w:b/>
          <w:bCs/>
        </w:rPr>
        <w:t xml:space="preserve"> </w:t>
      </w:r>
      <w:r w:rsidRPr="00412B28">
        <w:rPr>
          <w:rFonts w:ascii="Times New Roman" w:hAnsi="Times New Roman" w:cs="Times New Roman"/>
          <w:b/>
          <w:bCs/>
          <w:sz w:val="24"/>
          <w:szCs w:val="24"/>
          <w:lang w:val="sr-Cyrl-RS"/>
        </w:rPr>
        <w:t>za izdavanje građevinskih dozvola, prenos dela ovlašćenja sa državnog organa na druga pravna lica i javne beležnike (izdavanje informacije o lokaciji) i rešavanje pitanja tzv.</w:t>
      </w:r>
      <w:r w:rsidRPr="00412B28">
        <w:t xml:space="preserve"> </w:t>
      </w:r>
      <w:r w:rsidRPr="00412B28">
        <w:rPr>
          <w:rFonts w:ascii="Times New Roman" w:hAnsi="Times New Roman" w:cs="Times New Roman"/>
          <w:b/>
          <w:bCs/>
          <w:sz w:val="24"/>
          <w:szCs w:val="24"/>
          <w:lang w:val="sr-Cyrl-RS"/>
        </w:rPr>
        <w:t xml:space="preserve">„ćutanja administracije“, </w:t>
      </w:r>
      <w:r w:rsidRPr="00412B28">
        <w:rPr>
          <w:rFonts w:ascii="Times New Roman" w:hAnsi="Times New Roman" w:cs="Times New Roman"/>
          <w:sz w:val="24"/>
          <w:szCs w:val="24"/>
          <w:lang w:val="sr-Cyrl-RS"/>
        </w:rPr>
        <w:t xml:space="preserve"> za posledicu imaju unapređenje i pojednostavljenje procedura, što će prema proceni dovesti </w:t>
      </w:r>
      <w:r w:rsidRPr="00412B28">
        <w:rPr>
          <w:rFonts w:ascii="Times New Roman" w:hAnsi="Times New Roman" w:cs="Times New Roman"/>
          <w:b/>
          <w:bCs/>
          <w:sz w:val="24"/>
          <w:szCs w:val="24"/>
          <w:lang w:val="sr-Cyrl-RS"/>
        </w:rPr>
        <w:t>do skraćenja vremena rešavanja podnetih zahteva za 15%</w:t>
      </w:r>
      <w:r w:rsidRPr="00412B28">
        <w:rPr>
          <w:rFonts w:ascii="Times New Roman" w:hAnsi="Times New Roman" w:cs="Times New Roman"/>
          <w:sz w:val="24"/>
          <w:szCs w:val="24"/>
          <w:lang w:val="sr-Cyrl-RS"/>
        </w:rPr>
        <w:t>, a posledično i do povećanja obima izdatih građevinskih i upotrebnih dozvola. Naime, prema raspoloživim informacijama, prosečno vreme trajanja procesa izdavanja građevinskih dozvola kreće se u rasponu od 85 do 90 dana. Proces izdavanja lokacijskih uslova u okviru pomenutog postupka u proseku traje 33 dana. Prenosom ovlašćenja za izdavanje lokacijskih uslova, unapređenjem sistema CEOP, ali i uvođenjem mera koji rešavaju pitanja ćutanja administracije, procena je da će proces izdavanja lokacijskih uslova biti skraćen za 13.5 dana. Posledično, navedeno skraćenje dovešće do povećanja broja izdatih građevinskih dozvola na godišnjem nivou za oko 5.250 dozvola, dok će se broj izdatih upotrebnih dozvola povećati za oko 630.</w:t>
      </w:r>
      <w:r w:rsidRPr="00412B28">
        <w:t xml:space="preserve"> </w:t>
      </w:r>
      <w:r w:rsidRPr="00412B28">
        <w:rPr>
          <w:rFonts w:ascii="Times New Roman" w:hAnsi="Times New Roman" w:cs="Times New Roman"/>
          <w:sz w:val="24"/>
          <w:szCs w:val="24"/>
          <w:lang w:val="sr-Cyrl-RS"/>
        </w:rPr>
        <w:t xml:space="preserve">Povećan broj izdatih građevinskih dozvola dovodi do povećanja obima građevinskih radova za </w:t>
      </w:r>
      <w:r w:rsidRPr="00412B28">
        <w:rPr>
          <w:rFonts w:ascii="Times New Roman" w:hAnsi="Times New Roman" w:cs="Times New Roman"/>
          <w:b/>
          <w:bCs/>
          <w:sz w:val="24"/>
          <w:szCs w:val="24"/>
          <w:lang w:val="sr-Cyrl-RS"/>
        </w:rPr>
        <w:t>1,220,000 m</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b/>
          <w:bCs/>
          <w:sz w:val="24"/>
          <w:szCs w:val="24"/>
          <w:lang w:val="sr-Cyrl-RS"/>
        </w:rPr>
        <w:t>.</w:t>
      </w:r>
      <w:r w:rsidRPr="00412B28">
        <w:t xml:space="preserve"> </w:t>
      </w:r>
      <w:r w:rsidRPr="00412B28">
        <w:rPr>
          <w:i/>
          <w:iCs/>
        </w:rPr>
        <w:t>(</w:t>
      </w:r>
      <w:r w:rsidRPr="00412B28">
        <w:rPr>
          <w:i/>
          <w:iCs/>
          <w:lang w:val="sr-Cyrl-RS"/>
        </w:rPr>
        <w:t>Procena je da će izmene i dopune Zakona dovesti do skraćenja vremena izvršenja procedura za 15%.</w:t>
      </w:r>
      <w:r>
        <w:rPr>
          <w:i/>
          <w:iCs/>
          <w:lang w:val="sr-Cyrl-RS"/>
        </w:rPr>
        <w:t xml:space="preserve"> Navedena procena povezana je  sa predviđenim </w:t>
      </w:r>
      <w:r w:rsidRPr="00E76327">
        <w:rPr>
          <w:i/>
          <w:iCs/>
          <w:lang w:val="sr-Cyrl-RS"/>
        </w:rPr>
        <w:t>unapređenj</w:t>
      </w:r>
      <w:r>
        <w:rPr>
          <w:i/>
          <w:iCs/>
          <w:lang w:val="sr-Cyrl-RS"/>
        </w:rPr>
        <w:t>ima</w:t>
      </w:r>
      <w:r w:rsidRPr="00E76327">
        <w:rPr>
          <w:i/>
          <w:iCs/>
          <w:lang w:val="sr-Cyrl-RS"/>
        </w:rPr>
        <w:t xml:space="preserve"> elektronskog sistema (CEOP) za izdavanje građevinskih dozvola, uvođenjem novih: </w:t>
      </w:r>
      <w:r>
        <w:rPr>
          <w:i/>
          <w:iCs/>
          <w:lang w:val="sr-Cyrl-RS"/>
        </w:rPr>
        <w:t xml:space="preserve"> </w:t>
      </w:r>
      <w:r w:rsidRPr="00E76327">
        <w:rPr>
          <w:i/>
          <w:iCs/>
          <w:lang w:val="sr-Cyrl-RS"/>
        </w:rPr>
        <w:t>a)  funkcionalnosti i poboljšanjem postojećih (naročito uvođenje E-prostora, kojim  postupak za izradu i izmenu planske dokumentacije postaje efikasniji i brži), </w:t>
      </w:r>
      <w:r>
        <w:rPr>
          <w:i/>
          <w:iCs/>
          <w:lang w:val="sr-Cyrl-RS"/>
        </w:rPr>
        <w:t xml:space="preserve"> </w:t>
      </w:r>
      <w:r w:rsidRPr="00E76327">
        <w:rPr>
          <w:i/>
          <w:iCs/>
          <w:lang w:val="sr-Cyrl-RS"/>
        </w:rPr>
        <w:t>b) kriterijuma u pogledu nadležnosti, odnosno poveravanju nadležnosti za izdavanje građevinskih dozvola, </w:t>
      </w:r>
      <w:r>
        <w:rPr>
          <w:i/>
          <w:iCs/>
          <w:lang w:val="sr-Cyrl-RS"/>
        </w:rPr>
        <w:t xml:space="preserve"> </w:t>
      </w:r>
      <w:r w:rsidRPr="00E76327">
        <w:rPr>
          <w:i/>
          <w:iCs/>
          <w:lang w:val="sr-Cyrl-RS"/>
        </w:rPr>
        <w:t>v) pravnih instituta u pogledu ćutanja administracije, kako u pogledu pripreme koordinacije, praćenju izrade planskih dokumenata, tako i u pogledu postupanja u okviru objedinjene procedure;</w:t>
      </w:r>
      <w:r>
        <w:rPr>
          <w:i/>
          <w:iCs/>
          <w:lang w:val="sr-Cyrl-RS"/>
        </w:rPr>
        <w:t xml:space="preserve"> </w:t>
      </w:r>
      <w:r w:rsidRPr="00E76327">
        <w:rPr>
          <w:i/>
          <w:iCs/>
          <w:lang w:val="sr-Cyrl-RS"/>
        </w:rPr>
        <w:t>g) softverskih unapređenja i tehničkih poboljšanja postojećih aplikacija u CEOP-u, na osnovu dosadašnjeg iskustva na radu i održavanju ovog sistema.</w:t>
      </w:r>
    </w:p>
    <w:p w14:paraId="20E1AA64" w14:textId="77777777" w:rsidR="00EA2B24" w:rsidRPr="00412B28" w:rsidRDefault="00EA2B24" w:rsidP="00CB41F0">
      <w:pPr>
        <w:shd w:val="clear" w:color="auto" w:fill="C6D9F1" w:themeFill="text2" w:themeFillTint="33"/>
        <w:spacing w:before="240" w:after="0" w:line="276" w:lineRule="auto"/>
        <w:ind w:left="720"/>
        <w:jc w:val="both"/>
        <w:rPr>
          <w:lang w:val="sr-Cyrl-RS"/>
        </w:rPr>
      </w:pPr>
      <w:r>
        <w:rPr>
          <w:i/>
          <w:iCs/>
          <w:lang w:val="sr-Cyrl-RS"/>
        </w:rPr>
        <w:t>Saglasno navedenom, procenjen o</w:t>
      </w:r>
      <w:r w:rsidRPr="00412B28">
        <w:rPr>
          <w:i/>
          <w:iCs/>
          <w:lang w:val="sr-Cyrl-RS"/>
        </w:rPr>
        <w:t>bim skraćenja je 99.5 dana * 15% = 14.93 dana. Novo vreme trajanja izvršenja procedure je 99.5-14.93 dana = 84.57 dana. Prosečan broj izdatih građevinskih dozvola na nivou jedne godine je 29.697. Broj radnih dana u toku godine je 260. Procena je da dnevno, na nivou Republike, bude izdato 114.22 građevinske dozvole. Ubrzanje vremena izvršenja procedura za 14.93 dana, povećaće broj izdatih dozvola na dnevnom nivou na 134.38. Na nivou godine, broj izdatih dozvola će se povećati na 34,938 odnosno povećanje od 5.242 građevinskih dozvola dozvola godišnje. Prosečna površina objekta po jednoj građevinskoj dozvoli iznosi 232.79 m2, pa je procenjeno povećanje površina koje će biti predmet izgradnje 1,220,299 m2).</w:t>
      </w:r>
    </w:p>
    <w:p w14:paraId="0C527B66"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Pomenuto povećanje obima izdatih građevinskih i upotrebnih dozvola, rezultiraće </w:t>
      </w:r>
      <w:r w:rsidRPr="00412B28">
        <w:rPr>
          <w:rFonts w:ascii="Times New Roman" w:hAnsi="Times New Roman" w:cs="Times New Roman"/>
          <w:b/>
          <w:bCs/>
          <w:sz w:val="24"/>
          <w:szCs w:val="24"/>
          <w:lang w:val="sr-Cyrl-RS"/>
        </w:rPr>
        <w:t>porastom republičkih prihoda</w:t>
      </w:r>
      <w:r w:rsidRPr="00412B28">
        <w:rPr>
          <w:rFonts w:ascii="Times New Roman" w:hAnsi="Times New Roman" w:cs="Times New Roman"/>
          <w:sz w:val="24"/>
          <w:szCs w:val="24"/>
          <w:lang w:val="sr-Cyrl-RS"/>
        </w:rPr>
        <w:t xml:space="preserve"> po osnovu </w:t>
      </w:r>
      <w:r w:rsidRPr="00412B28">
        <w:rPr>
          <w:rFonts w:ascii="Times New Roman" w:hAnsi="Times New Roman" w:cs="Times New Roman"/>
          <w:b/>
          <w:bCs/>
          <w:sz w:val="24"/>
          <w:szCs w:val="24"/>
          <w:lang w:val="sr-Cyrl-RS"/>
        </w:rPr>
        <w:t>taksi za izdavanje lokacijskih uslova, građevinskih dozvola i upotrebnih dozvola</w:t>
      </w:r>
      <w:r w:rsidRPr="00412B28">
        <w:rPr>
          <w:rFonts w:ascii="Times New Roman" w:hAnsi="Times New Roman" w:cs="Times New Roman"/>
          <w:sz w:val="24"/>
          <w:szCs w:val="24"/>
          <w:lang w:val="sr-Cyrl-RS"/>
        </w:rPr>
        <w:t xml:space="preserve"> u iznosu od </w:t>
      </w:r>
      <w:r w:rsidRPr="00412B28">
        <w:rPr>
          <w:rFonts w:ascii="Times New Roman" w:hAnsi="Times New Roman" w:cs="Times New Roman"/>
          <w:b/>
          <w:bCs/>
          <w:sz w:val="24"/>
          <w:szCs w:val="24"/>
          <w:lang w:val="sr-Cyrl-RS"/>
        </w:rPr>
        <w:t xml:space="preserve">68,253,905 dinara </w:t>
      </w:r>
      <w:r w:rsidRPr="00412B28">
        <w:rPr>
          <w:rFonts w:ascii="Times New Roman" w:hAnsi="Times New Roman" w:cs="Times New Roman"/>
          <w:sz w:val="24"/>
          <w:szCs w:val="24"/>
          <w:lang w:val="sr-Cyrl-RS"/>
        </w:rPr>
        <w:t xml:space="preserve">godišnje. </w:t>
      </w:r>
    </w:p>
    <w:p w14:paraId="5354ACF4"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lastRenderedPageBreak/>
        <w:t>Povećanje površine novoizgrađenih objekata za procenjenih 1,220,000 m</w:t>
      </w:r>
      <w:r w:rsidRPr="00412B28">
        <w:rPr>
          <w:rFonts w:ascii="Times New Roman" w:hAnsi="Times New Roman" w:cs="Times New Roman"/>
          <w:sz w:val="24"/>
          <w:szCs w:val="24"/>
          <w:vertAlign w:val="superscript"/>
          <w:lang w:val="sr-Cyrl-RS"/>
        </w:rPr>
        <w:t>2</w:t>
      </w:r>
      <w:r w:rsidRPr="00412B28">
        <w:rPr>
          <w:rFonts w:ascii="Times New Roman" w:hAnsi="Times New Roman" w:cs="Times New Roman"/>
          <w:sz w:val="24"/>
          <w:szCs w:val="24"/>
          <w:lang w:val="sr-Cyrl-RS"/>
        </w:rPr>
        <w:t xml:space="preserve">, dovodi do </w:t>
      </w:r>
      <w:r w:rsidRPr="00412B28">
        <w:rPr>
          <w:rFonts w:ascii="Times New Roman" w:hAnsi="Times New Roman" w:cs="Times New Roman"/>
          <w:b/>
          <w:bCs/>
          <w:sz w:val="24"/>
          <w:szCs w:val="24"/>
          <w:lang w:val="sr-Cyrl-RS"/>
        </w:rPr>
        <w:t>povećanja budžetskih prihoda</w:t>
      </w:r>
      <w:r w:rsidRPr="00412B28">
        <w:rPr>
          <w:rFonts w:ascii="Times New Roman" w:hAnsi="Times New Roman" w:cs="Times New Roman"/>
          <w:sz w:val="24"/>
          <w:szCs w:val="24"/>
          <w:lang w:val="sr-Cyrl-RS"/>
        </w:rPr>
        <w:t xml:space="preserve"> po osnovu </w:t>
      </w:r>
      <w:r w:rsidRPr="00412B28">
        <w:rPr>
          <w:rFonts w:ascii="Times New Roman" w:hAnsi="Times New Roman" w:cs="Times New Roman"/>
          <w:b/>
          <w:bCs/>
          <w:sz w:val="24"/>
          <w:szCs w:val="24"/>
          <w:lang w:val="sr-Cyrl-RS"/>
        </w:rPr>
        <w:t>PDV na promet nekretnina, u iznosu od 21,507,772,701 dinara</w:t>
      </w:r>
      <w:r w:rsidRPr="00412B28">
        <w:rPr>
          <w:rFonts w:ascii="Times New Roman" w:hAnsi="Times New Roman" w:cs="Times New Roman"/>
          <w:sz w:val="24"/>
          <w:szCs w:val="24"/>
          <w:lang w:val="sr-Cyrl-RS"/>
        </w:rPr>
        <w:t xml:space="preserve"> i </w:t>
      </w:r>
      <w:r w:rsidRPr="00412B28">
        <w:rPr>
          <w:rFonts w:ascii="Times New Roman" w:hAnsi="Times New Roman" w:cs="Times New Roman"/>
          <w:b/>
          <w:bCs/>
          <w:sz w:val="24"/>
          <w:szCs w:val="24"/>
          <w:lang w:val="sr-Cyrl-RS"/>
        </w:rPr>
        <w:t>poreza na dobit pravnih lica</w:t>
      </w:r>
      <w:r w:rsidRPr="00412B28">
        <w:rPr>
          <w:rFonts w:ascii="Times New Roman" w:hAnsi="Times New Roman" w:cs="Times New Roman"/>
          <w:sz w:val="24"/>
          <w:szCs w:val="24"/>
          <w:lang w:val="sr-Cyrl-RS"/>
        </w:rPr>
        <w:t xml:space="preserve">, ostvarenoj po osnovu prometa nekretnina za </w:t>
      </w:r>
      <w:r w:rsidRPr="00412B28">
        <w:rPr>
          <w:rFonts w:ascii="Times New Roman" w:hAnsi="Times New Roman" w:cs="Times New Roman"/>
          <w:b/>
          <w:bCs/>
          <w:sz w:val="24"/>
          <w:szCs w:val="24"/>
          <w:lang w:val="sr-Cyrl-RS"/>
        </w:rPr>
        <w:t xml:space="preserve">6,917,582,807 dinara. </w:t>
      </w:r>
      <w:r w:rsidRPr="00412B28">
        <w:rPr>
          <w:rFonts w:ascii="Times New Roman" w:hAnsi="Times New Roman" w:cs="Times New Roman"/>
          <w:sz w:val="24"/>
          <w:szCs w:val="24"/>
          <w:lang w:val="sr-Cyrl-RS"/>
        </w:rPr>
        <w:t>Procenjena vrednost povećanja budžetskih prihoda po</w:t>
      </w:r>
      <w:r w:rsidRPr="00412B28">
        <w:rPr>
          <w:rFonts w:ascii="Times New Roman" w:hAnsi="Times New Roman" w:cs="Times New Roman"/>
          <w:b/>
          <w:bCs/>
          <w:sz w:val="24"/>
          <w:szCs w:val="24"/>
          <w:lang w:val="sr-Cyrl-RS"/>
        </w:rPr>
        <w:t xml:space="preserve"> osnovu godišnjeg poreza na imovinu, </w:t>
      </w:r>
      <w:r w:rsidRPr="00412B28">
        <w:rPr>
          <w:rFonts w:ascii="Times New Roman" w:hAnsi="Times New Roman" w:cs="Times New Roman"/>
          <w:sz w:val="24"/>
          <w:szCs w:val="24"/>
          <w:lang w:val="sr-Cyrl-RS"/>
        </w:rPr>
        <w:t xml:space="preserve">na ime novoizgrađenih kvadrata, iznosi </w:t>
      </w:r>
      <w:r w:rsidRPr="00412B28">
        <w:rPr>
          <w:rFonts w:ascii="Times New Roman" w:hAnsi="Times New Roman" w:cs="Times New Roman"/>
          <w:b/>
          <w:bCs/>
          <w:sz w:val="24"/>
          <w:szCs w:val="24"/>
          <w:lang w:val="sr-Cyrl-RS"/>
        </w:rPr>
        <w:t>645,233,181 dinara.</w:t>
      </w:r>
    </w:p>
    <w:p w14:paraId="727BEF9E"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Procenjeno je da će za izgradnju dodatnih površina biti angažovano 24,406 radnika, što će, po osnovu </w:t>
      </w:r>
      <w:r w:rsidRPr="00412B28">
        <w:rPr>
          <w:rFonts w:ascii="Times New Roman" w:hAnsi="Times New Roman" w:cs="Times New Roman"/>
          <w:b/>
          <w:bCs/>
          <w:sz w:val="24"/>
          <w:szCs w:val="24"/>
          <w:lang w:val="sr-Cyrl-RS"/>
        </w:rPr>
        <w:t>poreza i doprinosa na zarade</w:t>
      </w:r>
      <w:r w:rsidRPr="00412B28">
        <w:rPr>
          <w:rFonts w:ascii="Times New Roman" w:hAnsi="Times New Roman" w:cs="Times New Roman"/>
          <w:sz w:val="24"/>
          <w:szCs w:val="24"/>
          <w:lang w:val="sr-Cyrl-RS"/>
        </w:rPr>
        <w:t xml:space="preserve"> obezbediti godišnji prihod od procenjenih </w:t>
      </w:r>
      <w:r w:rsidRPr="00412B28">
        <w:rPr>
          <w:rFonts w:ascii="Times New Roman" w:hAnsi="Times New Roman" w:cs="Times New Roman"/>
          <w:b/>
          <w:bCs/>
          <w:sz w:val="24"/>
          <w:szCs w:val="24"/>
          <w:lang w:val="sr-Cyrl-RS"/>
        </w:rPr>
        <w:t>12,276,746,483 dinara.</w:t>
      </w:r>
    </w:p>
    <w:p w14:paraId="17A47E95"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Prenosom dela ovlašćenja sa državnog organa na druga pravna lica i javne beležnike (izdavanje informacije o lokaciji), umanjiće se prihod za procenjenih </w:t>
      </w:r>
      <w:r w:rsidRPr="00412B28">
        <w:rPr>
          <w:rFonts w:ascii="Times New Roman" w:hAnsi="Times New Roman" w:cs="Times New Roman"/>
          <w:b/>
          <w:bCs/>
          <w:sz w:val="24"/>
          <w:szCs w:val="24"/>
          <w:lang w:val="sr-Cyrl-RS"/>
        </w:rPr>
        <w:t>105,495,000 RSD godišnje.</w:t>
      </w:r>
    </w:p>
    <w:p w14:paraId="1C98C91D"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Izmenama i dopunama Člana 102. Zakona o planiranju i izgradnji dolazi do ukidanja </w:t>
      </w:r>
      <w:r w:rsidRPr="00412B28">
        <w:rPr>
          <w:rFonts w:ascii="Times New Roman" w:hAnsi="Times New Roman" w:cs="Times New Roman"/>
          <w:b/>
          <w:bCs/>
          <w:sz w:val="24"/>
          <w:szCs w:val="24"/>
          <w:lang w:val="sr-Cyrl-RS"/>
        </w:rPr>
        <w:t>konverzije uz naknadu određenoj kategoriji lica</w:t>
      </w:r>
      <w:r w:rsidRPr="00412B28">
        <w:rPr>
          <w:rFonts w:ascii="Times New Roman" w:hAnsi="Times New Roman" w:cs="Times New Roman"/>
          <w:sz w:val="24"/>
          <w:szCs w:val="24"/>
          <w:lang w:val="sr-Cyrl-RS"/>
        </w:rPr>
        <w:t xml:space="preserve">, i ista će se, u buduće, sprovoditi </w:t>
      </w:r>
      <w:r w:rsidRPr="00412B28">
        <w:rPr>
          <w:rFonts w:ascii="Times New Roman" w:hAnsi="Times New Roman" w:cs="Times New Roman"/>
          <w:b/>
          <w:bCs/>
          <w:sz w:val="24"/>
          <w:szCs w:val="24"/>
          <w:lang w:val="sr-Cyrl-RS"/>
        </w:rPr>
        <w:t>bez naknade.</w:t>
      </w:r>
      <w:r w:rsidRPr="00412B28">
        <w:t xml:space="preserve"> </w:t>
      </w:r>
      <w:r w:rsidRPr="00412B28">
        <w:rPr>
          <w:rFonts w:ascii="Times New Roman" w:hAnsi="Times New Roman" w:cs="Times New Roman"/>
          <w:sz w:val="24"/>
          <w:szCs w:val="24"/>
          <w:lang w:val="sr-Cyrl-RS"/>
        </w:rPr>
        <w:t>Pravo svojine na katastarskoj parceli upisuje se u korist lica koje je upisano kao vlasnik objekta, odnosno objekata koji se nalaze na toj parceli, odnosno lica koje je upisano kao nosilac prava korišćenja na katastarskoj parceli na neizgrađenom građevinskom zemljištu, osim za:</w:t>
      </w:r>
    </w:p>
    <w:p w14:paraId="2C680CBE" w14:textId="77777777" w:rsidR="00EA2B24" w:rsidRPr="00412B28" w:rsidRDefault="00EA2B24" w:rsidP="00CB41F0">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lica čiji je položaj  određen zakonom kojim se uređuje sport, kao i udruženja;</w:t>
      </w:r>
    </w:p>
    <w:p w14:paraId="2EBD9922" w14:textId="77777777" w:rsidR="00EA2B24" w:rsidRPr="00412B28" w:rsidRDefault="00EA2B24" w:rsidP="00CB41F0">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zemljoradničke i stambene zadruge i</w:t>
      </w:r>
    </w:p>
    <w:p w14:paraId="3AA88B76" w14:textId="77777777" w:rsidR="00EA2B24" w:rsidRPr="00412B28" w:rsidRDefault="00EA2B24" w:rsidP="00CB41F0">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lica na koja se primenjuju odredbe propisa Republike Srbije i bilateralnih međunarodnih ugovora kojima se uređuje sprovođenje Aneksa G Sporazuma o pitanjima sukcesije („Službeni list SRJ – Međunarodni ugovori”, broj 6/02) </w:t>
      </w:r>
    </w:p>
    <w:p w14:paraId="6EFB0D19" w14:textId="77777777" w:rsidR="00EA2B24" w:rsidRPr="00412B28" w:rsidRDefault="00EA2B24" w:rsidP="00CB41F0">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društvena preduzeća;</w:t>
      </w:r>
    </w:p>
    <w:p w14:paraId="3032731E"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Za lica u tačkama 1) i 2) ovog člana, sticanje prava svojine na građevinskom zemljištu u javnoj svojini biće uređeno posebnim propisima.</w:t>
      </w:r>
    </w:p>
    <w:p w14:paraId="1A770344"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Za lica iz tačke 3) ovog člana sticanje prava svojine na građevinskom zemljištu u javnoj svojini biće uređeno po okončanju sukcesije u skladu sa Aneksom G Sporazuma o pitanjima sukcesije („Službeni list SRJ – Međunarodni ugovori”, broj 6/02).</w:t>
      </w:r>
    </w:p>
    <w:p w14:paraId="62C5187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Za lica iz tačke 4) ovog člana, sticanje prava svojine na građevinskom zemljištu u javnoj svojini biće uređeno po okončanju svojinske transformacije tih lica. </w:t>
      </w:r>
      <w:r w:rsidRPr="00412B28">
        <w:rPr>
          <w:rFonts w:ascii="Times New Roman" w:hAnsi="Times New Roman" w:cs="Times New Roman"/>
          <w:b/>
          <w:bCs/>
          <w:sz w:val="24"/>
          <w:szCs w:val="24"/>
          <w:lang w:val="sr-Cyrl-RS"/>
        </w:rPr>
        <w:t>Bitno je napomenuti da, prema raspoloživim informacijama, u ovu grupu spadaju svega tri preduzeća (društveno preduzeće Elnos-turs za turizam sa potpunom odgovornošću, društveno preduzeće za poljoprivrednu proizvodnju Branko Gleđa i preduzeće za turizam, saobraćaj i trgovinu Plana-turs doo).</w:t>
      </w:r>
    </w:p>
    <w:p w14:paraId="3E48D2D1"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lastRenderedPageBreak/>
        <w:t xml:space="preserve">Procenjeno je da će isto dovesti do ''oslobađanja'' odgovarajućeg obima građevinskog zemljišta za izgradnju, što potencijalno, </w:t>
      </w:r>
      <w:r w:rsidRPr="00412B28">
        <w:rPr>
          <w:rFonts w:ascii="Times New Roman" w:hAnsi="Times New Roman" w:cs="Times New Roman"/>
          <w:b/>
          <w:bCs/>
          <w:sz w:val="24"/>
          <w:szCs w:val="24"/>
          <w:lang w:val="sr-Cyrl-RS"/>
        </w:rPr>
        <w:t>u dugom roku</w:t>
      </w:r>
      <w:r w:rsidRPr="00412B28">
        <w:rPr>
          <w:rFonts w:ascii="Times New Roman" w:hAnsi="Times New Roman" w:cs="Times New Roman"/>
          <w:sz w:val="24"/>
          <w:szCs w:val="24"/>
          <w:lang w:val="sr-Cyrl-RS"/>
        </w:rPr>
        <w:t xml:space="preserve">, može dovesti do izgradnje objekata površine oko </w:t>
      </w:r>
      <w:r w:rsidRPr="00412B28">
        <w:rPr>
          <w:rFonts w:ascii="Times New Roman" w:hAnsi="Times New Roman" w:cs="Times New Roman"/>
          <w:b/>
          <w:bCs/>
          <w:sz w:val="24"/>
          <w:szCs w:val="24"/>
          <w:lang w:val="sr-Cyrl-RS"/>
        </w:rPr>
        <w:t>15,000,000 m</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i/>
          <w:iCs/>
          <w:sz w:val="24"/>
          <w:szCs w:val="24"/>
          <w:lang w:val="sr-Cyrl-RS"/>
        </w:rPr>
        <w:t>. (procenjeno je da na teritoriji Republike Srbije postoji 5,000 ovakvih lokacij,a na kojima je moguće aproksimativno izgraditi objekte prosečne površine po 3,000m</w:t>
      </w:r>
      <w:r w:rsidRPr="00412B28">
        <w:rPr>
          <w:rFonts w:ascii="Times New Roman" w:hAnsi="Times New Roman" w:cs="Times New Roman"/>
          <w:i/>
          <w:iCs/>
          <w:sz w:val="24"/>
          <w:szCs w:val="24"/>
          <w:vertAlign w:val="superscript"/>
          <w:lang w:val="sr-Cyrl-RS"/>
        </w:rPr>
        <w:t>2</w:t>
      </w:r>
      <w:r w:rsidRPr="00412B28">
        <w:rPr>
          <w:rFonts w:ascii="Times New Roman" w:hAnsi="Times New Roman" w:cs="Times New Roman"/>
          <w:i/>
          <w:iCs/>
          <w:sz w:val="24"/>
          <w:szCs w:val="24"/>
          <w:lang w:val="sr-Cyrl-RS"/>
        </w:rPr>
        <w:t>, što ukupno daje 15,000,000 m</w:t>
      </w:r>
      <w:r w:rsidRPr="00412B28">
        <w:rPr>
          <w:rFonts w:ascii="Times New Roman" w:hAnsi="Times New Roman" w:cs="Times New Roman"/>
          <w:i/>
          <w:iCs/>
          <w:sz w:val="24"/>
          <w:szCs w:val="24"/>
          <w:vertAlign w:val="superscript"/>
          <w:lang w:val="sr-Cyrl-RS"/>
        </w:rPr>
        <w:t>2</w:t>
      </w:r>
      <w:r w:rsidRPr="00412B28">
        <w:rPr>
          <w:rFonts w:ascii="Times New Roman" w:hAnsi="Times New Roman" w:cs="Times New Roman"/>
          <w:i/>
          <w:iCs/>
          <w:sz w:val="24"/>
          <w:szCs w:val="24"/>
          <w:lang w:val="sr-Cyrl-RS"/>
        </w:rPr>
        <w:t>).</w:t>
      </w:r>
      <w:r w:rsidRPr="00412B28">
        <w:rPr>
          <w:rFonts w:ascii="Times New Roman" w:hAnsi="Times New Roman" w:cs="Times New Roman"/>
          <w:sz w:val="24"/>
          <w:szCs w:val="24"/>
          <w:lang w:val="sr-Cyrl-RS"/>
        </w:rPr>
        <w:t xml:space="preserve"> Posledično, to će dovesti do povećanja broja izdatih lokacijskih uslova, građevinskih dozvola i upotrebnih dozvola, a samim tim i </w:t>
      </w:r>
      <w:r w:rsidRPr="00412B28">
        <w:rPr>
          <w:rFonts w:ascii="Times New Roman" w:hAnsi="Times New Roman" w:cs="Times New Roman"/>
          <w:b/>
          <w:bCs/>
          <w:sz w:val="24"/>
          <w:szCs w:val="24"/>
          <w:lang w:val="sr-Cyrl-RS"/>
        </w:rPr>
        <w:t>prihoda po osnovu taksi</w:t>
      </w:r>
      <w:r w:rsidRPr="00412B28">
        <w:rPr>
          <w:rFonts w:ascii="Times New Roman" w:hAnsi="Times New Roman" w:cs="Times New Roman"/>
          <w:sz w:val="24"/>
          <w:szCs w:val="24"/>
          <w:lang w:val="sr-Cyrl-RS"/>
        </w:rPr>
        <w:t xml:space="preserve"> za procenjenih</w:t>
      </w:r>
      <w:r w:rsidRPr="00412B28">
        <w:rPr>
          <w:rFonts w:ascii="Times New Roman" w:hAnsi="Times New Roman" w:cs="Times New Roman"/>
          <w:sz w:val="24"/>
          <w:szCs w:val="24"/>
        </w:rPr>
        <w:t xml:space="preserve"> </w:t>
      </w:r>
      <w:r w:rsidRPr="00412B28">
        <w:rPr>
          <w:rFonts w:ascii="Times New Roman" w:hAnsi="Times New Roman" w:cs="Times New Roman"/>
          <w:b/>
          <w:bCs/>
          <w:sz w:val="24"/>
          <w:szCs w:val="24"/>
        </w:rPr>
        <w:t>181,550,000</w:t>
      </w:r>
      <w:r w:rsidRPr="00412B28">
        <w:rPr>
          <w:rFonts w:ascii="Times New Roman" w:hAnsi="Times New Roman" w:cs="Times New Roman"/>
          <w:b/>
          <w:bCs/>
          <w:sz w:val="24"/>
          <w:szCs w:val="24"/>
          <w:lang w:val="sr-Cyrl-RS"/>
        </w:rPr>
        <w:t xml:space="preserve"> dinara. </w:t>
      </w:r>
      <w:r w:rsidRPr="00412B28">
        <w:rPr>
          <w:rFonts w:ascii="Times New Roman" w:hAnsi="Times New Roman" w:cs="Times New Roman"/>
          <w:sz w:val="24"/>
          <w:szCs w:val="24"/>
          <w:lang w:val="sr-Cyrl-RS"/>
        </w:rPr>
        <w:t xml:space="preserve">Procenjena vrednost potencijalnih prihoda po osnovu </w:t>
      </w:r>
      <w:r w:rsidRPr="00412B28">
        <w:rPr>
          <w:rFonts w:ascii="Times New Roman" w:hAnsi="Times New Roman" w:cs="Times New Roman"/>
          <w:b/>
          <w:bCs/>
          <w:sz w:val="24"/>
          <w:szCs w:val="24"/>
          <w:lang w:val="sr-Cyrl-RS"/>
        </w:rPr>
        <w:t xml:space="preserve">PDV na promet novoizgrađenih nekretnina, u dugom roku, iznosi oko </w:t>
      </w:r>
      <w:r w:rsidRPr="00412B28">
        <w:rPr>
          <w:rFonts w:ascii="Times New Roman" w:hAnsi="Times New Roman" w:cs="Times New Roman"/>
          <w:b/>
          <w:bCs/>
          <w:sz w:val="24"/>
          <w:szCs w:val="24"/>
        </w:rPr>
        <w:t>264,375,000,000</w:t>
      </w:r>
      <w:r w:rsidRPr="00412B28">
        <w:rPr>
          <w:rFonts w:ascii="Times New Roman" w:hAnsi="Times New Roman" w:cs="Times New Roman"/>
          <w:b/>
          <w:bCs/>
          <w:sz w:val="24"/>
          <w:szCs w:val="24"/>
          <w:lang w:val="sr-Cyrl-RS"/>
        </w:rPr>
        <w:t xml:space="preserve"> dinara, </w:t>
      </w:r>
      <w:r w:rsidRPr="00412B28">
        <w:rPr>
          <w:rFonts w:ascii="Times New Roman" w:hAnsi="Times New Roman" w:cs="Times New Roman"/>
          <w:sz w:val="24"/>
          <w:szCs w:val="24"/>
          <w:lang w:val="sr-Cyrl-RS"/>
        </w:rPr>
        <w:t>dok procenjeni</w:t>
      </w:r>
      <w:r w:rsidRPr="00412B28">
        <w:rPr>
          <w:rFonts w:ascii="Times New Roman" w:hAnsi="Times New Roman" w:cs="Times New Roman"/>
          <w:b/>
          <w:bCs/>
          <w:sz w:val="24"/>
          <w:szCs w:val="24"/>
          <w:lang w:val="sr-Cyrl-RS"/>
        </w:rPr>
        <w:t xml:space="preserve"> prihodi po osnovu Porez na dobit pravnih lica iznose 84,600,000,000 dinara. </w:t>
      </w:r>
      <w:r w:rsidRPr="00412B28">
        <w:rPr>
          <w:rFonts w:ascii="Times New Roman" w:hAnsi="Times New Roman" w:cs="Times New Roman"/>
          <w:sz w:val="24"/>
          <w:szCs w:val="24"/>
          <w:lang w:val="sr-Cyrl-RS"/>
        </w:rPr>
        <w:t>Uz pretpostavku</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izgradnje 15,000,000 m</w:t>
      </w:r>
      <w:r w:rsidRPr="00412B28">
        <w:rPr>
          <w:rFonts w:ascii="Times New Roman" w:hAnsi="Times New Roman" w:cs="Times New Roman"/>
          <w:sz w:val="24"/>
          <w:szCs w:val="24"/>
          <w:vertAlign w:val="superscript"/>
          <w:lang w:val="sr-Cyrl-RS"/>
        </w:rPr>
        <w:t>2</w:t>
      </w:r>
      <w:r w:rsidRPr="00412B28">
        <w:rPr>
          <w:rFonts w:ascii="Times New Roman" w:hAnsi="Times New Roman" w:cs="Times New Roman"/>
          <w:sz w:val="24"/>
          <w:szCs w:val="24"/>
          <w:lang w:val="sr-Cyrl-RS"/>
        </w:rPr>
        <w:t xml:space="preserve">, prihodi po osnovu godišnjeg poreza na imovinu iznosili bi oko </w:t>
      </w:r>
      <w:r w:rsidRPr="00412B28">
        <w:rPr>
          <w:rFonts w:ascii="Times New Roman" w:hAnsi="Times New Roman" w:cs="Times New Roman"/>
          <w:b/>
          <w:bCs/>
          <w:sz w:val="24"/>
          <w:szCs w:val="24"/>
          <w:lang w:val="sr-Cyrl-RS"/>
        </w:rPr>
        <w:t xml:space="preserve">79,312,500,000 dinara. Izgradnja objekata </w:t>
      </w:r>
      <w:r w:rsidRPr="00412B28">
        <w:rPr>
          <w:rFonts w:ascii="Times New Roman" w:hAnsi="Times New Roman" w:cs="Times New Roman"/>
          <w:sz w:val="24"/>
          <w:szCs w:val="24"/>
          <w:lang w:val="sr-Cyrl-RS"/>
        </w:rPr>
        <w:t xml:space="preserve">prethodno pomenute površine, </w:t>
      </w:r>
      <w:r w:rsidRPr="00412B28">
        <w:rPr>
          <w:rFonts w:ascii="Times New Roman" w:hAnsi="Times New Roman" w:cs="Times New Roman"/>
          <w:b/>
          <w:bCs/>
          <w:sz w:val="24"/>
          <w:szCs w:val="24"/>
          <w:lang w:val="sr-Cyrl-RS"/>
        </w:rPr>
        <w:t xml:space="preserve">zaposlila bi oko 300,000 građevinskih radnika, </w:t>
      </w:r>
      <w:r w:rsidRPr="00412B28">
        <w:rPr>
          <w:rFonts w:ascii="Times New Roman" w:hAnsi="Times New Roman" w:cs="Times New Roman"/>
          <w:sz w:val="24"/>
          <w:szCs w:val="24"/>
          <w:lang w:val="sr-Cyrl-RS"/>
        </w:rPr>
        <w:t>što bi dovelo do povećanja prihoda po osnovu poreza i doprinosa na zarade za</w:t>
      </w:r>
      <w:r w:rsidRPr="00412B28">
        <w:rPr>
          <w:rFonts w:ascii="Times New Roman" w:hAnsi="Times New Roman" w:cs="Times New Roman"/>
          <w:b/>
          <w:bCs/>
          <w:sz w:val="24"/>
          <w:szCs w:val="24"/>
          <w:lang w:val="sr-Cyrl-RS"/>
        </w:rPr>
        <w:t xml:space="preserve"> 20,621,250,000 dinara. </w:t>
      </w:r>
      <w:r w:rsidRPr="00412B28">
        <w:rPr>
          <w:rFonts w:ascii="Times New Roman" w:hAnsi="Times New Roman" w:cs="Times New Roman"/>
          <w:sz w:val="24"/>
          <w:szCs w:val="24"/>
          <w:lang w:val="sr-Cyrl-RS"/>
        </w:rPr>
        <w:t>Aproksimacija je da će</w:t>
      </w:r>
      <w:r w:rsidRPr="00412B28">
        <w:rPr>
          <w:rFonts w:ascii="Times New Roman" w:hAnsi="Times New Roman" w:cs="Times New Roman"/>
          <w:b/>
          <w:bCs/>
          <w:sz w:val="24"/>
          <w:szCs w:val="24"/>
          <w:lang w:val="sr-Cyrl-RS"/>
        </w:rPr>
        <w:t xml:space="preserve"> ukidanje naknade za konverziju, </w:t>
      </w:r>
      <w:r w:rsidRPr="00412B28">
        <w:rPr>
          <w:rFonts w:ascii="Times New Roman" w:hAnsi="Times New Roman" w:cs="Times New Roman"/>
          <w:sz w:val="24"/>
          <w:szCs w:val="24"/>
          <w:lang w:val="sr-Cyrl-RS"/>
        </w:rPr>
        <w:t>za predmetnu površinu građevinskog zemljišta, uticati</w:t>
      </w:r>
      <w:r w:rsidRPr="00412B28">
        <w:rPr>
          <w:rFonts w:ascii="Times New Roman" w:hAnsi="Times New Roman" w:cs="Times New Roman"/>
          <w:b/>
          <w:bCs/>
          <w:sz w:val="24"/>
          <w:szCs w:val="24"/>
          <w:lang w:val="sr-Cyrl-RS"/>
        </w:rPr>
        <w:t xml:space="preserve"> na umanjenje potencijalno ostvarivog prihoda po osnovu naknade za konverziju za 287,828,000,000 dinara.</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 xml:space="preserve">U konačnom, </w:t>
      </w:r>
      <w:r w:rsidRPr="00412B28">
        <w:rPr>
          <w:rFonts w:ascii="Times New Roman" w:hAnsi="Times New Roman" w:cs="Times New Roman"/>
          <w:b/>
          <w:bCs/>
          <w:sz w:val="24"/>
          <w:szCs w:val="24"/>
          <w:u w:val="single"/>
          <w:lang w:val="sr-Cyrl-RS"/>
        </w:rPr>
        <w:t>procenjeni neto efekat na prihode po osnovu ukidanja Zakona o konverziji iznosi pozitivnih 161,262,300,000 RSD.</w:t>
      </w:r>
    </w:p>
    <w:p w14:paraId="0ACC753E"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RS"/>
        </w:rPr>
      </w:pPr>
      <w:r w:rsidRPr="00412B28">
        <w:rPr>
          <w:rFonts w:ascii="Times New Roman" w:hAnsi="Times New Roman" w:cs="Times New Roman"/>
          <w:b/>
          <w:bCs/>
          <w:sz w:val="24"/>
          <w:szCs w:val="24"/>
          <w:u w:val="single"/>
          <w:lang w:val="sr-Cyrl-RS"/>
        </w:rPr>
        <w:t>Bitno je napomenuti da, u periodu od 2010. godine do kraja 2022. godine, vrednost prihoda ostvarenih po osnovu naknade za pretvaranje prava korišćenja u pravo svojine iznosi 3.645.334.435 dinara.</w:t>
      </w:r>
    </w:p>
    <w:p w14:paraId="60BA92C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Izmenama i dopunama člana 91. Zakona o planiranju i izgradnji predviđeno je da svi vlasnici objekata na teritoriji, odnosno na delu teritorije jedinice lokalne samouprave koji je komunalno opremljen za građenje i korišćenje, a naročito koji ima postojeću infrastrukturu vododovoda, kanalizacije, gasovoda i daljinskog grejanja</w:t>
      </w:r>
      <w:r w:rsidRPr="00412B28">
        <w:rPr>
          <w:rFonts w:ascii="Times New Roman" w:hAnsi="Times New Roman" w:cs="Times New Roman"/>
          <w:b/>
          <w:bCs/>
          <w:sz w:val="24"/>
          <w:szCs w:val="24"/>
          <w:lang w:val="sr-Cyrl-RS"/>
        </w:rPr>
        <w:t>, dužni su da se priključe na postojeću infrastrukturu, u zavisnosti od namene objekta.</w:t>
      </w:r>
      <w:r w:rsidRPr="00412B28">
        <w:rPr>
          <w:rFonts w:ascii="Times New Roman" w:hAnsi="Times New Roman" w:cs="Times New Roman"/>
          <w:sz w:val="24"/>
          <w:szCs w:val="24"/>
          <w:lang w:val="sr-Cyrl-RS"/>
        </w:rPr>
        <w:t xml:space="preserve"> Ova obaveza važi za sve, osim za vlasnika objekta koji dostavi dokaz da će za proizvodnju električne energije, odnosno grejanje i hlađenje objekta koristiti obnovljive izvore energije. </w:t>
      </w:r>
      <w:r w:rsidRPr="00412B28">
        <w:rPr>
          <w:rFonts w:ascii="Times New Roman" w:hAnsi="Times New Roman" w:cs="Times New Roman"/>
          <w:b/>
          <w:bCs/>
          <w:sz w:val="24"/>
          <w:szCs w:val="24"/>
          <w:lang w:val="sr-Cyrl-RS"/>
        </w:rPr>
        <w:t>Propisivanje navedene obaveze direktno utiče na povećanje broja korisnika komunalnih usluga, odnosno prihoda pružaoca komunalnih usluga, i to po dva osnova</w:t>
      </w:r>
      <w:r w:rsidRPr="00412B28">
        <w:rPr>
          <w:rFonts w:ascii="Times New Roman" w:hAnsi="Times New Roman" w:cs="Times New Roman"/>
          <w:b/>
          <w:bCs/>
          <w:sz w:val="24"/>
          <w:szCs w:val="24"/>
        </w:rPr>
        <w:t>:</w:t>
      </w:r>
      <w:r w:rsidRPr="00412B28">
        <w:rPr>
          <w:rFonts w:ascii="Times New Roman" w:hAnsi="Times New Roman" w:cs="Times New Roman"/>
          <w:b/>
          <w:bCs/>
          <w:sz w:val="24"/>
          <w:szCs w:val="24"/>
          <w:lang w:val="sr-Cyrl-RS"/>
        </w:rPr>
        <w:t xml:space="preserve"> 1) naknade za priključenje na infrastrukturu i 2) naplate pružanja usluge.</w:t>
      </w:r>
    </w:p>
    <w:p w14:paraId="709DD28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Uzimajući u obzir procenu broja postojećih objekata na teritoriji Republike Srbije, koji nisu priključeni na infrastrukturu, a koji se nalaze na teritoriji jedinica lokalne samouprave koja je komunalno opremljena, i iznos prosečne naknade za priključenje na</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postojeću infrastrukturu, </w:t>
      </w:r>
      <w:r w:rsidRPr="00412B28">
        <w:rPr>
          <w:rFonts w:ascii="Times New Roman" w:hAnsi="Times New Roman" w:cs="Times New Roman"/>
          <w:b/>
          <w:bCs/>
          <w:sz w:val="24"/>
          <w:szCs w:val="24"/>
          <w:lang w:val="sr-Cyrl-RS"/>
        </w:rPr>
        <w:t xml:space="preserve">procena je da će javna preduzeća, po osnovu naknade za priključenje, prihodovati dodatnih  </w:t>
      </w:r>
      <w:r w:rsidRPr="00412B28">
        <w:rPr>
          <w:rFonts w:ascii="Times New Roman" w:hAnsi="Times New Roman" w:cs="Times New Roman"/>
          <w:b/>
          <w:bCs/>
          <w:sz w:val="24"/>
          <w:szCs w:val="24"/>
          <w:u w:val="single"/>
          <w:lang w:val="sr-Cyrl-RS"/>
        </w:rPr>
        <w:t xml:space="preserve">9,869,462,369 dinara. </w:t>
      </w:r>
      <w:r w:rsidRPr="00412B28">
        <w:rPr>
          <w:rFonts w:ascii="Times New Roman" w:hAnsi="Times New Roman" w:cs="Times New Roman"/>
          <w:sz w:val="24"/>
          <w:szCs w:val="24"/>
          <w:lang w:val="sr-Cyrl-RS"/>
        </w:rPr>
        <w:t>Takođe, uzimajući u obzir procenjen broj prethodno opisanih objekata i prosečnu godišnju cenu</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pružanja komunalnih usluga, procenjeno je da će, po osnovu povećanja broja korisnika i naplate pružanja usluga, </w:t>
      </w:r>
      <w:r w:rsidRPr="00412B28">
        <w:rPr>
          <w:rFonts w:ascii="Times New Roman" w:hAnsi="Times New Roman" w:cs="Times New Roman"/>
          <w:b/>
          <w:bCs/>
          <w:sz w:val="24"/>
          <w:szCs w:val="24"/>
          <w:lang w:val="sr-Cyrl-RS"/>
        </w:rPr>
        <w:t>doći do povećanja prihoda javnih komunalnih preduzeća od</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u w:val="single"/>
          <w:lang w:val="sr-Cyrl-RS"/>
        </w:rPr>
        <w:t>4,058,998,020</w:t>
      </w:r>
      <w:r w:rsidRPr="00412B28">
        <w:rPr>
          <w:rFonts w:ascii="Times New Roman" w:hAnsi="Times New Roman" w:cs="Times New Roman"/>
          <w:b/>
          <w:bCs/>
          <w:sz w:val="24"/>
          <w:szCs w:val="24"/>
          <w:u w:val="single"/>
        </w:rPr>
        <w:t xml:space="preserve"> </w:t>
      </w:r>
      <w:r w:rsidRPr="00412B28">
        <w:rPr>
          <w:rFonts w:ascii="Times New Roman" w:hAnsi="Times New Roman" w:cs="Times New Roman"/>
          <w:b/>
          <w:bCs/>
          <w:sz w:val="24"/>
          <w:szCs w:val="24"/>
          <w:u w:val="single"/>
          <w:lang w:val="sr-Cyrl-RS"/>
        </w:rPr>
        <w:t>dinara</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na godišnjem nivou.</w:t>
      </w:r>
    </w:p>
    <w:p w14:paraId="71A27702"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Istim članom je predviđeno da se p</w:t>
      </w:r>
      <w:r w:rsidRPr="00412B28">
        <w:rPr>
          <w:rFonts w:ascii="Times New Roman" w:hAnsi="Times New Roman" w:cs="Times New Roman"/>
          <w:sz w:val="24"/>
          <w:szCs w:val="24"/>
        </w:rPr>
        <w:t>riključenje objekata na infrastrukturu</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 xml:space="preserve">od strane privrednog društva čiji je osnivač Republika Srbija, autonomna pokrajina ili jedinica lokalne samouprave vrši se </w:t>
      </w:r>
      <w:r w:rsidRPr="00412B28">
        <w:rPr>
          <w:rFonts w:ascii="Times New Roman" w:hAnsi="Times New Roman" w:cs="Times New Roman"/>
          <w:b/>
          <w:bCs/>
          <w:sz w:val="24"/>
          <w:szCs w:val="24"/>
        </w:rPr>
        <w:t>uz naknadu stvarnih troškova nabavke opreme, uređaja, materijala i radova koji nastaju prilikom priključenja korisnika</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Umanjenje nivoa naknade, na nivo stvarnih troškova nabavke opreme, uređaja, materijala i radova koji nastaju prilikom priključenja, podsticajno će delovati na privredna društva iz prethodno pomenute grupe da se priključe na postojeću infrastrukturu. Isto će povećati prihode javnih komunalnih preduzeća po osnovu naknade za priključenje i prihode po osnovu pružanja usluga.</w:t>
      </w:r>
    </w:p>
    <w:p w14:paraId="00BC6C36"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Analizirajući finansijske efekata izmena i dopuna Zakona koje se tiču</w:t>
      </w:r>
      <w:r w:rsidRPr="00412B28">
        <w:t xml:space="preserve"> </w:t>
      </w:r>
      <w:r w:rsidRPr="00412B28">
        <w:rPr>
          <w:rFonts w:ascii="Times New Roman" w:hAnsi="Times New Roman" w:cs="Times New Roman"/>
          <w:sz w:val="24"/>
          <w:szCs w:val="24"/>
          <w:lang w:val="sr-Cyrl-RS"/>
        </w:rPr>
        <w:t xml:space="preserve">uvođenje </w:t>
      </w:r>
      <w:r w:rsidRPr="00412B28">
        <w:rPr>
          <w:rFonts w:ascii="Times New Roman" w:hAnsi="Times New Roman" w:cs="Times New Roman"/>
          <w:b/>
          <w:bCs/>
          <w:sz w:val="24"/>
          <w:szCs w:val="24"/>
          <w:lang w:val="sr-Cyrl-RS"/>
        </w:rPr>
        <w:t xml:space="preserve">novih elemenata </w:t>
      </w:r>
      <w:bookmarkStart w:id="0" w:name="_Hlk125409799"/>
      <w:r w:rsidRPr="00412B28">
        <w:rPr>
          <w:rFonts w:ascii="Times New Roman" w:hAnsi="Times New Roman" w:cs="Times New Roman"/>
          <w:b/>
          <w:bCs/>
          <w:sz w:val="24"/>
          <w:szCs w:val="24"/>
          <w:lang w:val="sr-Cyrl-RS"/>
        </w:rPr>
        <w:t>''</w:t>
      </w:r>
      <w:bookmarkEnd w:id="0"/>
      <w:r w:rsidRPr="00412B28">
        <w:rPr>
          <w:rFonts w:ascii="Times New Roman" w:hAnsi="Times New Roman" w:cs="Times New Roman"/>
          <w:b/>
          <w:bCs/>
          <w:sz w:val="24"/>
          <w:szCs w:val="24"/>
          <w:lang w:val="sr-Cyrl-RS"/>
        </w:rPr>
        <w:t>zelene agende''</w:t>
      </w:r>
      <w:r w:rsidRPr="00412B28">
        <w:rPr>
          <w:rFonts w:ascii="Times New Roman" w:hAnsi="Times New Roman" w:cs="Times New Roman"/>
          <w:sz w:val="24"/>
          <w:szCs w:val="24"/>
          <w:lang w:val="sr-Cyrl-RS"/>
        </w:rPr>
        <w:t xml:space="preserve">, posebno odredbe kojom investitor objekta za koji je izdat sertifikat zelene gradnje, ima pravo na </w:t>
      </w:r>
      <w:r w:rsidRPr="00412B28">
        <w:rPr>
          <w:rFonts w:ascii="Times New Roman" w:hAnsi="Times New Roman" w:cs="Times New Roman"/>
          <w:b/>
          <w:bCs/>
          <w:sz w:val="24"/>
          <w:szCs w:val="24"/>
          <w:lang w:val="sr-Cyrl-RS"/>
        </w:rPr>
        <w:t>umanjenje obračunatog</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doprinosa za uređivanje građevinskog zemljišta u visini od 10%</w:t>
      </w:r>
      <w:r w:rsidRPr="00412B28">
        <w:rPr>
          <w:rFonts w:ascii="Times New Roman" w:hAnsi="Times New Roman" w:cs="Times New Roman"/>
          <w:sz w:val="24"/>
          <w:szCs w:val="24"/>
          <w:lang w:val="sr-Cyrl-RS"/>
        </w:rPr>
        <w:t xml:space="preserve"> u odnosu na ukupno određeni iznos doprinosa</w:t>
      </w:r>
      <w:r w:rsidRPr="00412B28">
        <w:rPr>
          <w:rFonts w:ascii="Times New Roman" w:hAnsi="Times New Roman" w:cs="Times New Roman"/>
          <w:sz w:val="24"/>
          <w:szCs w:val="24"/>
        </w:rPr>
        <w:t>, evidentno</w:t>
      </w:r>
      <w:r w:rsidRPr="00412B28">
        <w:rPr>
          <w:rFonts w:ascii="Times New Roman" w:hAnsi="Times New Roman" w:cs="Times New Roman"/>
          <w:sz w:val="24"/>
          <w:szCs w:val="24"/>
          <w:lang w:val="sr-Cyrl-RS"/>
        </w:rPr>
        <w:t xml:space="preserve"> je da</w:t>
      </w:r>
      <w:r w:rsidRPr="00412B28">
        <w:rPr>
          <w:rFonts w:ascii="Times New Roman" w:hAnsi="Times New Roman" w:cs="Times New Roman"/>
          <w:sz w:val="24"/>
          <w:szCs w:val="24"/>
        </w:rPr>
        <w:t>, u kratkom i srednjem roku,</w:t>
      </w:r>
      <w:r w:rsidRPr="00412B28">
        <w:rPr>
          <w:rFonts w:ascii="Times New Roman" w:hAnsi="Times New Roman" w:cs="Times New Roman"/>
          <w:sz w:val="24"/>
          <w:szCs w:val="24"/>
          <w:lang w:val="sr-Cyrl-RS"/>
        </w:rPr>
        <w:t xml:space="preserve"> ova mera</w:t>
      </w:r>
      <w:r w:rsidRPr="00412B28">
        <w:rPr>
          <w:rFonts w:ascii="Times New Roman" w:hAnsi="Times New Roman" w:cs="Times New Roman"/>
          <w:sz w:val="24"/>
          <w:szCs w:val="24"/>
        </w:rPr>
        <w:t xml:space="preserve"> dovod</w:t>
      </w:r>
      <w:r w:rsidRPr="00412B28">
        <w:rPr>
          <w:rFonts w:ascii="Times New Roman" w:hAnsi="Times New Roman" w:cs="Times New Roman"/>
          <w:sz w:val="24"/>
          <w:szCs w:val="24"/>
          <w:lang w:val="sr-Cyrl-RS"/>
        </w:rPr>
        <w:t>i</w:t>
      </w:r>
      <w:r w:rsidRPr="00412B28">
        <w:rPr>
          <w:rFonts w:ascii="Times New Roman" w:hAnsi="Times New Roman" w:cs="Times New Roman"/>
          <w:sz w:val="24"/>
          <w:szCs w:val="24"/>
        </w:rPr>
        <w:t xml:space="preserve"> </w:t>
      </w:r>
      <w:r w:rsidRPr="00412B28">
        <w:rPr>
          <w:rFonts w:ascii="Times New Roman" w:hAnsi="Times New Roman" w:cs="Times New Roman"/>
          <w:b/>
          <w:bCs/>
          <w:sz w:val="24"/>
          <w:szCs w:val="24"/>
        </w:rPr>
        <w:t>do umanjenja prihoda lokalnih samouprava</w:t>
      </w:r>
      <w:r w:rsidRPr="00412B28">
        <w:rPr>
          <w:rFonts w:ascii="Times New Roman" w:hAnsi="Times New Roman" w:cs="Times New Roman"/>
          <w:b/>
          <w:bCs/>
          <w:sz w:val="24"/>
          <w:szCs w:val="24"/>
          <w:lang w:val="sr-Cyrl-RS"/>
        </w:rPr>
        <w:t>,</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po ovom osnovu.</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 xml:space="preserve">Procenjeno je da će ukupno umanjenje prihoda, na godišnjem nivou, iznositi </w:t>
      </w:r>
      <w:r w:rsidRPr="00412B28">
        <w:rPr>
          <w:rFonts w:ascii="Times New Roman" w:hAnsi="Times New Roman" w:cs="Times New Roman"/>
          <w:b/>
          <w:bCs/>
          <w:sz w:val="24"/>
          <w:szCs w:val="24"/>
          <w:u w:val="single"/>
          <w:lang w:val="sr-Cyrl-RS"/>
        </w:rPr>
        <w:t>11,827,787,460 dinara</w:t>
      </w:r>
      <w:r w:rsidRPr="00412B28">
        <w:rPr>
          <w:rFonts w:ascii="Times New Roman" w:hAnsi="Times New Roman" w:cs="Times New Roman"/>
          <w:b/>
          <w:bCs/>
          <w:sz w:val="24"/>
          <w:szCs w:val="24"/>
          <w:lang w:val="sr-Cyrl-RS"/>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u w:val="single"/>
          <w:lang w:val="sr-Cyrl-RS"/>
        </w:rPr>
        <w:t>Ipak, očekuje se da će, u dugom roku, ukupni benefiti (finansijskog i ekonomskog tipa) uvođenja elemenata ,,zelene agende</w:t>
      </w:r>
      <w:r w:rsidRPr="00412B28">
        <w:rPr>
          <w:rFonts w:ascii="Times New Roman" w:hAnsi="Times New Roman" w:cs="Times New Roman"/>
          <w:b/>
          <w:bCs/>
          <w:sz w:val="24"/>
          <w:szCs w:val="24"/>
          <w:u w:val="single"/>
        </w:rPr>
        <w:t>”</w:t>
      </w:r>
      <w:r w:rsidRPr="00412B28">
        <w:rPr>
          <w:rFonts w:ascii="Times New Roman" w:hAnsi="Times New Roman" w:cs="Times New Roman"/>
          <w:b/>
          <w:bCs/>
          <w:sz w:val="24"/>
          <w:szCs w:val="24"/>
          <w:u w:val="single"/>
          <w:lang w:val="sr-Cyrl-RS"/>
        </w:rPr>
        <w:t xml:space="preserve"> i podsticanja zelene gradnje, prevazići pomenuto umanjenje prihoda.</w:t>
      </w:r>
    </w:p>
    <w:p w14:paraId="578FF70F" w14:textId="77777777" w:rsidR="00EA2B24" w:rsidRPr="00412B28" w:rsidRDefault="00EA2B24" w:rsidP="00CB41F0">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Da li je finansijske resurse za sprovođenje </w:t>
      </w:r>
      <w:r w:rsidRPr="00412B28">
        <w:rPr>
          <w:rFonts w:ascii="Times New Roman" w:hAnsi="Times New Roman" w:cs="Times New Roman"/>
          <w:sz w:val="24"/>
          <w:szCs w:val="24"/>
          <w:lang w:val="sr-Cyrl-RS"/>
        </w:rPr>
        <w:t>izabrane opcije</w:t>
      </w:r>
      <w:r w:rsidRPr="00412B28">
        <w:rPr>
          <w:rFonts w:ascii="Times New Roman" w:hAnsi="Times New Roman" w:cs="Times New Roman"/>
          <w:sz w:val="24"/>
          <w:szCs w:val="24"/>
        </w:rPr>
        <w:t xml:space="preserve"> potrebno obezbediti u budžetu, ili iz drugih izvora finansiranja i kojih?</w:t>
      </w:r>
    </w:p>
    <w:p w14:paraId="4905D111"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U određenoj meri da.</w:t>
      </w:r>
    </w:p>
    <w:p w14:paraId="7F325D93" w14:textId="77777777" w:rsidR="00EA2B24" w:rsidRPr="00412B28" w:rsidRDefault="00EA2B24" w:rsidP="00CB41F0">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Kak</w:t>
      </w:r>
      <w:r w:rsidRPr="00412B28">
        <w:rPr>
          <w:rFonts w:ascii="Times New Roman" w:hAnsi="Times New Roman" w:cs="Times New Roman"/>
          <w:sz w:val="24"/>
          <w:szCs w:val="24"/>
          <w:lang w:val="sr-Cyrl-RS"/>
        </w:rPr>
        <w:t xml:space="preserve">o će sprovođenje izabrane opcije uticati na </w:t>
      </w:r>
      <w:r w:rsidRPr="00412B28">
        <w:rPr>
          <w:rFonts w:ascii="Times New Roman" w:hAnsi="Times New Roman" w:cs="Times New Roman"/>
          <w:sz w:val="24"/>
          <w:szCs w:val="24"/>
        </w:rPr>
        <w:t xml:space="preserve"> međunarodne finansijske obaveze?</w:t>
      </w:r>
    </w:p>
    <w:p w14:paraId="4A3CDFE4"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Nema efekata.</w:t>
      </w:r>
      <w:r w:rsidRPr="00412B28">
        <w:rPr>
          <w:rFonts w:ascii="Times New Roman" w:hAnsi="Times New Roman" w:cs="Times New Roman"/>
          <w:sz w:val="24"/>
          <w:szCs w:val="24"/>
        </w:rPr>
        <w:t xml:space="preserve"> </w:t>
      </w:r>
    </w:p>
    <w:p w14:paraId="1C6601AD" w14:textId="77777777" w:rsidR="00EA2B24" w:rsidRPr="00412B28" w:rsidRDefault="00EA2B24" w:rsidP="00CB41F0">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Koliki </w:t>
      </w:r>
      <w:r w:rsidRPr="00412B28">
        <w:rPr>
          <w:rFonts w:ascii="Times New Roman" w:hAnsi="Times New Roman" w:cs="Times New Roman"/>
          <w:sz w:val="24"/>
          <w:szCs w:val="24"/>
          <w:lang w:val="sr-Cyrl-RS"/>
        </w:rPr>
        <w:t>su procenjeni</w:t>
      </w:r>
      <w:r w:rsidRPr="00412B28">
        <w:rPr>
          <w:rFonts w:ascii="Times New Roman" w:hAnsi="Times New Roman" w:cs="Times New Roman"/>
          <w:sz w:val="24"/>
          <w:szCs w:val="24"/>
        </w:rPr>
        <w:t xml:space="preserve"> troškovi uvođenja promena koji proističu iz sprovođenja </w:t>
      </w:r>
      <w:r w:rsidRPr="00412B28">
        <w:rPr>
          <w:rFonts w:ascii="Times New Roman" w:hAnsi="Times New Roman" w:cs="Times New Roman"/>
          <w:sz w:val="24"/>
          <w:szCs w:val="24"/>
          <w:lang w:val="sr-Cyrl-RS"/>
        </w:rPr>
        <w:t>izabrane opcije</w:t>
      </w:r>
      <w:r w:rsidRPr="00412B28">
        <w:rPr>
          <w:rFonts w:ascii="Times New Roman" w:hAnsi="Times New Roman" w:cs="Times New Roman"/>
          <w:sz w:val="24"/>
          <w:szCs w:val="24"/>
        </w:rPr>
        <w:t xml:space="preserve"> (osnivanje novih institucija, restrukturiranje postojećih institucija i obuka državnih službenika) iskazani u kategorijama kapitalnih troškova, tekućih troškova i zarada? </w:t>
      </w:r>
    </w:p>
    <w:p w14:paraId="105B0724"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rPr>
        <w:t xml:space="preserve">Iako se formiranjem Agencije za prostorno planiranje i urbanizam Republike Srbije, čime se deo nadležnosti </w:t>
      </w:r>
      <w:r w:rsidRPr="00412B28">
        <w:rPr>
          <w:rFonts w:ascii="Times New Roman" w:hAnsi="Times New Roman" w:cs="Times New Roman"/>
          <w:b/>
          <w:bCs/>
          <w:sz w:val="24"/>
          <w:szCs w:val="24"/>
          <w:lang w:val="sr-Cyrl-RS"/>
        </w:rPr>
        <w:t xml:space="preserve">sa </w:t>
      </w:r>
      <w:r w:rsidRPr="00412B28">
        <w:rPr>
          <w:rFonts w:ascii="Times New Roman" w:hAnsi="Times New Roman" w:cs="Times New Roman"/>
          <w:b/>
          <w:bCs/>
          <w:sz w:val="24"/>
          <w:szCs w:val="24"/>
        </w:rPr>
        <w:t>državnog organa prenosi na Agenciju</w:t>
      </w:r>
      <w:r w:rsidRPr="00412B28">
        <w:rPr>
          <w:rFonts w:ascii="Times New Roman" w:hAnsi="Times New Roman" w:cs="Times New Roman"/>
          <w:b/>
          <w:bCs/>
          <w:sz w:val="24"/>
          <w:szCs w:val="24"/>
          <w:lang w:val="sr-Cyrl-RS"/>
        </w:rPr>
        <w:t xml:space="preserve">, formira </w:t>
      </w:r>
      <w:r w:rsidRPr="00412B28">
        <w:rPr>
          <w:rFonts w:ascii="Times New Roman" w:hAnsi="Times New Roman" w:cs="Times New Roman"/>
          <w:b/>
          <w:bCs/>
          <w:sz w:val="24"/>
          <w:szCs w:val="24"/>
        </w:rPr>
        <w:t>samostalna organizacija koja vrši javna ovlašćenja</w:t>
      </w:r>
      <w:r w:rsidRPr="00412B28">
        <w:rPr>
          <w:rFonts w:ascii="Times New Roman" w:hAnsi="Times New Roman" w:cs="Times New Roman"/>
          <w:b/>
          <w:bCs/>
          <w:sz w:val="24"/>
          <w:szCs w:val="24"/>
          <w:lang w:val="sr-Cyrl-RS"/>
        </w:rPr>
        <w:t xml:space="preserve">, činjenica da ista preuzima određene nadležnosti državnog organa ukazuje da će doći do redistribucije kadrova između pomenutih organa, što posledično govori da neće doći do drastičnog povećanja broja državnih službenika. Dakle, potencijalni finansijski efekti na rashodnoj strani budžeta, po ovom osnovu, su zanemarljivi. U okviru budžetskih sredstava za 2023. godinu (razdeo 22 Ministarstvo građevinarstva, saobraćaja i infrastrukture, glava 22.0 Ministarstvo gtrađevinarstva, saobraćaja i infrastrukture, program 1101 uređenje i nadzor u oblasti planiranja i izgradnje, funkcija 620 razvoj zajednice, programska aktivnost 0001 podrška izradi prostornih i urbanističkih planova) </w:t>
      </w:r>
      <w:r w:rsidRPr="00412B28">
        <w:rPr>
          <w:rFonts w:ascii="Times New Roman" w:hAnsi="Times New Roman" w:cs="Times New Roman"/>
          <w:b/>
          <w:bCs/>
          <w:sz w:val="24"/>
          <w:szCs w:val="24"/>
          <w:lang w:val="sr-Cyrl-RS"/>
        </w:rPr>
        <w:lastRenderedPageBreak/>
        <w:t>izdvojena su sredstva u ukupnom iznosu od 378.409.000 RSD. Ova sredstva su raspoređena u okvirzu ekonomskih klasifikacija 411, 412, 415, 423, 463, 511, za plate, dodatke i naknade zaposlenih (zarade), socijalne doprinose na teret poslodavca, naknade troškova za zaposlene, usluge po ugovoru, transferi ostalim nivoima vlasti, zagrade i građevinske objekte (sredstva za izradu planskih dokumenata). Predmetnim nacrtom Zakona predlaže se da Agencija preuzima zaposlene i postavljena lica u Ministarstvu građevinarstva, saobraćaja i infrastrukture, koji rade na poslovima iz nadležnosti Agencije, predmete, arhivu i drugu stručnu dokumentaciju koja se odnosi na poslove iz nadležnosti Agencije, kao i opremu, sredstva za rad i druga sredstva koja je koristilo Ministarstvo građevinarstva, saobraćaja i infrastrukture u obavljanju navedenih poslova. Do početka rada Agencije poslove iz nadležnosti Agencije obavlja ministarstvo nadležno za polove prostornog planiranja i urbanizma. U tom smislu, neće biti troškova u pogledu osnivanja i opremanja Agencije. Agencija će u skladu sa zakonom kojim je uređen rad javnih agencija i u skladu sa Zakonom o planiranju i izgradnji biti finansirana iz budžeta, prihoda koje ostvari obavljanjem poslova iz svoje nadležnosti, donacija, priloga i sponzorstva domaćih i stranih pravnih i fizičkih lica, drugih izvora, u skladu sa zakonom. Na program rada i finansijski plan Agencije Vlada daje saglasnost, tako da će sredstva za rad biti namenski određena u skladu sa višegodišnjim projekcijama budžeta. Uvođenje Glavnog republičkog urbaniste neće uticati na budžet, imajući u vidu da će ove poslove obavljati direktor Agencije, kao i da su za potrebe stručne kontrole i kontrole usklađenosti dokumenata prostornog i urbanističkog planiranja izdvojena odgovarajuća sredstva.</w:t>
      </w:r>
    </w:p>
    <w:p w14:paraId="0F2DB9E3"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p>
    <w:p w14:paraId="6840E9B7" w14:textId="77777777" w:rsidR="00EA2B24" w:rsidRPr="00412B28" w:rsidRDefault="00EA2B24" w:rsidP="00CB41F0">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Da li je moguće finansirati rashode </w:t>
      </w:r>
      <w:r w:rsidRPr="00412B28">
        <w:rPr>
          <w:rFonts w:ascii="Times New Roman" w:hAnsi="Times New Roman" w:cs="Times New Roman"/>
          <w:sz w:val="24"/>
          <w:szCs w:val="24"/>
          <w:lang w:val="sr-Cyrl-RS"/>
        </w:rPr>
        <w:t>izabrane</w:t>
      </w:r>
      <w:r w:rsidRPr="00412B28">
        <w:rPr>
          <w:rFonts w:ascii="Times New Roman" w:hAnsi="Times New Roman" w:cs="Times New Roman"/>
          <w:sz w:val="24"/>
          <w:szCs w:val="24"/>
        </w:rPr>
        <w:t xml:space="preserve"> opcije kroz redistribuciju postojećih sredstava? </w:t>
      </w:r>
    </w:p>
    <w:p w14:paraId="1D5310C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moguće je.</w:t>
      </w:r>
    </w:p>
    <w:p w14:paraId="16B7B9CD" w14:textId="77777777" w:rsidR="00EA2B24" w:rsidRPr="00412B28" w:rsidRDefault="00EA2B24" w:rsidP="00CB41F0">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Kakvi će biti efekti sprovođenja </w:t>
      </w:r>
      <w:r w:rsidRPr="00412B28">
        <w:rPr>
          <w:rFonts w:ascii="Times New Roman" w:hAnsi="Times New Roman" w:cs="Times New Roman"/>
          <w:sz w:val="24"/>
          <w:szCs w:val="24"/>
          <w:lang w:val="sr-Cyrl-RS"/>
        </w:rPr>
        <w:t xml:space="preserve">izabrane </w:t>
      </w:r>
      <w:r w:rsidRPr="00412B28">
        <w:rPr>
          <w:rFonts w:ascii="Times New Roman" w:hAnsi="Times New Roman" w:cs="Times New Roman"/>
          <w:sz w:val="24"/>
          <w:szCs w:val="24"/>
        </w:rPr>
        <w:t xml:space="preserve">opcije na rashode drugih institucija? </w:t>
      </w:r>
    </w:p>
    <w:p w14:paraId="215FAB9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značajnih efekata po ovom osnovu.</w:t>
      </w:r>
    </w:p>
    <w:p w14:paraId="6E468995" w14:textId="77777777" w:rsidR="00EA2B24" w:rsidRPr="00412B28" w:rsidRDefault="00EA2B24" w:rsidP="00CB41F0">
      <w:pPr>
        <w:spacing w:before="240" w:line="276" w:lineRule="auto"/>
        <w:jc w:val="right"/>
        <w:rPr>
          <w:rFonts w:ascii="Times New Roman" w:hAnsi="Times New Roman" w:cs="Times New Roman"/>
          <w:b/>
          <w:sz w:val="24"/>
          <w:szCs w:val="24"/>
          <w:u w:val="single"/>
        </w:rPr>
      </w:pPr>
    </w:p>
    <w:p w14:paraId="23190F25" w14:textId="77777777" w:rsidR="00EA2B24" w:rsidRPr="00412B28" w:rsidRDefault="00EA2B24" w:rsidP="00CB41F0">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1366B538" w14:textId="77777777" w:rsidR="00EA2B24" w:rsidRPr="00412B28" w:rsidRDefault="00EA2B24" w:rsidP="00CB41F0">
      <w:pPr>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PRILOG 6:</w:t>
      </w:r>
    </w:p>
    <w:p w14:paraId="6642D05A" w14:textId="77777777" w:rsidR="00EA2B24" w:rsidRPr="00412B28" w:rsidRDefault="00EA2B24" w:rsidP="00CB41F0">
      <w:pPr>
        <w:spacing w:before="240" w:line="276" w:lineRule="auto"/>
        <w:jc w:val="right"/>
        <w:rPr>
          <w:rFonts w:ascii="Times New Roman" w:hAnsi="Times New Roman" w:cs="Times New Roman"/>
          <w:b/>
          <w:sz w:val="24"/>
          <w:szCs w:val="24"/>
          <w:u w:val="single"/>
        </w:rPr>
      </w:pPr>
    </w:p>
    <w:p w14:paraId="2C3FF094"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analizu ekonomskih efekata</w:t>
      </w:r>
    </w:p>
    <w:p w14:paraId="2BFD161D" w14:textId="77777777" w:rsidR="00EA2B24" w:rsidRPr="00412B28" w:rsidRDefault="00EA2B24" w:rsidP="00CB41F0">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Koje troškove i koristi (materijalne i nematerijalne) će </w:t>
      </w:r>
      <w:r w:rsidRPr="00412B28">
        <w:rPr>
          <w:rFonts w:ascii="Times New Roman" w:hAnsi="Times New Roman" w:cs="Times New Roman"/>
          <w:sz w:val="24"/>
          <w:szCs w:val="24"/>
          <w:lang w:val="sr-Cyrl-RS"/>
        </w:rPr>
        <w:t>izabrana</w:t>
      </w:r>
      <w:r w:rsidRPr="00412B28">
        <w:rPr>
          <w:rFonts w:ascii="Times New Roman" w:hAnsi="Times New Roman" w:cs="Times New Roman"/>
          <w:sz w:val="24"/>
          <w:szCs w:val="24"/>
        </w:rPr>
        <w:t xml:space="preserve"> opcija prouzrokovati privredi, </w:t>
      </w:r>
      <w:r w:rsidRPr="00412B28">
        <w:rPr>
          <w:rFonts w:ascii="Times New Roman" w:hAnsi="Times New Roman" w:cs="Times New Roman"/>
          <w:sz w:val="24"/>
          <w:szCs w:val="24"/>
          <w:lang w:val="sr-Cyrl-RS"/>
        </w:rPr>
        <w:t xml:space="preserve">pojedinoj grani, </w:t>
      </w:r>
      <w:r w:rsidRPr="00412B28">
        <w:rPr>
          <w:rFonts w:ascii="Times New Roman" w:hAnsi="Times New Roman" w:cs="Times New Roman"/>
          <w:sz w:val="24"/>
          <w:szCs w:val="24"/>
        </w:rPr>
        <w:t>odnosno određenoj kategoriji privrednih subjekata?</w:t>
      </w:r>
    </w:p>
    <w:p w14:paraId="274620CA"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rPr>
        <w:t xml:space="preserve">Izmene i dopune Zakona o planiranju i izgradnji koje za cilj imaju </w:t>
      </w:r>
      <w:r w:rsidRPr="00412B28">
        <w:rPr>
          <w:rFonts w:ascii="Times New Roman" w:hAnsi="Times New Roman" w:cs="Times New Roman"/>
          <w:b/>
          <w:bCs/>
          <w:sz w:val="24"/>
          <w:szCs w:val="24"/>
        </w:rPr>
        <w:t>unapređenje</w:t>
      </w:r>
      <w:r w:rsidRPr="00412B28">
        <w:rPr>
          <w:rFonts w:ascii="Times New Roman" w:hAnsi="Times New Roman" w:cs="Times New Roman"/>
          <w:b/>
          <w:bCs/>
          <w:sz w:val="24"/>
          <w:szCs w:val="24"/>
          <w:lang w:val="sr-Cyrl-RS"/>
        </w:rPr>
        <w:t xml:space="preserve"> i</w:t>
      </w:r>
      <w:r w:rsidRPr="00412B28">
        <w:rPr>
          <w:b/>
          <w:bCs/>
        </w:rPr>
        <w:t xml:space="preserve"> </w:t>
      </w:r>
      <w:r w:rsidRPr="00412B28">
        <w:rPr>
          <w:rFonts w:ascii="Times New Roman" w:hAnsi="Times New Roman" w:cs="Times New Roman"/>
          <w:b/>
          <w:bCs/>
          <w:sz w:val="24"/>
          <w:szCs w:val="24"/>
        </w:rPr>
        <w:t>pojednostavljenje procedura</w:t>
      </w:r>
      <w:r w:rsidRPr="00412B28">
        <w:rPr>
          <w:rFonts w:ascii="Times New Roman" w:hAnsi="Times New Roman" w:cs="Times New Roman"/>
          <w:sz w:val="24"/>
          <w:szCs w:val="24"/>
          <w:lang w:val="sr-Cyrl-RS"/>
        </w:rPr>
        <w:t xml:space="preserve"> dovešće </w:t>
      </w:r>
      <w:r w:rsidRPr="00412B28">
        <w:rPr>
          <w:rFonts w:ascii="Times New Roman" w:hAnsi="Times New Roman" w:cs="Times New Roman"/>
          <w:sz w:val="24"/>
          <w:szCs w:val="24"/>
        </w:rPr>
        <w:t>do povećanja obima građevinskih radova za 1,220,000 m2</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što će doprineti rastu</w:t>
      </w:r>
      <w:r w:rsidRPr="00412B28">
        <w:rPr>
          <w:rFonts w:ascii="Times New Roman" w:hAnsi="Times New Roman" w:cs="Times New Roman"/>
          <w:sz w:val="24"/>
          <w:szCs w:val="24"/>
          <w:lang w:val="sr-Cyrl-RS"/>
        </w:rPr>
        <w:t xml:space="preserve"> vrednosti</w:t>
      </w:r>
      <w:r w:rsidRPr="00412B28">
        <w:rPr>
          <w:rFonts w:ascii="Times New Roman" w:hAnsi="Times New Roman" w:cs="Times New Roman"/>
          <w:sz w:val="24"/>
          <w:szCs w:val="24"/>
        </w:rPr>
        <w:t xml:space="preserve"> izvedenih građevinskih radova za </w:t>
      </w:r>
      <w:r w:rsidRPr="00412B28">
        <w:rPr>
          <w:rFonts w:ascii="Times New Roman" w:hAnsi="Times New Roman" w:cs="Times New Roman"/>
          <w:b/>
          <w:bCs/>
          <w:sz w:val="24"/>
          <w:szCs w:val="24"/>
          <w:u w:val="single"/>
        </w:rPr>
        <w:t>99,784,680,22</w:t>
      </w:r>
      <w:r w:rsidRPr="00412B28">
        <w:rPr>
          <w:rFonts w:ascii="Times New Roman" w:hAnsi="Times New Roman" w:cs="Times New Roman"/>
          <w:b/>
          <w:bCs/>
          <w:sz w:val="24"/>
          <w:szCs w:val="24"/>
          <w:u w:val="single"/>
          <w:lang w:val="sr-Cyrl-RS"/>
        </w:rPr>
        <w:t>5 dinara</w:t>
      </w:r>
      <w:r w:rsidRPr="00412B28">
        <w:rPr>
          <w:rFonts w:ascii="Times New Roman" w:hAnsi="Times New Roman" w:cs="Times New Roman"/>
          <w:sz w:val="24"/>
          <w:szCs w:val="24"/>
          <w:lang w:val="sr-Cyrl-RS"/>
        </w:rPr>
        <w:t xml:space="preserve">. Po osnovu prometa nekretnina, privredni subjekti će ostvariti procenjeni profit od </w:t>
      </w:r>
      <w:r w:rsidRPr="00412B28">
        <w:rPr>
          <w:rFonts w:ascii="Times New Roman" w:hAnsi="Times New Roman" w:cs="Times New Roman"/>
          <w:b/>
          <w:bCs/>
          <w:sz w:val="24"/>
          <w:szCs w:val="24"/>
          <w:u w:val="single"/>
          <w:lang w:val="sr-Cyrl-RS"/>
        </w:rPr>
        <w:t>69,175,828,073 dinara.</w:t>
      </w:r>
    </w:p>
    <w:p w14:paraId="4864BF72"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Procenjen broj novozaposlenih iznosi 24,406 radnika, kojima će, na ime zarada, biti isplaćeno procenjenih </w:t>
      </w:r>
      <w:r w:rsidRPr="00412B28">
        <w:rPr>
          <w:rFonts w:ascii="Times New Roman" w:hAnsi="Times New Roman" w:cs="Times New Roman"/>
          <w:b/>
          <w:bCs/>
          <w:sz w:val="24"/>
          <w:szCs w:val="24"/>
          <w:u w:val="single"/>
          <w:lang w:val="sr-Cyrl-RS"/>
        </w:rPr>
        <w:t>18,887,302,284 dinara.</w:t>
      </w:r>
    </w:p>
    <w:p w14:paraId="5C115EFD" w14:textId="77777777" w:rsidR="00EA2B24" w:rsidRPr="00412B28" w:rsidRDefault="00EA2B24" w:rsidP="00CB41F0">
      <w:pPr>
        <w:pStyle w:val="CommentText"/>
        <w:ind w:left="720"/>
        <w:jc w:val="both"/>
        <w:rPr>
          <w:color w:val="7030A0"/>
          <w:lang w:val="sr-Cyrl-RS"/>
        </w:rPr>
      </w:pPr>
      <w:r w:rsidRPr="00412B28">
        <w:rPr>
          <w:rFonts w:ascii="Times New Roman" w:hAnsi="Times New Roman" w:cs="Times New Roman"/>
          <w:sz w:val="24"/>
          <w:szCs w:val="24"/>
          <w:lang w:val="sr-Cyrl-RS"/>
        </w:rPr>
        <w:t xml:space="preserve">Prenos nadležnosti izdavanja informacije o lokaciji na </w:t>
      </w:r>
      <w:r w:rsidRPr="00412B28">
        <w:rPr>
          <w:rFonts w:ascii="Times New Roman" w:hAnsi="Times New Roman" w:cs="Times New Roman"/>
          <w:b/>
          <w:bCs/>
          <w:sz w:val="24"/>
          <w:szCs w:val="24"/>
          <w:lang w:val="sr-Cyrl-RS"/>
        </w:rPr>
        <w:t xml:space="preserve">javne beležnike i druga pravna lica doprineće porastu prihoda ovih pravnih lica za procenjenih </w:t>
      </w:r>
      <w:r w:rsidRPr="00412B28">
        <w:rPr>
          <w:rFonts w:ascii="Times New Roman" w:hAnsi="Times New Roman" w:cs="Times New Roman"/>
          <w:b/>
          <w:bCs/>
          <w:sz w:val="24"/>
          <w:szCs w:val="24"/>
          <w:u w:val="single"/>
          <w:lang w:val="sr-Cyrl-RS"/>
        </w:rPr>
        <w:t>105,495,000 dinara godišnje</w:t>
      </w:r>
      <w:r w:rsidRPr="00412B28">
        <w:rPr>
          <w:rFonts w:ascii="Times New Roman" w:hAnsi="Times New Roman" w:cs="Times New Roman"/>
          <w:sz w:val="24"/>
          <w:szCs w:val="24"/>
          <w:lang w:val="sr-Cyrl-RS"/>
        </w:rPr>
        <w:t>. (Intencija zakonodavca je da javni beležnici i PD sa šifrom 71.11 uz prethodno ispunjene uslove koji će biti propisani podzakonskim aktom moći će da izdaju informaciju o lokaciji bez obzira na nadlženost (JLS, AP, RS). Uslove za izdavanje, način i postupak izdavanja, kao i sadržina informacije o lokaciji biće predmet podzakonskog akta. Uslove za izdavanje potvrde, način i postupak izdavanja potvrde, kao i sadržina potvrde zelenog sertifikata (potvrđivanje zelenog sertifikata) biće predmet podzakonskog akta.)</w:t>
      </w:r>
    </w:p>
    <w:p w14:paraId="2176034D"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Ukidanja Zakona o konverziji uz naknadu određenoj kategoriji lica tiče</w:t>
      </w:r>
      <w:r w:rsidRPr="00412B28">
        <w:rPr>
          <w:rFonts w:ascii="Times New Roman" w:hAnsi="Times New Roman" w:cs="Times New Roman"/>
          <w:sz w:val="24"/>
          <w:szCs w:val="24"/>
          <w:lang w:val="sr-Cyrl-RS"/>
        </w:rPr>
        <w:t xml:space="preserve">, aproksimativno će dovesti do ''oslobađanja'' odgovarajućeg obima građevinskog zemljišta za izgradnju, što potencijalno, u dugom roku, može dovesti do izgradnje objekata površine oko </w:t>
      </w:r>
      <w:r w:rsidRPr="00412B28">
        <w:rPr>
          <w:rFonts w:ascii="Times New Roman" w:hAnsi="Times New Roman" w:cs="Times New Roman"/>
          <w:b/>
          <w:bCs/>
          <w:sz w:val="24"/>
          <w:szCs w:val="24"/>
          <w:lang w:val="sr-Cyrl-RS"/>
        </w:rPr>
        <w:t>15,000,000 m</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b/>
          <w:bCs/>
          <w:sz w:val="24"/>
          <w:szCs w:val="24"/>
          <w:lang w:val="sr-Cyrl-RS"/>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 xml:space="preserve">Uz pretpostavku da će tržišni uslovi biti takvi da podstaknu građevinski sektor da se predmetna izgradnja ostvari u punom obimu, procena je da će ista, u dugom roku, dovesti do rasta vrednosti izvedenih građevinskih radova za </w:t>
      </w:r>
      <w:r w:rsidRPr="00412B28">
        <w:rPr>
          <w:rFonts w:ascii="Times New Roman" w:hAnsi="Times New Roman" w:cs="Times New Roman"/>
          <w:b/>
          <w:bCs/>
          <w:sz w:val="24"/>
          <w:szCs w:val="24"/>
          <w:u w:val="single"/>
        </w:rPr>
        <w:t>1,233,750,000,000</w:t>
      </w:r>
      <w:r w:rsidRPr="00412B28">
        <w:rPr>
          <w:rFonts w:ascii="Times New Roman" w:hAnsi="Times New Roman" w:cs="Times New Roman"/>
          <w:b/>
          <w:bCs/>
          <w:sz w:val="24"/>
          <w:szCs w:val="24"/>
          <w:u w:val="single"/>
          <w:lang w:val="sr-Cyrl-RS"/>
        </w:rPr>
        <w:t xml:space="preserve"> dinara.</w:t>
      </w:r>
      <w:r w:rsidRPr="00412B28">
        <w:rPr>
          <w:rFonts w:ascii="Times New Roman" w:hAnsi="Times New Roman" w:cs="Times New Roman"/>
          <w:b/>
          <w:bCs/>
          <w:sz w:val="24"/>
          <w:szCs w:val="24"/>
          <w:lang w:val="sr-Cyrl-RS"/>
        </w:rPr>
        <w:t xml:space="preserve"> Prodaja pomenutih objekata, za rezultat će imati uvećanje dobiti privrednih subjekata za </w:t>
      </w:r>
      <w:r w:rsidRPr="00412B28">
        <w:rPr>
          <w:rFonts w:ascii="Times New Roman" w:hAnsi="Times New Roman" w:cs="Times New Roman"/>
          <w:b/>
          <w:bCs/>
          <w:sz w:val="24"/>
          <w:szCs w:val="24"/>
          <w:u w:val="single"/>
          <w:lang w:val="sr-Cyrl-RS"/>
        </w:rPr>
        <w:t>846,000,000,000 dinara</w:t>
      </w:r>
      <w:r w:rsidRPr="00412B28">
        <w:rPr>
          <w:rFonts w:ascii="Times New Roman" w:hAnsi="Times New Roman" w:cs="Times New Roman"/>
          <w:sz w:val="24"/>
          <w:szCs w:val="24"/>
          <w:u w:val="single"/>
          <w:lang w:val="sr-Cyrl-RS"/>
        </w:rPr>
        <w:t>.</w:t>
      </w:r>
      <w:r w:rsidRPr="00412B28">
        <w:rPr>
          <w:rFonts w:ascii="Times New Roman" w:hAnsi="Times New Roman" w:cs="Times New Roman"/>
          <w:sz w:val="24"/>
          <w:szCs w:val="24"/>
          <w:lang w:val="sr-Cyrl-RS"/>
        </w:rPr>
        <w:t xml:space="preserve"> </w:t>
      </w:r>
    </w:p>
    <w:p w14:paraId="47697052"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Aproksimacija je da će izgradnja objekata ovog obima direktno i indirektno </w:t>
      </w:r>
      <w:r w:rsidRPr="00412B28">
        <w:rPr>
          <w:rFonts w:ascii="Times New Roman" w:hAnsi="Times New Roman" w:cs="Times New Roman"/>
          <w:b/>
          <w:bCs/>
          <w:sz w:val="24"/>
          <w:szCs w:val="24"/>
          <w:lang w:val="sr-Cyrl-RS"/>
        </w:rPr>
        <w:t xml:space="preserve">uposliti oko 300,000 radnika, kojima će, na ime zarada, biti isplaćeno procenjenih </w:t>
      </w:r>
      <w:r w:rsidRPr="00412B28">
        <w:rPr>
          <w:rFonts w:ascii="Times New Roman" w:hAnsi="Times New Roman" w:cs="Times New Roman"/>
          <w:b/>
          <w:bCs/>
          <w:sz w:val="24"/>
          <w:szCs w:val="24"/>
          <w:u w:val="single"/>
          <w:lang w:val="sr-Cyrl-RS"/>
        </w:rPr>
        <w:t>628,155,000,000</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dinara.</w:t>
      </w:r>
    </w:p>
    <w:p w14:paraId="3306E15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 xml:space="preserve">Što se obaveze pribavljanja polise osiguranja od štete prema trećim licima koja može nastati izvođenjem radova tiče, </w:t>
      </w:r>
      <w:r w:rsidRPr="00412B28">
        <w:rPr>
          <w:rFonts w:ascii="Times New Roman" w:hAnsi="Times New Roman" w:cs="Times New Roman"/>
          <w:sz w:val="24"/>
          <w:szCs w:val="24"/>
          <w:lang w:val="sr-Cyrl-RS"/>
        </w:rPr>
        <w:t>osiguravajuća društva imaju različite kriterijume za sagledavanje rizika i obračunavanje premije u zavisnosti od vrste građevinskih projekata. Za stambene i poslovne objekte</w:t>
      </w:r>
      <w:r w:rsidRPr="00412B28">
        <w:rPr>
          <w:rFonts w:ascii="Times New Roman" w:hAnsi="Times New Roman" w:cs="Times New Roman"/>
          <w:b/>
          <w:bCs/>
          <w:sz w:val="24"/>
          <w:szCs w:val="24"/>
          <w:lang w:val="sr-Cyrl-RS"/>
        </w:rPr>
        <w:t>, premije se kreću od 0,2%  do 0,3% od vrednosti radova</w:t>
      </w:r>
      <w:r w:rsidRPr="00412B28">
        <w:rPr>
          <w:rFonts w:ascii="Times New Roman" w:hAnsi="Times New Roman" w:cs="Times New Roman"/>
          <w:sz w:val="24"/>
          <w:szCs w:val="24"/>
          <w:lang w:val="sr-Cyrl-RS"/>
        </w:rPr>
        <w:t>.</w:t>
      </w:r>
      <w:r w:rsidRPr="00412B28">
        <w:rPr>
          <w:rFonts w:ascii="Open Sans" w:hAnsi="Open Sans" w:cs="Open Sans"/>
          <w:sz w:val="23"/>
          <w:szCs w:val="23"/>
          <w:shd w:val="clear" w:color="auto" w:fill="FFFFFF"/>
        </w:rPr>
        <w:t xml:space="preserve"> </w:t>
      </w:r>
      <w:r w:rsidRPr="00412B28">
        <w:rPr>
          <w:rFonts w:ascii="Times New Roman" w:hAnsi="Times New Roman" w:cs="Times New Roman"/>
          <w:sz w:val="24"/>
          <w:szCs w:val="24"/>
          <w:lang w:val="sr-Cyrl-RS"/>
        </w:rPr>
        <w:t>Premija osiguranja zavisi od vrednosti projekta, vrste radova, kao i od dužine trajanja radova.</w:t>
      </w:r>
    </w:p>
    <w:p w14:paraId="29FFA17F"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 xml:space="preserve">Što se troškova povezanih sa sertifikatom zelene gradnje tiče, troškove možemo podeliti na one koji su neposredno povezani sa troškovima izgradnje i administrativne troškove pribavljanja sertifikata. U proseku, izgradnja zelene zgrade koštaće 2% više ali će investitoru doneti 14 – 19% uštede operativnih troškova zbog manje potrošnje energije i ostalih resursa. Osim navedenog, zelena gradnja sa sobom nosi i druge finansijske prednosti kao što su veća vrednost imovine, veći prihod od zakupnine, stopa popunjenosti objekata zbog tražnje je veća i generalno produktivnost je veća. Takođe, objekti izgrađeni po principima zelene gradnje stvaraju kvalitetniji ambijent za život i rad ljudi i imaju manji ili nulti negativni efekat na životnu sredinu. </w:t>
      </w:r>
      <w:r w:rsidRPr="00412B28">
        <w:rPr>
          <w:rFonts w:ascii="Times New Roman" w:hAnsi="Times New Roman" w:cs="Times New Roman"/>
          <w:iCs/>
          <w:sz w:val="24"/>
          <w:szCs w:val="24"/>
          <w:lang w:val="sr-Cyrl-CS"/>
        </w:rPr>
        <w:t>U cilju smanjenja emisije gasova sa efektom staklene bašte, korišćenja ekološki sertifikovanih građevinskih materijala i opreme, smanjenja produkcije otpada, korišćenja obnovljivih izvora energije, za sve nove zgrade preko 10.000 m</w:t>
      </w:r>
      <w:r w:rsidRPr="00412B28">
        <w:rPr>
          <w:rFonts w:ascii="Times New Roman" w:hAnsi="Times New Roman" w:cs="Times New Roman"/>
          <w:iCs/>
          <w:sz w:val="24"/>
          <w:szCs w:val="24"/>
          <w:vertAlign w:val="superscript"/>
          <w:lang w:val="sr-Cyrl-CS"/>
        </w:rPr>
        <w:t>2</w:t>
      </w:r>
      <w:r w:rsidRPr="00412B28">
        <w:rPr>
          <w:rFonts w:ascii="Times New Roman" w:hAnsi="Times New Roman" w:cs="Times New Roman"/>
          <w:iCs/>
          <w:sz w:val="24"/>
          <w:szCs w:val="24"/>
          <w:lang w:val="sr-Cyrl-CS"/>
        </w:rPr>
        <w:t xml:space="preserve"> bruto razvijene građevinske površine, po izdavanju upotrebne dozvole, uvedena je obaveza pribavljanja sertifikata zelene gradnje. U cilju podsticanja zelene gradnje </w:t>
      </w:r>
      <w:r w:rsidRPr="00412B28">
        <w:rPr>
          <w:rFonts w:ascii="Times New Roman" w:eastAsia="Times New Roman" w:hAnsi="Times New Roman" w:cs="Times New Roman"/>
          <w:sz w:val="24"/>
          <w:szCs w:val="24"/>
          <w:lang w:val="sr-Cyrl-CS"/>
        </w:rPr>
        <w:t>investitor objekta za koji je izdat sertifikat zelene gradnje, ima pravo na umanjenje obračunatog doprinosa za uređivanje građevinskog zemljišta u visini od 10% u odnosu na ukupno određeni iznos doprinosa.</w:t>
      </w:r>
    </w:p>
    <w:p w14:paraId="4EE34546"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bCs/>
          <w:sz w:val="24"/>
          <w:szCs w:val="24"/>
          <w:lang w:val="sr-Cyrl-CS"/>
        </w:rPr>
      </w:pPr>
      <w:r w:rsidRPr="00412B28">
        <w:rPr>
          <w:rFonts w:ascii="Times New Roman" w:hAnsi="Times New Roman" w:cs="Times New Roman"/>
          <w:iCs/>
          <w:sz w:val="24"/>
          <w:szCs w:val="24"/>
          <w:lang w:val="sr-Cyrl-CS"/>
        </w:rPr>
        <w:t>Sertifikat zelene gradnje je</w:t>
      </w:r>
      <w:r w:rsidRPr="00412B28">
        <w:rPr>
          <w:rFonts w:ascii="Times New Roman" w:eastAsia="Times New Roman" w:hAnsi="Times New Roman" w:cs="Times New Roman"/>
          <w:bCs/>
          <w:sz w:val="24"/>
          <w:szCs w:val="24"/>
          <w:lang w:val="sr-Cyrl-CS"/>
        </w:rPr>
        <w:t xml:space="preserve"> potvrda izdata od strane međunarodnog sistema za sertifikaciju zelenih zgrada, kojim se verifikuje da je objekat ispunio zadate kriterijume i služi za ocenjivanje kvaliteta i stepena ispunjenosti kriterijuma zelene gradnje;</w:t>
      </w:r>
    </w:p>
    <w:p w14:paraId="7FE57AD9"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A</w:t>
      </w:r>
      <w:r w:rsidRPr="00412B28">
        <w:rPr>
          <w:rFonts w:ascii="Times New Roman" w:eastAsia="Times New Roman" w:hAnsi="Times New Roman" w:cs="Times New Roman"/>
          <w:sz w:val="24"/>
          <w:szCs w:val="24"/>
        </w:rPr>
        <w:t>gencija za prostorno planiranje</w:t>
      </w:r>
      <w:r w:rsidRPr="00412B28">
        <w:rPr>
          <w:rFonts w:ascii="Times New Roman" w:eastAsia="Times New Roman" w:hAnsi="Times New Roman" w:cs="Times New Roman"/>
          <w:sz w:val="24"/>
          <w:szCs w:val="24"/>
          <w:lang w:val="sr-Cyrl-CS"/>
        </w:rPr>
        <w:t xml:space="preserve">  i urbanizam Republike Srbije izdaje odnosno potvrđuje sertifikate zelene gradnje.</w:t>
      </w:r>
    </w:p>
    <w:p w14:paraId="21A6D0AB"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Vlad</w:t>
      </w:r>
      <w:r w:rsidRPr="00412B28">
        <w:rPr>
          <w:rFonts w:ascii="Times New Roman" w:eastAsia="Times New Roman" w:hAnsi="Times New Roman" w:cs="Times New Roman"/>
          <w:sz w:val="24"/>
          <w:szCs w:val="24"/>
          <w:lang w:val="sr-Latn-RS"/>
        </w:rPr>
        <w:t>a</w:t>
      </w:r>
      <w:r w:rsidRPr="00412B28">
        <w:rPr>
          <w:rFonts w:ascii="Times New Roman" w:eastAsia="Times New Roman" w:hAnsi="Times New Roman" w:cs="Times New Roman"/>
          <w:sz w:val="24"/>
          <w:szCs w:val="24"/>
        </w:rPr>
        <w:t>/</w:t>
      </w:r>
      <w:r w:rsidRPr="00412B28">
        <w:rPr>
          <w:rFonts w:ascii="Times New Roman" w:eastAsia="Times New Roman" w:hAnsi="Times New Roman" w:cs="Times New Roman"/>
          <w:sz w:val="24"/>
          <w:szCs w:val="24"/>
          <w:lang w:val="sr-Cyrl-RS"/>
        </w:rPr>
        <w:t>Minstar</w:t>
      </w:r>
      <w:r w:rsidRPr="00412B28">
        <w:rPr>
          <w:rFonts w:ascii="Times New Roman" w:eastAsia="Times New Roman" w:hAnsi="Times New Roman" w:cs="Times New Roman"/>
          <w:sz w:val="24"/>
          <w:szCs w:val="24"/>
          <w:lang w:val="sr-Cyrl-CS"/>
        </w:rPr>
        <w:t>, podzakonskim aktom, prema klasi i nameni objekta, propisuje vrstu međunarodnih komercijalnih sistema sertifikacije zelene gradnje koje je moguće primeniti, vrstu objekata i rok u kome je obavezno pribavljanje i priznavanje sertifikata zelene gradnje, sadržinu zahteva za utvrđivanje ispunjenosti tih uslova, postupak priznavanja sertifikata zelene gradnje, kao i izgled i sadržinu rešenja kojim se priznaje sertifikat zelene gradnje.</w:t>
      </w:r>
    </w:p>
    <w:p w14:paraId="179FF116"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Dakle, imajući u vidu da će detalji povezani sa administrativnim postupkom dobijanja sertifikata zelene gradnje biti utvrđeni podzakonskim aktom koji će biti donet po usvajanju izmena i dopuna Zakona o planiranju i izgradnji, precizna procena administrativnih troškova nije moguća, ali je gotovo izvesno da troškovi neće biti značajno veći od administrativnih troškova povezanih sa sličnim procesima propisanim od strane Republike Srbije.</w:t>
      </w:r>
    </w:p>
    <w:p w14:paraId="6DF09EF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Dakle, uz ispunjenje niza uslova povezanih sa opštim privrednim kretanjima, tržištem itd....potencijalni maksimalni pozitivni efekti ove odredbe Zakona su ogromni.</w:t>
      </w:r>
    </w:p>
    <w:p w14:paraId="430FA952" w14:textId="77777777" w:rsidR="00EA2B24" w:rsidRPr="00412B28" w:rsidRDefault="00EA2B24" w:rsidP="00CB41F0">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konkurentnost privrednih subjekata na domaćem i inostranom tržištu (uključujući i efekte na konkurentnost cena) i na koji način?</w:t>
      </w:r>
    </w:p>
    <w:p w14:paraId="4ADF9A2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lastRenderedPageBreak/>
        <w:t>Nema efekata.</w:t>
      </w:r>
    </w:p>
    <w:p w14:paraId="7F29FBE5" w14:textId="77777777" w:rsidR="00EA2B24" w:rsidRPr="00412B28" w:rsidRDefault="00EA2B24" w:rsidP="00CB41F0">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izabrane opcije utiču na uslove konkurencije i na koji način?</w:t>
      </w:r>
    </w:p>
    <w:p w14:paraId="08B17AB4"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efekata.</w:t>
      </w:r>
    </w:p>
    <w:p w14:paraId="1BBCFE45" w14:textId="77777777" w:rsidR="00EA2B24" w:rsidRPr="00412B28" w:rsidRDefault="00EA2B24" w:rsidP="00CB41F0">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transfer tehnologije i/ili primenu tehničko-tehnoloških, organizacionih i poslovnih inovacija i na koji način?</w:t>
      </w:r>
    </w:p>
    <w:p w14:paraId="3C735D5B"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U</w:t>
      </w:r>
      <w:r w:rsidRPr="00412B28">
        <w:rPr>
          <w:rFonts w:ascii="Times New Roman" w:hAnsi="Times New Roman" w:cs="Times New Roman"/>
          <w:b/>
          <w:bCs/>
          <w:sz w:val="24"/>
          <w:szCs w:val="24"/>
        </w:rPr>
        <w:t>vođenje novih elemenata ''zelene agende''</w:t>
      </w:r>
      <w:r w:rsidRPr="00412B28">
        <w:rPr>
          <w:rFonts w:ascii="Times New Roman" w:hAnsi="Times New Roman" w:cs="Times New Roman"/>
          <w:b/>
          <w:bCs/>
          <w:sz w:val="24"/>
          <w:szCs w:val="24"/>
          <w:lang w:val="sr-Cyrl-RS"/>
        </w:rPr>
        <w:t xml:space="preserve"> u Zakon, imaće uticaj na povećanu primenu savremenih inovativnih rešenja zelene gradnje, što doprinosi očuvanju životne sredine, implementaciji koncepta održivog razvoja, povećanoj e</w:t>
      </w:r>
      <w:r w:rsidRPr="00412B28">
        <w:rPr>
          <w:rFonts w:ascii="Times New Roman" w:hAnsi="Times New Roman" w:cs="Times New Roman"/>
          <w:b/>
          <w:bCs/>
          <w:sz w:val="24"/>
          <w:szCs w:val="24"/>
        </w:rPr>
        <w:t>nergetskoj efikasnosti</w:t>
      </w:r>
      <w:r w:rsidRPr="00412B28">
        <w:rPr>
          <w:rFonts w:ascii="Times New Roman" w:hAnsi="Times New Roman" w:cs="Times New Roman"/>
          <w:b/>
          <w:bCs/>
          <w:sz w:val="24"/>
          <w:szCs w:val="24"/>
          <w:lang w:val="sr-Cyrl-RS"/>
        </w:rPr>
        <w:t xml:space="preserve">. </w:t>
      </w:r>
    </w:p>
    <w:p w14:paraId="30D1400E"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Zelena gradnja u Srbiji u usponu je poslednjih godina. Zainteresovanost investitora u Srbiji za zelenu gradnju se povećava i očekuje se rast tog sektora. Ona je važna jer je </w:t>
      </w:r>
      <w:r w:rsidRPr="00412B28">
        <w:rPr>
          <w:rFonts w:ascii="Times New Roman" w:hAnsi="Times New Roman" w:cs="Times New Roman"/>
          <w:b/>
          <w:bCs/>
          <w:sz w:val="24"/>
          <w:szCs w:val="24"/>
          <w:lang w:val="sr-Cyrl-RS"/>
        </w:rPr>
        <w:t>udeo zgradarstva u emisiji CO2 na globalnom nivou veći od 30 odsto</w:t>
      </w:r>
      <w:r w:rsidRPr="00412B28">
        <w:rPr>
          <w:rFonts w:ascii="Times New Roman" w:hAnsi="Times New Roman" w:cs="Times New Roman"/>
          <w:sz w:val="24"/>
          <w:szCs w:val="24"/>
          <w:lang w:val="sr-Cyrl-RS"/>
        </w:rPr>
        <w:t>.</w:t>
      </w:r>
    </w:p>
    <w:p w14:paraId="66932450"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Podaci o sertifikovanim zelenim zgradama  u Srbiji pokazuju da je prva zgrada  registrovana za sertifikaciju 2010. godine po sistemu LEED, dok je prvi sertifikat dobila zgrada „Bluecenter“ u Beogradu 2013. godine po sistemu BREEAM. </w:t>
      </w:r>
    </w:p>
    <w:p w14:paraId="35E4F8FD"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Od tada se uočava konstantan rast broja sertifikovanih zgrada, tako da ih danas ima između 40 i 50. Do pre nekoliko godina, većina ovih zgrada je bila locirana na Novom Beogradu, ali se u poslednje vreme uočava njihov trend i u drugim gradovima.</w:t>
      </w:r>
    </w:p>
    <w:p w14:paraId="2C30D94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Govoreći o tome koliko se zelenih zgrada gradi, 2020. godina bila rekordna godina i tada je uručeno 12 sertifikata. U januaru 2022. godine uručeno je osam novih sertifikata. U Srbiji je, interesovanje za zelene zgrade krenulo sa komercijalnim – poslovnim zgradama i tržnim centrima. Danas je sve više industrijskih projekata koji idu na sertifikaciju, i time su,  pokrivene tri glavne grupe koje su zaslužne za razvoj modernih zelenih zgrada u Srbiji.</w:t>
      </w:r>
    </w:p>
    <w:p w14:paraId="690C4AB0"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Primenom principa zelene i održive gradnje vlasnici objekta svojim zakupcima, zaposlenima i kupcima pružaju zdraviji, komforniji i održivi objekat za boravak.</w:t>
      </w:r>
    </w:p>
    <w:p w14:paraId="179A303C"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Kada se govori o zelenim zgradama, neizostavna tema su troškovi i da li je investicija veća.</w:t>
      </w:r>
    </w:p>
    <w:p w14:paraId="11392FA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Činjenica je da postoji dodatni trošak za sertifikaciju zelenih zgrada. Potrebno je pokriti troškove registracije, sertifikacije, konsultanata i investicije na unapređenju objekta, kako bi se zadovoljili standardi dobre prakse.</w:t>
      </w:r>
      <w:r w:rsidRPr="00412B28">
        <w:rPr>
          <w:rFonts w:ascii="Times New Roman" w:hAnsi="Times New Roman" w:cs="Times New Roman"/>
          <w:sz w:val="24"/>
          <w:szCs w:val="24"/>
          <w:lang w:val="sr-Cyrl-RS"/>
        </w:rPr>
        <w:t xml:space="preserve"> Ipak, dugoročno posmatrano, uštede tokom perioda eksploatacije mogu brzo da otplate inicijalne investicione troškove. </w:t>
      </w:r>
      <w:r w:rsidRPr="00412B28">
        <w:rPr>
          <w:rFonts w:ascii="Times New Roman" w:hAnsi="Times New Roman" w:cs="Times New Roman"/>
          <w:b/>
          <w:bCs/>
          <w:sz w:val="24"/>
          <w:szCs w:val="24"/>
          <w:lang w:val="sr-Cyrl-RS"/>
        </w:rPr>
        <w:t>U tom kontekstu, uvećana investicija se praktično vrati već u prvoj godini.</w:t>
      </w:r>
      <w:r w:rsidRPr="00412B28">
        <w:rPr>
          <w:rFonts w:ascii="Times New Roman" w:hAnsi="Times New Roman" w:cs="Times New Roman"/>
          <w:sz w:val="24"/>
          <w:szCs w:val="24"/>
          <w:lang w:val="sr-Cyrl-RS"/>
        </w:rPr>
        <w:t xml:space="preserve"> Postoje primeri iz prakse gde se  primenom principa zelene gradnje grade zgrade koje manje koštaju i imaju niže eksploatacione troškove. Zelena zgrada ne mora nužno da bude i skuplja zgrada, ukoliko se analizira i projektuje na ispravan način.</w:t>
      </w:r>
    </w:p>
    <w:p w14:paraId="59E63345"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 xml:space="preserve">Inače, pre gotovo dve decenije rodila se ideja „zelene” gradnje sa ciljem koji je zasnovan na promociji održivosti u arhitekturi. Prevazilaženje novih izazova u građevinarstvu, </w:t>
      </w:r>
      <w:r w:rsidRPr="00412B28">
        <w:rPr>
          <w:rFonts w:ascii="Times New Roman" w:hAnsi="Times New Roman" w:cs="Times New Roman"/>
          <w:b/>
          <w:bCs/>
          <w:sz w:val="24"/>
          <w:szCs w:val="24"/>
          <w:lang w:val="sr-Cyrl-RS"/>
        </w:rPr>
        <w:t>sa posebnim akcentom na očuvanju resursa i energije, rezultiralo je novim materijalima, pametnijim ulaganjem i izgradnjom koja ima za cilj stvaranje kvalitetnijeg životnog okruženja i dugoročno očuvanje prirodnih resursa.</w:t>
      </w:r>
    </w:p>
    <w:p w14:paraId="6F49C5D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Proizvodnja energije u zgradama iz obnovljivih izvora energije, poput solarne, energije vetra i biomase, pomaže pri izbegavanju zagađenja vazduha i vode. Obnovljivi izvori energije smanjuju kisele kiše, smog, klimatske promene i probleme sa ljudskim zdravljem uzrokovanim zagađenjem prirodne sredine.</w:t>
      </w:r>
    </w:p>
    <w:p w14:paraId="7C37B8E5"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Finansijske uštede pri zelenoj gradnji su značajne, naročito sa stanovišta brige o energetskoj efikasnosti, koja se postiže pravilnom i adekvatnom termoizolacijom i zaptivnošću prostora.</w:t>
      </w:r>
    </w:p>
    <w:p w14:paraId="00BD29B3"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Izbor građevinskog materijala, energetska efikasna stolarija, uređaji, rasveta i druga oprema takođe doprinose uštedi i održavanju mesečne potrošnje energije na niskom nivou. Uz rastuće cene energije i potrošnju neobnovljivih izvora, energetski efikasan dom je imovina koju svi možemo ceniti u godinama koje dolaze.</w:t>
      </w:r>
    </w:p>
    <w:p w14:paraId="73F558EB"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noProof/>
        </w:rPr>
        <w:drawing>
          <wp:inline distT="0" distB="0" distL="0" distR="0" wp14:anchorId="0CB78E31" wp14:editId="78D69E80">
            <wp:extent cx="5971540" cy="37947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1540" cy="3794760"/>
                    </a:xfrm>
                    <a:prstGeom prst="rect">
                      <a:avLst/>
                    </a:prstGeom>
                    <a:noFill/>
                    <a:ln>
                      <a:noFill/>
                    </a:ln>
                  </pic:spPr>
                </pic:pic>
              </a:graphicData>
            </a:graphic>
          </wp:inline>
        </w:drawing>
      </w:r>
    </w:p>
    <w:p w14:paraId="2661259C"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U proseku, izgradnja zelene zgrade koštaće 2% više</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 xml:space="preserve">ali će investitoru doneti 14 – 19% uštede operativnih troškova zbog manje potrošnje energije i ostalih resursa. Osim navedenog, zelena gradnja sa sobom nosi i druge finansijske prednosti kao što su veća </w:t>
      </w:r>
      <w:r w:rsidRPr="00412B28">
        <w:rPr>
          <w:rFonts w:ascii="Times New Roman" w:hAnsi="Times New Roman" w:cs="Times New Roman"/>
          <w:b/>
          <w:bCs/>
          <w:sz w:val="24"/>
          <w:szCs w:val="24"/>
          <w:lang w:val="sr-Cyrl-RS"/>
        </w:rPr>
        <w:lastRenderedPageBreak/>
        <w:t>vrednost imovine, veći prihod od zakupnine, stopa popunjenosti objekata zbog tražnje je veća i generalno produktivnost je veća.</w:t>
      </w:r>
    </w:p>
    <w:p w14:paraId="77ECA8CF"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bCs/>
          <w:sz w:val="24"/>
          <w:szCs w:val="24"/>
          <w:lang w:val="sr-Cyrl-CS"/>
        </w:rPr>
      </w:pPr>
      <w:r w:rsidRPr="00412B28">
        <w:rPr>
          <w:rFonts w:ascii="Times New Roman" w:hAnsi="Times New Roman" w:cs="Times New Roman"/>
          <w:iCs/>
          <w:sz w:val="24"/>
          <w:szCs w:val="24"/>
          <w:lang w:val="sr-Cyrl-CS"/>
        </w:rPr>
        <w:t>Dakle, sertifikat zelene gradnje je</w:t>
      </w:r>
      <w:r w:rsidRPr="00412B28">
        <w:rPr>
          <w:rFonts w:ascii="Times New Roman" w:eastAsia="Times New Roman" w:hAnsi="Times New Roman" w:cs="Times New Roman"/>
          <w:bCs/>
          <w:sz w:val="24"/>
          <w:szCs w:val="24"/>
          <w:lang w:val="sr-Cyrl-CS"/>
        </w:rPr>
        <w:t xml:space="preserve"> potvrda izdata od strane međunarodnog sistema za sertifikaciju zelenih zgrada, kojim se verifikuje da je objekat ispunio zadate kriterijume i služi za ocenjivanje kvaliteta i stepena ispunjenosti kriterijuma zelene gradnje;</w:t>
      </w:r>
    </w:p>
    <w:p w14:paraId="4D1516EB"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Predlogom</w:t>
      </w:r>
      <w:r w:rsidRPr="00412B28">
        <w:rPr>
          <w:rFonts w:ascii="Times New Roman" w:eastAsia="Times New Roman" w:hAnsi="Times New Roman" w:cs="Times New Roman"/>
          <w:sz w:val="24"/>
          <w:szCs w:val="24"/>
          <w:lang w:val="sr-Cyrl-CS"/>
        </w:rPr>
        <w:t xml:space="preserve"> izmena i dopuna Zakona, A</w:t>
      </w:r>
      <w:r w:rsidRPr="00412B28">
        <w:rPr>
          <w:rFonts w:ascii="Times New Roman" w:eastAsia="Times New Roman" w:hAnsi="Times New Roman" w:cs="Times New Roman"/>
          <w:sz w:val="24"/>
          <w:szCs w:val="24"/>
        </w:rPr>
        <w:t>gencija za prostorno planiranje</w:t>
      </w:r>
      <w:r w:rsidRPr="00412B28">
        <w:rPr>
          <w:rFonts w:ascii="Times New Roman" w:eastAsia="Times New Roman" w:hAnsi="Times New Roman" w:cs="Times New Roman"/>
          <w:sz w:val="24"/>
          <w:szCs w:val="24"/>
          <w:lang w:val="sr-Cyrl-CS"/>
        </w:rPr>
        <w:t xml:space="preserve">  i urbanizam Republike Srbije izdaje odnosno potvrđuje sertifikate zelene gradnje.</w:t>
      </w:r>
    </w:p>
    <w:p w14:paraId="3D1D09D1" w14:textId="77777777" w:rsidR="00EA2B24" w:rsidRPr="00412B28" w:rsidRDefault="00EA2B24" w:rsidP="00CB41F0">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Vlad</w:t>
      </w:r>
      <w:r w:rsidRPr="00412B28">
        <w:rPr>
          <w:rFonts w:ascii="Times New Roman" w:eastAsia="Times New Roman" w:hAnsi="Times New Roman" w:cs="Times New Roman"/>
          <w:sz w:val="24"/>
          <w:szCs w:val="24"/>
          <w:lang w:val="sr-Latn-RS"/>
        </w:rPr>
        <w:t>a</w:t>
      </w:r>
      <w:r w:rsidRPr="00412B28">
        <w:rPr>
          <w:rFonts w:ascii="Times New Roman" w:eastAsia="Times New Roman" w:hAnsi="Times New Roman" w:cs="Times New Roman"/>
          <w:sz w:val="24"/>
          <w:szCs w:val="24"/>
        </w:rPr>
        <w:t>/</w:t>
      </w:r>
      <w:r w:rsidRPr="00412B28">
        <w:rPr>
          <w:rFonts w:ascii="Times New Roman" w:eastAsia="Times New Roman" w:hAnsi="Times New Roman" w:cs="Times New Roman"/>
          <w:sz w:val="24"/>
          <w:szCs w:val="24"/>
          <w:lang w:val="sr-Cyrl-RS"/>
        </w:rPr>
        <w:t>Minstar</w:t>
      </w:r>
      <w:r w:rsidRPr="00412B28">
        <w:rPr>
          <w:rFonts w:ascii="Times New Roman" w:eastAsia="Times New Roman" w:hAnsi="Times New Roman" w:cs="Times New Roman"/>
          <w:sz w:val="24"/>
          <w:szCs w:val="24"/>
          <w:lang w:val="sr-Cyrl-CS"/>
        </w:rPr>
        <w:t>, podzakonskim aktom, prema klasi i nameni objekta, propisuje vrstu međunarodnih komercijalnih sistema sertifikacije zelene gradnje koje je moguće primeniti, vrstu objekata i rok u kome je obavezno pribavljanje i priznavanje sertifikata zelene gradnje, sadržinu zahteva za utvrđivanje ispunjenosti tih uslova, postupak priznavanja sertifikata zelene gradnje, kao i izgled i sadržinu rešenja kojim se priznaje sertifikat zelene gradnje.</w:t>
      </w:r>
    </w:p>
    <w:p w14:paraId="1E0E659A"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eastAsia="Times New Roman" w:hAnsi="Times New Roman" w:cs="Times New Roman"/>
          <w:sz w:val="24"/>
          <w:szCs w:val="24"/>
          <w:lang w:val="sr-Cyrl-CS"/>
        </w:rPr>
        <w:t>Dakle, detalji povezani sa administrativnim postupkom dobijanja sertifikata zelene gradnje biti utvrđeni podzakonskim aktom koji će biti donet po usvajanju izmena i dopuna Zakona o planiranju i izgradnji</w:t>
      </w:r>
    </w:p>
    <w:p w14:paraId="295C9425"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Rešenja povezana sa </w:t>
      </w:r>
      <w:r w:rsidRPr="00412B28">
        <w:rPr>
          <w:rFonts w:ascii="Times New Roman" w:hAnsi="Times New Roman" w:cs="Times New Roman"/>
          <w:b/>
          <w:bCs/>
          <w:sz w:val="24"/>
          <w:szCs w:val="24"/>
        </w:rPr>
        <w:t>elektromobiln</w:t>
      </w:r>
      <w:r w:rsidRPr="00412B28">
        <w:rPr>
          <w:rFonts w:ascii="Times New Roman" w:hAnsi="Times New Roman" w:cs="Times New Roman"/>
          <w:b/>
          <w:bCs/>
          <w:sz w:val="24"/>
          <w:szCs w:val="24"/>
          <w:lang w:val="sr-Cyrl-RS"/>
        </w:rPr>
        <w:t>ošću ukazuju na značaj i potrebu razvoja ovog segmenta, u saobraćajnom i urbanističkom smislu.</w:t>
      </w:r>
    </w:p>
    <w:p w14:paraId="5FAC290E" w14:textId="77777777" w:rsidR="00EA2B24" w:rsidRPr="00412B28" w:rsidRDefault="00EA2B24" w:rsidP="00CB41F0">
      <w:pPr>
        <w:pStyle w:val="ListParagraph"/>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društveno bogatstvo i njegovu raspodelu i na koji način?</w:t>
      </w:r>
    </w:p>
    <w:p w14:paraId="6AAFE137" w14:textId="77777777" w:rsidR="00EA2B24" w:rsidRPr="00412B28" w:rsidRDefault="00EA2B24" w:rsidP="00CB41F0">
      <w:pPr>
        <w:pStyle w:val="ListParagraph"/>
        <w:shd w:val="clear" w:color="auto" w:fill="C6D9F1" w:themeFill="text2" w:themeFillTint="33"/>
        <w:spacing w:before="240" w:after="0" w:line="276" w:lineRule="auto"/>
        <w:jc w:val="both"/>
        <w:rPr>
          <w:rFonts w:ascii="Times New Roman" w:hAnsi="Times New Roman" w:cs="Times New Roman"/>
          <w:sz w:val="24"/>
          <w:szCs w:val="24"/>
        </w:rPr>
      </w:pPr>
    </w:p>
    <w:p w14:paraId="785FE0BB" w14:textId="77777777" w:rsidR="00EA2B24" w:rsidRPr="00412B28" w:rsidRDefault="00EA2B24" w:rsidP="00CB41F0">
      <w:pPr>
        <w:pStyle w:val="ListParagraph"/>
        <w:shd w:val="clear" w:color="auto" w:fill="C6D9F1" w:themeFill="text2" w:themeFillTint="33"/>
        <w:spacing w:before="240" w:after="0" w:line="276" w:lineRule="auto"/>
        <w:jc w:val="both"/>
        <w:rPr>
          <w:rFonts w:ascii="Times New Roman" w:hAnsi="Times New Roman" w:cs="Times New Roman"/>
          <w:b/>
          <w:bCs/>
          <w:sz w:val="24"/>
          <w:szCs w:val="24"/>
        </w:rPr>
      </w:pPr>
      <w:r w:rsidRPr="00412B28">
        <w:rPr>
          <w:rFonts w:ascii="Times New Roman" w:hAnsi="Times New Roman" w:cs="Times New Roman"/>
          <w:b/>
          <w:bCs/>
          <w:sz w:val="24"/>
          <w:szCs w:val="24"/>
          <w:lang w:val="sr-Cyrl-RS"/>
        </w:rPr>
        <w:t>Potencijalni ekonomski efekti ovog Zakona mogu imati pozitivne posledice na rast BDP proizvoda Srbije, nacionalnog dohotka i nacionalnog dohotka per kapita, samim tim i na ukupno društveno bogatstvo. Posebne benefite mogu ostvariti zaposleni u građevinskoj industriji i granama povezanim sa građevinskom industrijom.</w:t>
      </w:r>
      <w:r w:rsidRPr="00412B28">
        <w:rPr>
          <w:rFonts w:ascii="Times New Roman" w:hAnsi="Times New Roman" w:cs="Times New Roman"/>
          <w:b/>
          <w:bCs/>
          <w:sz w:val="24"/>
          <w:szCs w:val="24"/>
        </w:rPr>
        <w:t xml:space="preserve"> </w:t>
      </w:r>
    </w:p>
    <w:p w14:paraId="113D596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rPr>
        <w:t xml:space="preserve">Izmene i dopune Zakona o planiranju i izgradnji koje za cilj imaju </w:t>
      </w:r>
      <w:r w:rsidRPr="00412B28">
        <w:rPr>
          <w:rFonts w:ascii="Times New Roman" w:hAnsi="Times New Roman" w:cs="Times New Roman"/>
          <w:b/>
          <w:bCs/>
          <w:sz w:val="24"/>
          <w:szCs w:val="24"/>
        </w:rPr>
        <w:t>unapređenje</w:t>
      </w:r>
      <w:r w:rsidRPr="00412B28">
        <w:rPr>
          <w:rFonts w:ascii="Times New Roman" w:hAnsi="Times New Roman" w:cs="Times New Roman"/>
          <w:b/>
          <w:bCs/>
          <w:sz w:val="24"/>
          <w:szCs w:val="24"/>
          <w:lang w:val="sr-Cyrl-RS"/>
        </w:rPr>
        <w:t xml:space="preserve"> i</w:t>
      </w:r>
      <w:r w:rsidRPr="00412B28">
        <w:rPr>
          <w:b/>
          <w:bCs/>
        </w:rPr>
        <w:t xml:space="preserve"> </w:t>
      </w:r>
      <w:r w:rsidRPr="00412B28">
        <w:rPr>
          <w:rFonts w:ascii="Times New Roman" w:hAnsi="Times New Roman" w:cs="Times New Roman"/>
          <w:b/>
          <w:bCs/>
          <w:sz w:val="24"/>
          <w:szCs w:val="24"/>
        </w:rPr>
        <w:t>pojednostavljenje procedura</w:t>
      </w:r>
      <w:r w:rsidRPr="00412B28">
        <w:rPr>
          <w:rFonts w:ascii="Times New Roman" w:hAnsi="Times New Roman" w:cs="Times New Roman"/>
          <w:sz w:val="24"/>
          <w:szCs w:val="24"/>
          <w:lang w:val="sr-Cyrl-RS"/>
        </w:rPr>
        <w:t xml:space="preserve"> dovešće </w:t>
      </w:r>
      <w:r w:rsidRPr="00412B28">
        <w:rPr>
          <w:rFonts w:ascii="Times New Roman" w:hAnsi="Times New Roman" w:cs="Times New Roman"/>
          <w:sz w:val="24"/>
          <w:szCs w:val="24"/>
        </w:rPr>
        <w:t>do povećanja obima građevinskih radova za 1,220,000 m2</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što će doprineti rastu</w:t>
      </w:r>
      <w:r w:rsidRPr="00412B28">
        <w:rPr>
          <w:rFonts w:ascii="Times New Roman" w:hAnsi="Times New Roman" w:cs="Times New Roman"/>
          <w:sz w:val="24"/>
          <w:szCs w:val="24"/>
          <w:lang w:val="sr-Cyrl-RS"/>
        </w:rPr>
        <w:t xml:space="preserve"> vrednosti</w:t>
      </w:r>
      <w:r w:rsidRPr="00412B28">
        <w:rPr>
          <w:rFonts w:ascii="Times New Roman" w:hAnsi="Times New Roman" w:cs="Times New Roman"/>
          <w:sz w:val="24"/>
          <w:szCs w:val="24"/>
        </w:rPr>
        <w:t xml:space="preserve"> izvedenih građevinskih radova za </w:t>
      </w:r>
      <w:r w:rsidRPr="00412B28">
        <w:rPr>
          <w:rFonts w:ascii="Times New Roman" w:hAnsi="Times New Roman" w:cs="Times New Roman"/>
          <w:b/>
          <w:bCs/>
          <w:sz w:val="24"/>
          <w:szCs w:val="24"/>
          <w:u w:val="single"/>
        </w:rPr>
        <w:t>99,784,680,22</w:t>
      </w:r>
      <w:r w:rsidRPr="00412B28">
        <w:rPr>
          <w:rFonts w:ascii="Times New Roman" w:hAnsi="Times New Roman" w:cs="Times New Roman"/>
          <w:b/>
          <w:bCs/>
          <w:sz w:val="24"/>
          <w:szCs w:val="24"/>
          <w:u w:val="single"/>
          <w:lang w:val="sr-Cyrl-RS"/>
        </w:rPr>
        <w:t>5 dinara</w:t>
      </w:r>
      <w:r w:rsidRPr="00412B28">
        <w:rPr>
          <w:rFonts w:ascii="Times New Roman" w:hAnsi="Times New Roman" w:cs="Times New Roman"/>
          <w:sz w:val="24"/>
          <w:szCs w:val="24"/>
          <w:lang w:val="sr-Cyrl-RS"/>
        </w:rPr>
        <w:t xml:space="preserve">. Po osnovu prometa nekretnina, privredni subjekti će ostvariti procenjeni profit od </w:t>
      </w:r>
      <w:r w:rsidRPr="00412B28">
        <w:rPr>
          <w:rFonts w:ascii="Times New Roman" w:hAnsi="Times New Roman" w:cs="Times New Roman"/>
          <w:b/>
          <w:bCs/>
          <w:sz w:val="24"/>
          <w:szCs w:val="24"/>
          <w:u w:val="single"/>
          <w:lang w:val="sr-Cyrl-RS"/>
        </w:rPr>
        <w:t>69,175,828,073 dinara.</w:t>
      </w:r>
    </w:p>
    <w:p w14:paraId="799B7472"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Procenjen broj novozaposlenih iznosi 24,406 radnika, kojima će, na ime zarada, biti isplaćeno procenjenih </w:t>
      </w:r>
      <w:r w:rsidRPr="00412B28">
        <w:rPr>
          <w:rFonts w:ascii="Times New Roman" w:hAnsi="Times New Roman" w:cs="Times New Roman"/>
          <w:b/>
          <w:bCs/>
          <w:sz w:val="24"/>
          <w:szCs w:val="24"/>
          <w:u w:val="single"/>
          <w:lang w:val="sr-Cyrl-RS"/>
        </w:rPr>
        <w:t>18,887,302,284 dinara.</w:t>
      </w:r>
    </w:p>
    <w:p w14:paraId="5BCF23D0"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Prenos nadležnosti izdavanja informacije o lokaciji na </w:t>
      </w:r>
      <w:r w:rsidRPr="00412B28">
        <w:rPr>
          <w:rFonts w:ascii="Times New Roman" w:hAnsi="Times New Roman" w:cs="Times New Roman"/>
          <w:b/>
          <w:bCs/>
          <w:sz w:val="24"/>
          <w:szCs w:val="24"/>
          <w:lang w:val="sr-Cyrl-RS"/>
        </w:rPr>
        <w:t xml:space="preserve">javne beležnike i druga pravna lica doprineće porastu prihoda ovih pravnih lica za procenjenih </w:t>
      </w:r>
      <w:r w:rsidRPr="00412B28">
        <w:rPr>
          <w:rFonts w:ascii="Times New Roman" w:hAnsi="Times New Roman" w:cs="Times New Roman"/>
          <w:b/>
          <w:bCs/>
          <w:sz w:val="24"/>
          <w:szCs w:val="24"/>
          <w:u w:val="single"/>
          <w:lang w:val="sr-Cyrl-RS"/>
        </w:rPr>
        <w:t>105,495,000 dinara godišnje.</w:t>
      </w:r>
    </w:p>
    <w:p w14:paraId="349DB9B5"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lastRenderedPageBreak/>
        <w:t>Ukidanja Zakona o konverziji uz naknadu određenoj kategoriji lica tiče</w:t>
      </w:r>
      <w:r w:rsidRPr="00412B28">
        <w:rPr>
          <w:rFonts w:ascii="Times New Roman" w:hAnsi="Times New Roman" w:cs="Times New Roman"/>
          <w:sz w:val="24"/>
          <w:szCs w:val="24"/>
          <w:lang w:val="sr-Cyrl-RS"/>
        </w:rPr>
        <w:t xml:space="preserve">, aproksimativno će dovesti do ''oslobađanja'' odgovarajućeg obima građevinskog zemljišta za izgradnju, što potencijalno, u dugom roku, može dovesti do izgradnje objekata površine oko </w:t>
      </w:r>
      <w:r w:rsidRPr="00412B28">
        <w:rPr>
          <w:rFonts w:ascii="Times New Roman" w:hAnsi="Times New Roman" w:cs="Times New Roman"/>
          <w:b/>
          <w:bCs/>
          <w:sz w:val="24"/>
          <w:szCs w:val="24"/>
          <w:lang w:val="sr-Cyrl-RS"/>
        </w:rPr>
        <w:t>15,000,000 m</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b/>
          <w:bCs/>
          <w:sz w:val="24"/>
          <w:szCs w:val="24"/>
          <w:lang w:val="sr-Cyrl-RS"/>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 xml:space="preserve">Uz pretpostavku da će tržišni uslovi biti takvi da podstaknu građevinski sektor da se predmetna izgradnja ostvari u punom obimu, procena je da će ista, u dugom roku, dovesti do rasta vrednosti izvedenih građevinskih radova za </w:t>
      </w:r>
      <w:r w:rsidRPr="00412B28">
        <w:rPr>
          <w:rFonts w:ascii="Times New Roman" w:hAnsi="Times New Roman" w:cs="Times New Roman"/>
          <w:b/>
          <w:bCs/>
          <w:sz w:val="24"/>
          <w:szCs w:val="24"/>
          <w:u w:val="single"/>
        </w:rPr>
        <w:t>1,233,750,000,000</w:t>
      </w:r>
      <w:r w:rsidRPr="00412B28">
        <w:rPr>
          <w:rFonts w:ascii="Times New Roman" w:hAnsi="Times New Roman" w:cs="Times New Roman"/>
          <w:b/>
          <w:bCs/>
          <w:sz w:val="24"/>
          <w:szCs w:val="24"/>
          <w:u w:val="single"/>
          <w:lang w:val="sr-Cyrl-RS"/>
        </w:rPr>
        <w:t xml:space="preserve"> dinara.</w:t>
      </w:r>
      <w:r w:rsidRPr="00412B28">
        <w:rPr>
          <w:rFonts w:ascii="Times New Roman" w:hAnsi="Times New Roman" w:cs="Times New Roman"/>
          <w:b/>
          <w:bCs/>
          <w:sz w:val="24"/>
          <w:szCs w:val="24"/>
          <w:lang w:val="sr-Cyrl-RS"/>
        </w:rPr>
        <w:t xml:space="preserve"> Prodaja pomenutih objekata, za rezultat će imati uvećanje dobiti privrednih subjekata za </w:t>
      </w:r>
      <w:r w:rsidRPr="00412B28">
        <w:rPr>
          <w:rFonts w:ascii="Times New Roman" w:hAnsi="Times New Roman" w:cs="Times New Roman"/>
          <w:b/>
          <w:bCs/>
          <w:sz w:val="24"/>
          <w:szCs w:val="24"/>
          <w:u w:val="single"/>
          <w:lang w:val="sr-Cyrl-RS"/>
        </w:rPr>
        <w:t>846,000,000,000 dinara</w:t>
      </w:r>
      <w:r w:rsidRPr="00412B28">
        <w:rPr>
          <w:rFonts w:ascii="Times New Roman" w:hAnsi="Times New Roman" w:cs="Times New Roman"/>
          <w:sz w:val="24"/>
          <w:szCs w:val="24"/>
          <w:u w:val="single"/>
          <w:lang w:val="sr-Cyrl-RS"/>
        </w:rPr>
        <w:t>.</w:t>
      </w:r>
      <w:r w:rsidRPr="00412B28">
        <w:rPr>
          <w:rFonts w:ascii="Times New Roman" w:hAnsi="Times New Roman" w:cs="Times New Roman"/>
          <w:sz w:val="24"/>
          <w:szCs w:val="24"/>
          <w:lang w:val="sr-Cyrl-RS"/>
        </w:rPr>
        <w:t xml:space="preserve"> </w:t>
      </w:r>
    </w:p>
    <w:p w14:paraId="21EA11BF"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Aproksimacija je da će izgradnja objekata ovog obima direktno i indirektno </w:t>
      </w:r>
      <w:r w:rsidRPr="00412B28">
        <w:rPr>
          <w:rFonts w:ascii="Times New Roman" w:hAnsi="Times New Roman" w:cs="Times New Roman"/>
          <w:b/>
          <w:bCs/>
          <w:sz w:val="24"/>
          <w:szCs w:val="24"/>
          <w:lang w:val="sr-Cyrl-RS"/>
        </w:rPr>
        <w:t xml:space="preserve">uposliti oko 300,000 radnika, kojima će, na ime zarada, biti isplaćeno procenjenih </w:t>
      </w:r>
      <w:r w:rsidRPr="00412B28">
        <w:rPr>
          <w:rFonts w:ascii="Times New Roman" w:hAnsi="Times New Roman" w:cs="Times New Roman"/>
          <w:b/>
          <w:bCs/>
          <w:sz w:val="24"/>
          <w:szCs w:val="24"/>
          <w:u w:val="single"/>
          <w:lang w:val="sr-Cyrl-RS"/>
        </w:rPr>
        <w:t>628,155,000,000</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dinara.</w:t>
      </w:r>
    </w:p>
    <w:p w14:paraId="2BB7A0AF" w14:textId="77777777" w:rsidR="00EA2B24" w:rsidRPr="00412B28" w:rsidRDefault="00EA2B24" w:rsidP="00CB41F0">
      <w:pPr>
        <w:pStyle w:val="ListParagraph"/>
        <w:shd w:val="clear" w:color="auto" w:fill="C6D9F1" w:themeFill="text2" w:themeFillTint="33"/>
        <w:spacing w:before="240" w:after="0" w:line="276" w:lineRule="auto"/>
        <w:jc w:val="both"/>
        <w:rPr>
          <w:rFonts w:ascii="Times New Roman" w:hAnsi="Times New Roman" w:cs="Times New Roman"/>
          <w:b/>
          <w:bCs/>
          <w:sz w:val="24"/>
          <w:szCs w:val="24"/>
        </w:rPr>
      </w:pPr>
    </w:p>
    <w:p w14:paraId="3E9C1A50" w14:textId="77777777" w:rsidR="00EA2B24" w:rsidRPr="00412B28" w:rsidRDefault="00EA2B24" w:rsidP="00CB41F0">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Kakve </w:t>
      </w:r>
      <w:r w:rsidRPr="00412B28">
        <w:rPr>
          <w:rFonts w:ascii="Times New Roman" w:hAnsi="Times New Roman" w:cs="Times New Roman"/>
          <w:sz w:val="24"/>
          <w:szCs w:val="24"/>
          <w:lang w:val="sr-Cyrl-RS"/>
        </w:rPr>
        <w:t>će</w:t>
      </w:r>
      <w:r w:rsidRPr="00412B28">
        <w:rPr>
          <w:rFonts w:ascii="Times New Roman" w:hAnsi="Times New Roman" w:cs="Times New Roman"/>
          <w:sz w:val="24"/>
          <w:szCs w:val="24"/>
        </w:rPr>
        <w:t xml:space="preserve"> efekte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ima</w:t>
      </w:r>
      <w:r w:rsidRPr="00412B28">
        <w:rPr>
          <w:rFonts w:ascii="Times New Roman" w:hAnsi="Times New Roman" w:cs="Times New Roman"/>
          <w:sz w:val="24"/>
          <w:szCs w:val="24"/>
          <w:lang w:val="sr-Cyrl-RS"/>
        </w:rPr>
        <w:t>ti</w:t>
      </w:r>
      <w:r w:rsidRPr="00412B28">
        <w:rPr>
          <w:rFonts w:ascii="Times New Roman" w:hAnsi="Times New Roman" w:cs="Times New Roman"/>
          <w:sz w:val="24"/>
          <w:szCs w:val="24"/>
        </w:rPr>
        <w:t xml:space="preserve"> na kvalitet i status radne snage (prava, obaveze i odgovornosti), kao i prava, obaveze i odgovornosti poslodavaca?</w:t>
      </w:r>
    </w:p>
    <w:p w14:paraId="05AA4682"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efekata.</w:t>
      </w:r>
    </w:p>
    <w:p w14:paraId="705F9BBA" w14:textId="77777777" w:rsidR="00EA2B24" w:rsidRPr="00412B28" w:rsidRDefault="00EA2B24" w:rsidP="00CB41F0">
      <w:pPr>
        <w:spacing w:after="200" w:line="276" w:lineRule="auto"/>
        <w:rPr>
          <w:rFonts w:ascii="Times New Roman" w:hAnsi="Times New Roman" w:cs="Times New Roman"/>
          <w:b/>
          <w:sz w:val="24"/>
          <w:szCs w:val="24"/>
          <w:u w:val="single"/>
        </w:rPr>
      </w:pPr>
    </w:p>
    <w:p w14:paraId="1EE618BF" w14:textId="77777777" w:rsidR="00EA2B24" w:rsidRPr="00412B28" w:rsidRDefault="00EA2B24" w:rsidP="00CB41F0">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t>PRILOG 7:</w:t>
      </w:r>
    </w:p>
    <w:p w14:paraId="7C5019B2" w14:textId="77777777" w:rsidR="00EA2B24" w:rsidRPr="00412B28" w:rsidRDefault="00EA2B24" w:rsidP="00CB41F0">
      <w:pPr>
        <w:pStyle w:val="ListParagraph"/>
        <w:spacing w:before="240" w:line="276" w:lineRule="auto"/>
        <w:jc w:val="right"/>
        <w:rPr>
          <w:rFonts w:ascii="Times New Roman" w:hAnsi="Times New Roman" w:cs="Times New Roman"/>
          <w:sz w:val="24"/>
          <w:szCs w:val="24"/>
        </w:rPr>
      </w:pPr>
    </w:p>
    <w:p w14:paraId="27F6B85A"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analizu efekata na društvo</w:t>
      </w:r>
    </w:p>
    <w:p w14:paraId="3F0B23BF" w14:textId="77777777" w:rsidR="00EA2B24" w:rsidRPr="00412B28" w:rsidRDefault="00EA2B24" w:rsidP="00CB41F0">
      <w:pPr>
        <w:pStyle w:val="ListParagraph"/>
        <w:numPr>
          <w:ilvl w:val="0"/>
          <w:numId w:val="6"/>
        </w:numPr>
        <w:shd w:val="clear" w:color="auto" w:fill="C6D9F1" w:themeFill="text2" w:themeFillTint="33"/>
        <w:spacing w:before="240" w:after="0" w:line="276" w:lineRule="auto"/>
        <w:ind w:left="714" w:hanging="357"/>
        <w:jc w:val="both"/>
        <w:rPr>
          <w:rFonts w:ascii="Times New Roman" w:hAnsi="Times New Roman" w:cs="Times New Roman"/>
          <w:sz w:val="24"/>
          <w:szCs w:val="24"/>
        </w:rPr>
      </w:pPr>
      <w:r w:rsidRPr="00412B28">
        <w:rPr>
          <w:rFonts w:ascii="Times New Roman" w:hAnsi="Times New Roman" w:cs="Times New Roman"/>
          <w:sz w:val="24"/>
          <w:szCs w:val="24"/>
        </w:rPr>
        <w:t xml:space="preserve">Kolike troškove i koristi (materijalne i nematerijalne) </w:t>
      </w:r>
      <w:r w:rsidRPr="00412B28">
        <w:rPr>
          <w:rFonts w:ascii="Times New Roman" w:hAnsi="Times New Roman" w:cs="Times New Roman"/>
          <w:sz w:val="24"/>
          <w:szCs w:val="24"/>
          <w:lang w:val="sr-Cyrl-RS"/>
        </w:rPr>
        <w:t>će</w:t>
      </w:r>
      <w:r w:rsidRPr="00412B28">
        <w:rPr>
          <w:rFonts w:ascii="Times New Roman" w:hAnsi="Times New Roman" w:cs="Times New Roman"/>
          <w:sz w:val="24"/>
          <w:szCs w:val="24"/>
        </w:rPr>
        <w:t xml:space="preserve">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prouzrokova</w:t>
      </w:r>
      <w:r w:rsidRPr="00412B28">
        <w:rPr>
          <w:rFonts w:ascii="Times New Roman" w:hAnsi="Times New Roman" w:cs="Times New Roman"/>
          <w:sz w:val="24"/>
          <w:szCs w:val="24"/>
          <w:lang w:val="sr-Cyrl-RS"/>
        </w:rPr>
        <w:t>ti</w:t>
      </w:r>
      <w:r w:rsidRPr="00412B28">
        <w:rPr>
          <w:rFonts w:ascii="Times New Roman" w:hAnsi="Times New Roman" w:cs="Times New Roman"/>
          <w:sz w:val="24"/>
          <w:szCs w:val="24"/>
        </w:rPr>
        <w:t xml:space="preserve"> građanima?</w:t>
      </w:r>
    </w:p>
    <w:p w14:paraId="29672211" w14:textId="77777777" w:rsidR="00EA2B24" w:rsidRPr="00412B28" w:rsidRDefault="00EA2B24" w:rsidP="00CB41F0">
      <w:pPr>
        <w:shd w:val="clear" w:color="auto" w:fill="C6D9F1" w:themeFill="text2" w:themeFillTint="33"/>
        <w:spacing w:before="240" w:after="0" w:line="276" w:lineRule="auto"/>
        <w:ind w:left="357"/>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Nema efekata po osnovu troškova. </w:t>
      </w:r>
      <w:bookmarkStart w:id="1" w:name="_Hlk125440038"/>
      <w:r w:rsidRPr="00412B28">
        <w:rPr>
          <w:rFonts w:ascii="Times New Roman" w:hAnsi="Times New Roman" w:cs="Times New Roman"/>
          <w:b/>
          <w:bCs/>
          <w:sz w:val="24"/>
          <w:szCs w:val="24"/>
          <w:lang w:val="sr-Cyrl-RS"/>
        </w:rPr>
        <w:t>Aproksimacija je da će povećanje izgrađenih površina direktno i indirektno uposliti oko 324,406 radnika, kojima će, na ime zarada, biti isplaćeno procenjenih 647,042,302,284 dinara.</w:t>
      </w:r>
      <w:bookmarkEnd w:id="1"/>
    </w:p>
    <w:p w14:paraId="7492AB2F" w14:textId="77777777" w:rsidR="00EA2B24" w:rsidRPr="00412B28" w:rsidRDefault="00EA2B24" w:rsidP="00CB41F0">
      <w:pPr>
        <w:shd w:val="clear" w:color="auto" w:fill="C6D9F1" w:themeFill="text2" w:themeFillTint="33"/>
        <w:spacing w:before="240" w:after="0" w:line="276" w:lineRule="auto"/>
        <w:ind w:left="357"/>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Što se nematerijalnih benefita tiče, Zakonskim rešenjima dodatno se uvodi red u oblasti prostornog i urbanističkog planiranja na teritoriji Republike Srbije što će </w:t>
      </w:r>
      <w:r w:rsidRPr="00412B28">
        <w:rPr>
          <w:rFonts w:ascii="Times New Roman" w:hAnsi="Times New Roman" w:cs="Times New Roman"/>
          <w:b/>
          <w:bCs/>
          <w:sz w:val="24"/>
          <w:szCs w:val="24"/>
          <w:lang w:val="sr-Cyrl-RS"/>
        </w:rPr>
        <w:t>po više osnova dovesti do poboljšanja kvaliteta života ljudi</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Takođe, uvođenje elemenata Zelene agende za rezultat ima poboljšanje kvaliteta života građana usled poboljšanja kvaliteta životne sredine, smanjenog zagađenja i pozitivnog uticaja na zdravlje ljudi</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Dalje, uvođenjem odredbi koje tretiraju pitanja zaštite na zaštićenim prirodnim i kulturnim područjima, uvođenjem odredbi kojima je predviđeno da  Vlada donosi prostorni plan područja posebne namene sprečava se devastacije prostora, što takođe ima pozitivne efekte na život građana.</w:t>
      </w:r>
    </w:p>
    <w:p w14:paraId="39BE0F14" w14:textId="77777777" w:rsidR="00EA2B24" w:rsidRPr="00412B28" w:rsidRDefault="00EA2B24" w:rsidP="00CB41F0">
      <w:pPr>
        <w:shd w:val="clear" w:color="auto" w:fill="C6D9F1" w:themeFill="text2" w:themeFillTint="33"/>
        <w:spacing w:before="240" w:after="0" w:line="276"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
          <w:sz w:val="24"/>
          <w:szCs w:val="24"/>
          <w:lang w:val="sr-Cyrl-RS"/>
        </w:rPr>
        <w:lastRenderedPageBreak/>
        <w:t>O s</w:t>
      </w:r>
      <w:r w:rsidRPr="00412B28">
        <w:rPr>
          <w:rFonts w:ascii="Times New Roman" w:eastAsia="Times New Roman" w:hAnsi="Times New Roman" w:cs="Times New Roman"/>
          <w:b/>
          <w:sz w:val="24"/>
          <w:szCs w:val="24"/>
        </w:rPr>
        <w:t>ertifikat</w:t>
      </w:r>
      <w:r w:rsidRPr="00412B28">
        <w:rPr>
          <w:rFonts w:ascii="Times New Roman" w:eastAsia="Times New Roman" w:hAnsi="Times New Roman" w:cs="Times New Roman"/>
          <w:b/>
          <w:sz w:val="24"/>
          <w:szCs w:val="24"/>
          <w:lang w:val="sr-Cyrl-RS"/>
        </w:rPr>
        <w:t>u</w:t>
      </w:r>
      <w:r w:rsidRPr="00412B28">
        <w:rPr>
          <w:rFonts w:ascii="Times New Roman" w:eastAsia="Times New Roman" w:hAnsi="Times New Roman" w:cs="Times New Roman"/>
          <w:b/>
          <w:sz w:val="24"/>
          <w:szCs w:val="24"/>
        </w:rPr>
        <w:t xml:space="preserve"> o energetskim svojstvima zgrad</w:t>
      </w:r>
      <w:r w:rsidRPr="00412B28">
        <w:rPr>
          <w:rFonts w:ascii="Times New Roman" w:eastAsia="Times New Roman" w:hAnsi="Times New Roman" w:cs="Times New Roman"/>
          <w:b/>
          <w:sz w:val="24"/>
          <w:szCs w:val="24"/>
          <w:lang w:val="sr-Cyrl-RS"/>
        </w:rPr>
        <w:t xml:space="preserve">. </w:t>
      </w:r>
      <w:r w:rsidRPr="00412B28">
        <w:rPr>
          <w:rFonts w:ascii="Times New Roman" w:eastAsia="Times New Roman" w:hAnsi="Times New Roman" w:cs="Times New Roman"/>
          <w:bCs/>
          <w:sz w:val="24"/>
          <w:szCs w:val="24"/>
          <w:lang w:val="sr-Cyrl-RS"/>
        </w:rPr>
        <w:t xml:space="preserve">U pitanju je </w:t>
      </w:r>
      <w:r w:rsidRPr="00412B28">
        <w:rPr>
          <w:rFonts w:ascii="Times New Roman" w:eastAsia="Times New Roman" w:hAnsi="Times New Roman" w:cs="Times New Roman"/>
          <w:bCs/>
          <w:sz w:val="24"/>
          <w:szCs w:val="24"/>
        </w:rPr>
        <w:t>dokument koji prikazuje energetska svojstva zgrade, ima propisani sadržaj, izgled, uslove i način izdavanja i izdat je kroz Centralni registar energetskih pasoša (CREP</w:t>
      </w:r>
      <w:r w:rsidRPr="00412B28">
        <w:rPr>
          <w:rFonts w:ascii="Times New Roman" w:eastAsia="Times New Roman" w:hAnsi="Times New Roman" w:cs="Times New Roman"/>
          <w:bCs/>
          <w:sz w:val="24"/>
          <w:szCs w:val="24"/>
          <w:lang w:val="sr-Cyrl-RS"/>
        </w:rPr>
        <w:t>)</w:t>
      </w:r>
      <w:r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lang w:val="sr-Cyrl-RS"/>
        </w:rPr>
        <w:t>koji vodi Ministarstvo građevinarstva, saobraćaja i infrastrukture.</w:t>
      </w:r>
    </w:p>
    <w:p w14:paraId="4B554669" w14:textId="77777777" w:rsidR="00EA2B24" w:rsidRPr="00412B28" w:rsidRDefault="00EA2B24" w:rsidP="00CB41F0">
      <w:pPr>
        <w:shd w:val="clear" w:color="auto" w:fill="C6D9F1" w:themeFill="text2" w:themeFillTint="33"/>
        <w:spacing w:before="240" w:after="0" w:line="276"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i/>
          <w:iCs/>
          <w:sz w:val="24"/>
          <w:szCs w:val="24"/>
        </w:rPr>
        <w:t>Centralni registar energetskih pasoša (CREP)</w:t>
      </w:r>
      <w:r w:rsidRPr="00412B28">
        <w:rPr>
          <w:rFonts w:ascii="Times New Roman" w:eastAsia="Times New Roman" w:hAnsi="Times New Roman" w:cs="Times New Roman"/>
          <w:bCs/>
          <w:sz w:val="24"/>
          <w:szCs w:val="24"/>
        </w:rPr>
        <w:t> je informacioni sistem preko koga se vrši izdavanje sertifikata o energetskim svojstvima zgrada i u kojem se vode baze podataka o ovlašćenim organizacijama koje ispunjavaju propisane uslove za izdavanje sertifikata, odgovornim inženjerima za energetsku efikasnost zgrada koji su zaposleni u tim organizacijama i izdatim sertifikatima o energetskim svojstvima zgrada.</w:t>
      </w:r>
    </w:p>
    <w:p w14:paraId="217B0350"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Sertifikat o energetskim svojstvima zgrada čini sastavni deo tehničke dokumentacije koja se prilaže uz zahtev za izdavanje upotrebne dozvole.</w:t>
      </w:r>
    </w:p>
    <w:p w14:paraId="073ACD63"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p>
    <w:p w14:paraId="75E600B7" w14:textId="77777777" w:rsidR="00EA2B24" w:rsidRPr="00412B28" w:rsidRDefault="00EA2B24" w:rsidP="00CB41F0">
      <w:pPr>
        <w:pStyle w:val="Normal1"/>
        <w:shd w:val="clear" w:color="auto" w:fill="FFFFFF"/>
        <w:spacing w:before="0" w:beforeAutospacing="0" w:after="150" w:afterAutospacing="0"/>
        <w:ind w:left="357"/>
        <w:rPr>
          <w:bCs/>
        </w:rPr>
      </w:pPr>
      <w:r w:rsidRPr="00412B28">
        <w:rPr>
          <w:bCs/>
        </w:rPr>
        <w:t>Ministar</w:t>
      </w:r>
      <w:r w:rsidRPr="00412B28">
        <w:rPr>
          <w:bCs/>
          <w:lang w:val="sr-Cyrl-RS"/>
        </w:rPr>
        <w:t xml:space="preserve"> nadležan za poslove građevinarstva </w:t>
      </w:r>
      <w:r w:rsidRPr="00412B28">
        <w:rPr>
          <w:bCs/>
        </w:rPr>
        <w:t>bliže propisuje</w:t>
      </w:r>
      <w:r w:rsidRPr="00412B28">
        <w:rPr>
          <w:bCs/>
          <w:lang w:val="sr-Cyrl-RS"/>
        </w:rPr>
        <w:t xml:space="preserve"> </w:t>
      </w:r>
      <w:r w:rsidRPr="00412B28">
        <w:rPr>
          <w:bCs/>
        </w:rPr>
        <w:t>energetska svojstva zgrada i način izračunavanja energetskih svojstava zgrada, energetske zahteve za nove i postojeće zgrade, uslove, sadržinu i način izdavanja sertifikata, kao i sadržinu i način vođenja Centralnog registra energetskih pasoša;</w:t>
      </w:r>
    </w:p>
    <w:p w14:paraId="13B65DB3" w14:textId="77777777" w:rsidR="00EA2B24" w:rsidRPr="00412B28" w:rsidRDefault="00EA2B24" w:rsidP="00CB41F0">
      <w:pPr>
        <w:shd w:val="clear" w:color="auto" w:fill="FFFFFF"/>
        <w:spacing w:after="0" w:line="240" w:lineRule="auto"/>
        <w:ind w:firstLine="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Sertifikati o energetskim svojstvima zgrade važe deset godina od dana izdavanja.</w:t>
      </w:r>
    </w:p>
    <w:p w14:paraId="5635612F" w14:textId="77777777" w:rsidR="00EA2B24" w:rsidRPr="00412B28" w:rsidRDefault="00EA2B24" w:rsidP="00CB41F0">
      <w:pPr>
        <w:shd w:val="clear" w:color="auto" w:fill="FFFFFF"/>
        <w:spacing w:after="0" w:line="240" w:lineRule="auto"/>
        <w:ind w:firstLine="357"/>
        <w:jc w:val="both"/>
        <w:rPr>
          <w:rFonts w:ascii="Times New Roman" w:eastAsia="Times New Roman" w:hAnsi="Times New Roman" w:cs="Times New Roman"/>
          <w:bCs/>
          <w:sz w:val="24"/>
          <w:szCs w:val="24"/>
        </w:rPr>
      </w:pPr>
    </w:p>
    <w:p w14:paraId="58DE3B03"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Sertifikat o energetskim svojstvima zgrade, odnosno njenog posebnog dela obavezno se prilaže prilikom overe ugovora o kupoprodaji nepokretnosti ili zaključenja ugovora o zakupu i čini njegov sastavni deo.</w:t>
      </w:r>
    </w:p>
    <w:p w14:paraId="608AD45B"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Sertifikat o energetskim svojstvima zgrade  koji je stariji od deset godina, ne može biti priložen prilikom overe ugovora o kupoprodaji nepokretnosti i zaključenja ugovora o zakupu.</w:t>
      </w:r>
    </w:p>
    <w:p w14:paraId="490180F9"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 xml:space="preserve">Nakon isteka roka važenja sertifikata o energetskim svojstvima zgrade za postojeću zgradu, odnosno poseban deo zgrade koji se prodaje ili daje u zakup, izrađuje se novi setrifikat o energetskim svojstvima kojim se utvrđuju energetska svojstva postojeće zgrade, bez obaveze povećanja energestkog razreda. </w:t>
      </w:r>
    </w:p>
    <w:p w14:paraId="59BDA919"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lang w:val="sr-Cyrl-CS"/>
        </w:rPr>
        <w:t>Prva strana sertifikata o energetskim svojstvima zgrade koja sadrži energetski razred zgrade, mora biti izložena na zgradama javne namene u javnoj svojini koje imaju neto površinu veću od 250 m</w:t>
      </w:r>
      <w:r w:rsidRPr="00412B28">
        <w:rPr>
          <w:rFonts w:ascii="Times New Roman" w:eastAsia="Times New Roman" w:hAnsi="Times New Roman" w:cs="Times New Roman"/>
          <w:bCs/>
          <w:sz w:val="24"/>
          <w:szCs w:val="24"/>
          <w:vertAlign w:val="superscript"/>
          <w:lang w:val="sr-Cyrl-CS"/>
        </w:rPr>
        <w:t>2</w:t>
      </w:r>
      <w:r w:rsidRPr="00412B28">
        <w:rPr>
          <w:rFonts w:ascii="Times New Roman" w:eastAsia="Times New Roman" w:hAnsi="Times New Roman" w:cs="Times New Roman"/>
          <w:bCs/>
          <w:sz w:val="24"/>
          <w:szCs w:val="24"/>
          <w:lang w:val="sr-Cyrl-CS"/>
        </w:rPr>
        <w:t>, na uočljivom i za javnost jasno vidljivom mestu.</w:t>
      </w:r>
    </w:p>
    <w:p w14:paraId="5C0CF959"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CS"/>
        </w:rPr>
      </w:pPr>
      <w:r w:rsidRPr="00412B28">
        <w:rPr>
          <w:rFonts w:ascii="Times New Roman" w:eastAsia="Times New Roman" w:hAnsi="Times New Roman" w:cs="Times New Roman"/>
          <w:bCs/>
          <w:sz w:val="24"/>
          <w:szCs w:val="24"/>
          <w:lang w:val="sr-Cyrl-CS"/>
        </w:rPr>
        <w:t>Prva strana sertifikata o energetskim svojstvima zgrade koja sadrži energetski razred zgrade, mora biti izložena na zgradama javne namene u privatnoj svojini koje imaju neto površinu veću od 500 m</w:t>
      </w:r>
      <w:r w:rsidRPr="00412B28">
        <w:rPr>
          <w:rFonts w:ascii="Times New Roman" w:eastAsia="Times New Roman" w:hAnsi="Times New Roman" w:cs="Times New Roman"/>
          <w:bCs/>
          <w:sz w:val="24"/>
          <w:szCs w:val="24"/>
          <w:vertAlign w:val="superscript"/>
          <w:lang w:val="sr-Cyrl-CS"/>
        </w:rPr>
        <w:t>2</w:t>
      </w:r>
      <w:r w:rsidRPr="00412B28">
        <w:rPr>
          <w:rFonts w:ascii="Times New Roman" w:eastAsia="Times New Roman" w:hAnsi="Times New Roman" w:cs="Times New Roman"/>
          <w:bCs/>
          <w:sz w:val="24"/>
          <w:szCs w:val="24"/>
          <w:lang w:val="sr-Cyrl-CS"/>
        </w:rPr>
        <w:t>, na uočljivom i za javnost jasno vidljivom mestu.</w:t>
      </w:r>
    </w:p>
    <w:p w14:paraId="78C6C04B"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CS"/>
        </w:rPr>
      </w:pPr>
    </w:p>
    <w:p w14:paraId="7BCBEBD6"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 xml:space="preserve">Energetski </w:t>
      </w:r>
      <w:r w:rsidRPr="00412B28">
        <w:rPr>
          <w:rFonts w:ascii="Times New Roman" w:eastAsia="Times New Roman" w:hAnsi="Times New Roman" w:cs="Times New Roman"/>
          <w:bCs/>
          <w:sz w:val="24"/>
          <w:szCs w:val="24"/>
          <w:lang w:val="sr-Cyrl-RS"/>
        </w:rPr>
        <w:t>sertifikat</w:t>
      </w:r>
      <w:r w:rsidRPr="00412B28">
        <w:rPr>
          <w:rFonts w:ascii="Times New Roman" w:eastAsia="Times New Roman" w:hAnsi="Times New Roman" w:cs="Times New Roman"/>
          <w:bCs/>
          <w:sz w:val="24"/>
          <w:szCs w:val="24"/>
        </w:rPr>
        <w:t xml:space="preserve"> na slikovit i razumljiv način daje energetsku ocenu zgrade. Njegova svrha je da svim korisnicima pruži informaciju o energetskim karakteristikama zgrade. Veoma često je ta ocena povezana sa troškovima za energiju i energente u zgradi. Osim što vlasnicima i potencijalnim kupcima ili zakupcima nekretnine pruža jasniju sliku o vrednosti, zahvaljujući energetskom pasošu mogu da vide i potrebna buduća ulaganja pri rekonstrukciji objekata. Energetski sertifikat sadrži </w:t>
      </w:r>
      <w:r w:rsidRPr="00412B28">
        <w:rPr>
          <w:rFonts w:ascii="Times New Roman" w:eastAsia="Times New Roman" w:hAnsi="Times New Roman" w:cs="Times New Roman"/>
          <w:bCs/>
          <w:sz w:val="24"/>
          <w:szCs w:val="24"/>
          <w:lang w:val="sr-Cyrl-RS"/>
        </w:rPr>
        <w:t>p</w:t>
      </w:r>
      <w:r w:rsidRPr="00412B28">
        <w:rPr>
          <w:rFonts w:ascii="Times New Roman" w:eastAsia="Times New Roman" w:hAnsi="Times New Roman" w:cs="Times New Roman"/>
          <w:bCs/>
          <w:sz w:val="24"/>
          <w:szCs w:val="24"/>
        </w:rPr>
        <w:t>rvenstveno osnovne podatke o lokaciji, veličini, nameni zgrade i klimatskim uslovima.</w:t>
      </w:r>
      <w:r w:rsidRPr="00412B28">
        <w:rPr>
          <w:rFonts w:ascii="Times New Roman" w:eastAsia="Times New Roman" w:hAnsi="Times New Roman" w:cs="Times New Roman"/>
          <w:bCs/>
          <w:sz w:val="24"/>
          <w:szCs w:val="24"/>
          <w:lang w:val="sr-Cyrl-RS"/>
        </w:rPr>
        <w:t xml:space="preserve"> </w:t>
      </w:r>
      <w:r w:rsidRPr="00412B28">
        <w:rPr>
          <w:rFonts w:ascii="Times New Roman" w:eastAsia="Times New Roman" w:hAnsi="Times New Roman" w:cs="Times New Roman"/>
          <w:bCs/>
          <w:sz w:val="24"/>
          <w:szCs w:val="24"/>
        </w:rPr>
        <w:t>U sertifikatu se nalaze i informacije o:</w:t>
      </w:r>
    </w:p>
    <w:p w14:paraId="592374D7" w14:textId="77777777" w:rsidR="00EA2B24" w:rsidRPr="00412B28" w:rsidRDefault="00EA2B24" w:rsidP="00CB41F0">
      <w:pPr>
        <w:pStyle w:val="ListParagraph"/>
        <w:numPr>
          <w:ilvl w:val="0"/>
          <w:numId w:val="39"/>
        </w:numPr>
        <w:shd w:val="clear" w:color="auto" w:fill="FFFFFF"/>
        <w:tabs>
          <w:tab w:val="num" w:pos="1077"/>
        </w:tabs>
        <w:spacing w:after="0" w:line="240" w:lineRule="auto"/>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termo-tehničkim sistemima koji se koriste u zgradi;</w:t>
      </w:r>
    </w:p>
    <w:p w14:paraId="40463EF0" w14:textId="77777777" w:rsidR="00EA2B24" w:rsidRPr="00412B28" w:rsidRDefault="00EA2B24" w:rsidP="00CB41F0">
      <w:pPr>
        <w:pStyle w:val="ListParagraph"/>
        <w:numPr>
          <w:ilvl w:val="0"/>
          <w:numId w:val="39"/>
        </w:numPr>
        <w:shd w:val="clear" w:color="auto" w:fill="FFFFFF"/>
        <w:tabs>
          <w:tab w:val="num" w:pos="1077"/>
        </w:tabs>
        <w:spacing w:after="0" w:line="240" w:lineRule="auto"/>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svojstvima termičkog omotača zgrade;</w:t>
      </w:r>
    </w:p>
    <w:p w14:paraId="61E94711" w14:textId="77777777" w:rsidR="00EA2B24" w:rsidRPr="00412B28" w:rsidRDefault="00EA2B24" w:rsidP="00CB41F0">
      <w:pPr>
        <w:pStyle w:val="ListParagraph"/>
        <w:numPr>
          <w:ilvl w:val="0"/>
          <w:numId w:val="39"/>
        </w:numPr>
        <w:shd w:val="clear" w:color="auto" w:fill="FFFFFF"/>
        <w:tabs>
          <w:tab w:val="num" w:pos="1077"/>
        </w:tabs>
        <w:spacing w:after="0" w:line="240" w:lineRule="auto"/>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energetskim potrebama zgrade i gubicima toplote.</w:t>
      </w:r>
    </w:p>
    <w:p w14:paraId="4D5834C3"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U njemu su i preporuke za mere koje doprinose smanjivanju potrošnje energije.</w:t>
      </w:r>
    </w:p>
    <w:p w14:paraId="4BECF1A9"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lastRenderedPageBreak/>
        <w:t>Sertifikat o energetskim svojstvima ima propisan sadržaj, uslove i način izdavanja i izgled. Izdaju ga firme koje su za to ovlašćene u Centralnom registru energetskih pasoša (CREP). Osim što kupci ili zakupci nekretnine imaju jasniju sliku o vrednosti, zahvaljujući energetskom pasošu mogu da vide i potrebna buduća ulaganja pri rekonstrukciji objekata može uticati na cenu nekretnine.</w:t>
      </w:r>
    </w:p>
    <w:p w14:paraId="5BFFAB8C"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Obavezu sertifikovanja zgrada pre sve treba shvatiti kao zaštitu potrošača, a ne kao represivnu meru. Energetski sertifikati doprinose poboljšanju kvaliteta gradnje i unapređenju tržišta nekretnina. Dobro termički izolovana zgrada manje troši energiju za grejanje zimi i hlađenje leti, a boravak u njoj je ugodniji i kvalitetniji.</w:t>
      </w:r>
    </w:p>
    <w:p w14:paraId="7A64FAD0"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Energetski efikasna zgrada obezbeđuje viši komfor života dok je sam životni vek objekta duži. Unapređenjem energetske efikasnosti u zgradama doprinosimo zaštiti životne sredine i smanjenju emisije gasova staklene bašte koji nastaju sagorevanjem energenata za grejanje, odnosno hlađenje prostora, pripremu sanitarne tople vode.</w:t>
      </w:r>
    </w:p>
    <w:p w14:paraId="0EF6FF6B"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rPr>
      </w:pPr>
    </w:p>
    <w:p w14:paraId="34B1571B"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lang w:val="sr-Cyrl-RS"/>
        </w:rPr>
        <w:t>Prosečna cena izrade energetskog sertifikata po objektu iznosi oko 17,500 dinara.</w:t>
      </w:r>
    </w:p>
    <w:p w14:paraId="1267793C"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CS"/>
        </w:rPr>
      </w:pPr>
    </w:p>
    <w:p w14:paraId="26A29EC8"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rPr>
        <w:t>Dopunom p</w:t>
      </w:r>
      <w:r w:rsidRPr="00412B28">
        <w:rPr>
          <w:rFonts w:ascii="Times New Roman" w:eastAsia="Times New Roman" w:hAnsi="Times New Roman" w:cs="Times New Roman"/>
          <w:bCs/>
          <w:sz w:val="24"/>
          <w:szCs w:val="24"/>
          <w:lang w:val="sr-Cyrl-RS"/>
        </w:rPr>
        <w:t>r</w:t>
      </w:r>
      <w:r w:rsidRPr="00412B28">
        <w:rPr>
          <w:rFonts w:ascii="Times New Roman" w:eastAsia="Times New Roman" w:hAnsi="Times New Roman" w:cs="Times New Roman"/>
          <w:bCs/>
          <w:sz w:val="24"/>
          <w:szCs w:val="24"/>
        </w:rPr>
        <w:t>avila građenja u delu koji se odnosi na definisanje broja garažnih, odnosno parking mesta sa obaveznim minimalnim brojem mesta za punjenje električnih vozila</w:t>
      </w:r>
      <w:r w:rsidRPr="00412B28">
        <w:rPr>
          <w:rFonts w:ascii="Times New Roman" w:eastAsia="Times New Roman" w:hAnsi="Times New Roman" w:cs="Times New Roman"/>
          <w:bCs/>
          <w:sz w:val="24"/>
          <w:szCs w:val="24"/>
          <w:lang w:val="sr-Cyrl-RS"/>
        </w:rPr>
        <w:t xml:space="preserve"> promoviše se elektromobilnost. Jedan od identifikovanih problema sa kojim se suočavaju vlasnici električnih vozila jeste nedostatak elektro punjača. Takođe, povećani broj raspoloživih elektropunjača nedvosmisleno će podići zainteresovanost građana za kupovinu automobila na električni pogon, što će pomoći Srbiji u procesu transformacije drumskog saobraćaja ka povećanoj primeni ekološki prihvatljivih vidova prevoza.</w:t>
      </w:r>
    </w:p>
    <w:p w14:paraId="47B22A09"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RS"/>
        </w:rPr>
      </w:pPr>
    </w:p>
    <w:p w14:paraId="19036AC5"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bCs/>
          <w:sz w:val="24"/>
          <w:szCs w:val="24"/>
          <w:lang w:val="sr-Cyrl-RS"/>
        </w:rPr>
        <w:t xml:space="preserve">Ministar bliže određuje </w:t>
      </w:r>
      <w:r w:rsidRPr="00412B28">
        <w:rPr>
          <w:rFonts w:ascii="Times New Roman" w:eastAsia="Times New Roman" w:hAnsi="Times New Roman" w:cs="Times New Roman"/>
          <w:bCs/>
          <w:sz w:val="24"/>
          <w:szCs w:val="24"/>
          <w:lang w:val="sr-Cyrl-CS"/>
        </w:rPr>
        <w:t>uslove koje moraju da ispune javni beležnik, odnosno pravno lice ili preduzetnik, registrovan za izradu dokumenata prostornog i urbanističkog planiranja za izdavanje informacije o lokaciji.</w:t>
      </w:r>
      <w:r w:rsidRPr="00412B28">
        <w:rPr>
          <w:rFonts w:ascii="Times New Roman" w:eastAsia="Times New Roman" w:hAnsi="Times New Roman" w:cs="Times New Roman"/>
          <w:sz w:val="24"/>
          <w:szCs w:val="24"/>
          <w:lang w:val="sr-Cyrl-CS"/>
        </w:rPr>
        <w:t xml:space="preserve"> Očekivano je da se cena ove usluge neće drastično menjati.</w:t>
      </w:r>
    </w:p>
    <w:p w14:paraId="3323D6B1"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sz w:val="24"/>
          <w:szCs w:val="24"/>
          <w:lang w:val="sr-Cyrl-CS"/>
        </w:rPr>
      </w:pPr>
    </w:p>
    <w:p w14:paraId="00F016F3" w14:textId="77777777" w:rsidR="00EA2B24" w:rsidRPr="00412B28" w:rsidRDefault="00EA2B24" w:rsidP="00CB41F0">
      <w:pPr>
        <w:shd w:val="clear" w:color="auto" w:fill="FFFFFF"/>
        <w:spacing w:after="0" w:line="240"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lang w:val="sr-Cyrl-RS"/>
        </w:rPr>
        <w:t>U vezi sa izmenama i dopunama Zakona koje tretiraju pitanja licenci, napominjemo, da stečena prava lica koja imaju licencu ostaju. Novi pravilnlik se primenjuje za lica koja po prvi put po novom stiču licence. U toku javne rasprave izmenjen je član 78. Nacrta na način da je precizizran stav 2. a stav 3. je brisan.</w:t>
      </w:r>
    </w:p>
    <w:p w14:paraId="15AD292B" w14:textId="77777777" w:rsidR="00EA2B24" w:rsidRPr="00412B28" w:rsidRDefault="00EA2B24" w:rsidP="00CB41F0">
      <w:pPr>
        <w:shd w:val="clear" w:color="auto" w:fill="FFFFFF"/>
        <w:spacing w:after="0" w:line="240" w:lineRule="auto"/>
        <w:jc w:val="both"/>
        <w:rPr>
          <w:rFonts w:ascii="Times New Roman" w:eastAsia="Times New Roman" w:hAnsi="Times New Roman" w:cs="Times New Roman"/>
          <w:bCs/>
          <w:sz w:val="24"/>
          <w:szCs w:val="24"/>
        </w:rPr>
      </w:pPr>
    </w:p>
    <w:p w14:paraId="2F1115A3" w14:textId="77777777" w:rsidR="00EA2B24" w:rsidRPr="00412B28" w:rsidRDefault="00EA2B24" w:rsidP="00CB41F0">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će efekti realizacije izabran</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štetno uticati na neku specifičnu grupu populacije i da li će to negativno uticati na uspešno sprovođenje te opcije, kao i koje mere treba preduzeti da bi se ovi rizici sveli na minimum? </w:t>
      </w:r>
    </w:p>
    <w:p w14:paraId="3D77EA57"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efekata po ovom osnovu.</w:t>
      </w:r>
    </w:p>
    <w:p w14:paraId="3C65DED0" w14:textId="77777777" w:rsidR="00EA2B24" w:rsidRPr="00412B28" w:rsidRDefault="00EA2B24" w:rsidP="00CB41F0">
      <w:pPr>
        <w:pStyle w:val="ListParagraph"/>
        <w:numPr>
          <w:ilvl w:val="0"/>
          <w:numId w:val="6"/>
        </w:numPr>
        <w:shd w:val="clear" w:color="auto" w:fill="C6D9F1" w:themeFill="text2" w:themeFillTint="33"/>
        <w:spacing w:before="240" w:after="0" w:line="276" w:lineRule="auto"/>
        <w:ind w:left="714" w:hanging="357"/>
        <w:jc w:val="both"/>
        <w:rPr>
          <w:rFonts w:ascii="Times New Roman" w:hAnsi="Times New Roman" w:cs="Times New Roman"/>
          <w:sz w:val="24"/>
          <w:szCs w:val="24"/>
        </w:rPr>
      </w:pPr>
      <w:r w:rsidRPr="00412B28">
        <w:rPr>
          <w:rFonts w:ascii="Times New Roman" w:hAnsi="Times New Roman" w:cs="Times New Roman"/>
          <w:sz w:val="24"/>
          <w:szCs w:val="24"/>
        </w:rPr>
        <w:t>Na koje društvene grupe, a posebno na koje osetljive društvene grupe, bi uticale mere izabrane opcije i kako bi se taj uticaj ogledao (pre svega na siromašne  i socijalno isključene pojedince i grupe, kao što su osobe sa invaliditetom, deca, mladi, žene, stariji preko 65 godina, pripadnici romske nacionalne manjine, neobrazovani, nezaposleni, izbegla i interno raseljena lica i stanovništvo ruralnih sredina i druge osetljive društvene grupe)?</w:t>
      </w:r>
    </w:p>
    <w:p w14:paraId="2B21B392" w14:textId="77777777" w:rsidR="00EA2B24" w:rsidRPr="00412B28" w:rsidRDefault="00EA2B24" w:rsidP="00CB41F0">
      <w:pPr>
        <w:pStyle w:val="ListParagraph"/>
        <w:shd w:val="clear" w:color="auto" w:fill="C6D9F1" w:themeFill="text2" w:themeFillTint="33"/>
        <w:spacing w:before="240" w:after="0" w:line="276" w:lineRule="auto"/>
        <w:ind w:left="714"/>
        <w:jc w:val="both"/>
        <w:rPr>
          <w:rFonts w:ascii="Times New Roman" w:hAnsi="Times New Roman" w:cs="Times New Roman"/>
          <w:sz w:val="24"/>
          <w:szCs w:val="24"/>
        </w:rPr>
      </w:pPr>
    </w:p>
    <w:p w14:paraId="46F2B1FE" w14:textId="77777777" w:rsidR="00EA2B24" w:rsidRPr="00412B28" w:rsidRDefault="00EA2B24" w:rsidP="00CB41F0">
      <w:pPr>
        <w:pStyle w:val="ListParagraph"/>
        <w:shd w:val="clear" w:color="auto" w:fill="C6D9F1" w:themeFill="text2" w:themeFillTint="33"/>
        <w:spacing w:before="240" w:after="0" w:line="276" w:lineRule="auto"/>
        <w:ind w:left="714"/>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efekata.</w:t>
      </w:r>
    </w:p>
    <w:p w14:paraId="67A341D3" w14:textId="77777777" w:rsidR="00EA2B24" w:rsidRPr="00412B28" w:rsidRDefault="00EA2B24" w:rsidP="00CB41F0">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 xml:space="preserve">Da li bi i na koji način izabrana opcija uticala na tržište rada i zapošljavanje, kao i na uslove za rad (npr, promene u stopama zaposlenosti, otpuštanje tehnoloških viškova, ukinuta ili novoformirana radna mesta, postojeća prava i obaveze radnika, potrebe za prekvalifikacijama ili dodatnim obukama koje nameće tržište rada, rodnu ravnopravnost, ranjive </w:t>
      </w:r>
      <w:r w:rsidRPr="00412B28">
        <w:rPr>
          <w:rFonts w:ascii="Times New Roman" w:hAnsi="Times New Roman" w:cs="Times New Roman"/>
          <w:sz w:val="24"/>
          <w:szCs w:val="24"/>
          <w:lang w:val="sr-Cyrl-RS"/>
        </w:rPr>
        <w:t xml:space="preserve">grupe i </w:t>
      </w:r>
      <w:r w:rsidRPr="00412B28">
        <w:rPr>
          <w:rFonts w:ascii="Times New Roman" w:hAnsi="Times New Roman" w:cs="Times New Roman"/>
          <w:sz w:val="24"/>
          <w:szCs w:val="24"/>
        </w:rPr>
        <w:t xml:space="preserve">oblike </w:t>
      </w:r>
      <w:r w:rsidRPr="00412B28">
        <w:rPr>
          <w:rFonts w:ascii="Times New Roman" w:hAnsi="Times New Roman" w:cs="Times New Roman"/>
          <w:sz w:val="24"/>
          <w:szCs w:val="24"/>
          <w:lang w:val="sr-Cyrl-RS"/>
        </w:rPr>
        <w:t xml:space="preserve">njihovog </w:t>
      </w:r>
      <w:r w:rsidRPr="00412B28">
        <w:rPr>
          <w:rFonts w:ascii="Times New Roman" w:hAnsi="Times New Roman" w:cs="Times New Roman"/>
          <w:sz w:val="24"/>
          <w:szCs w:val="24"/>
        </w:rPr>
        <w:t>zapošljavanja i slično)?</w:t>
      </w:r>
    </w:p>
    <w:p w14:paraId="7D2132B6"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Povećan obim izgradnje prouzrokovaće porast tražnje za građevinskim radnicima, što će svakako uticati na porast prosečne zarade u građevinarstvu. </w:t>
      </w:r>
      <w:r w:rsidRPr="00412B28">
        <w:rPr>
          <w:rFonts w:ascii="Times New Roman" w:hAnsi="Times New Roman" w:cs="Times New Roman"/>
          <w:sz w:val="24"/>
          <w:szCs w:val="24"/>
        </w:rPr>
        <w:t xml:space="preserve">Aproksimacija je da će povećanje površina pod izgrađenim </w:t>
      </w:r>
      <w:r w:rsidRPr="00412B28">
        <w:rPr>
          <w:rFonts w:ascii="Times New Roman" w:hAnsi="Times New Roman" w:cs="Times New Roman"/>
          <w:b/>
          <w:bCs/>
          <w:sz w:val="24"/>
          <w:szCs w:val="24"/>
        </w:rPr>
        <w:t>direktno i indirektno uposliti oko 324,406 radnika, kojima će, na ime zarada, biti isplaćeno procenjenih 647,042,302,284</w:t>
      </w:r>
      <w:r w:rsidRPr="00412B28">
        <w:rPr>
          <w:rFonts w:ascii="Times New Roman" w:hAnsi="Times New Roman" w:cs="Times New Roman"/>
          <w:b/>
          <w:bCs/>
          <w:sz w:val="24"/>
          <w:szCs w:val="24"/>
          <w:lang w:val="sr-Cyrl-RS"/>
        </w:rPr>
        <w:t xml:space="preserve"> dinara</w:t>
      </w:r>
      <w:r w:rsidRPr="00412B28">
        <w:rPr>
          <w:rFonts w:ascii="Times New Roman" w:hAnsi="Times New Roman" w:cs="Times New Roman"/>
          <w:b/>
          <w:bCs/>
          <w:sz w:val="24"/>
          <w:szCs w:val="24"/>
        </w:rPr>
        <w:t>.</w:t>
      </w:r>
      <w:r w:rsidRPr="00412B28">
        <w:rPr>
          <w:rFonts w:ascii="Times New Roman" w:hAnsi="Times New Roman" w:cs="Times New Roman"/>
          <w:sz w:val="24"/>
          <w:szCs w:val="24"/>
          <w:lang w:val="sr-Cyrl-RS"/>
        </w:rPr>
        <w:t xml:space="preserve"> Ovakav skok tražnje svakako će nametnuti potrebu za iznalaženje odgovarajućih rešenja i primenu mera koje će dovesti do liberalizacije propisa vezanih za dobijanje radnih dozvola za inostranu radnu snagu.</w:t>
      </w:r>
    </w:p>
    <w:p w14:paraId="7DA36201" w14:textId="77777777" w:rsidR="00EA2B24" w:rsidRPr="00412B28" w:rsidRDefault="00EA2B24" w:rsidP="00CB41F0">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izabrane opcije omogućavaju ravnopravan tretman, ili dovode do direktne ili indirektne diskriminacije različitih kategorija lica (npr, na osnovu nacionalne pripadnosti, etničkog porekla, jezika, pola, rodnog identiteta, invaliditeta, starosne dobi, seksualne orijentacije, bračnog statusa ili drugih ličnih svojstava)?</w:t>
      </w:r>
    </w:p>
    <w:p w14:paraId="7FF3C42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efekata.</w:t>
      </w:r>
    </w:p>
    <w:p w14:paraId="45B94637" w14:textId="77777777" w:rsidR="00EA2B24" w:rsidRPr="00412B28" w:rsidRDefault="00EA2B24" w:rsidP="00CB41F0">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bi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mogl</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da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cene</w:t>
      </w:r>
      <w:r w:rsidRPr="00412B28">
        <w:rPr>
          <w:rFonts w:ascii="Times New Roman" w:hAnsi="Times New Roman" w:cs="Times New Roman"/>
          <w:sz w:val="24"/>
          <w:szCs w:val="24"/>
          <w:lang w:val="sr-Cyrl-RS"/>
        </w:rPr>
        <w:t xml:space="preserve"> roba i usluga</w:t>
      </w:r>
      <w:r w:rsidRPr="00412B28">
        <w:rPr>
          <w:rFonts w:ascii="Times New Roman" w:hAnsi="Times New Roman" w:cs="Times New Roman"/>
          <w:sz w:val="24"/>
          <w:szCs w:val="24"/>
        </w:rPr>
        <w:t xml:space="preserve"> i životni standard stanovništva, na koji način i u kojem obimu? </w:t>
      </w:r>
    </w:p>
    <w:p w14:paraId="6FC7866B"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Procenjen povećan obim izgradnje dovešće neminovno do porasta tražnje za građevinskim  materijalom, što se u manjoj ili većoj meri može odraziti na kretanje cena građevinskog materijala. Suprotno, podsticanje izgradnje, posebno u segmentu stambenih objekat, a povećaće ponudu stanova i uticati na smanjenje cena. Što se životnog standarda tiče, procenjeno povećanje vrednosti izvedenih radova će neminovno dovesti do povećanja prosečnih zarada u građevinarstvu, što će se pozitivno odraziti na životni standard stanovništva.</w:t>
      </w:r>
    </w:p>
    <w:p w14:paraId="547C99ED" w14:textId="77777777" w:rsidR="00EA2B24" w:rsidRPr="00412B28" w:rsidRDefault="00EA2B24" w:rsidP="00CB41F0">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bi se realizacijom izabranih opcija pozitivno uticalo na promenu socijalne situacije u nekom određenom regionu ili okrugu i na koji način?</w:t>
      </w:r>
    </w:p>
    <w:p w14:paraId="4B29F808"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konkretnih efekata.</w:t>
      </w:r>
    </w:p>
    <w:p w14:paraId="241D2A11" w14:textId="77777777" w:rsidR="00EA2B24" w:rsidRPr="00412B28" w:rsidRDefault="00EA2B24" w:rsidP="00CB41F0">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bi se realizacijom izabran</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uticalo na promene u finansiranju, kvalitetu ili dostupnosti sistema socijalne zaštite, zdravstvenog sistema ili sistema obrazovanja, posebno u smislu jednakog pristupa uslugama i pravima za osetljive grupe i na koji način?</w:t>
      </w:r>
    </w:p>
    <w:p w14:paraId="0DE39BE1"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efekata.</w:t>
      </w:r>
    </w:p>
    <w:p w14:paraId="6FDFC813" w14:textId="77777777" w:rsidR="00EA2B24" w:rsidRPr="00412B28" w:rsidRDefault="00EA2B24" w:rsidP="00CB41F0">
      <w:pPr>
        <w:spacing w:after="200" w:line="276" w:lineRule="auto"/>
        <w:jc w:val="right"/>
        <w:rPr>
          <w:rFonts w:ascii="Times New Roman" w:hAnsi="Times New Roman" w:cs="Times New Roman"/>
          <w:b/>
          <w:sz w:val="24"/>
          <w:szCs w:val="24"/>
          <w:u w:val="single"/>
        </w:rPr>
      </w:pPr>
      <w:r w:rsidRPr="00412B28">
        <w:rPr>
          <w:rFonts w:ascii="Times New Roman" w:hAnsi="Times New Roman" w:cs="Times New Roman"/>
          <w:sz w:val="24"/>
          <w:szCs w:val="24"/>
        </w:rPr>
        <w:br w:type="page"/>
      </w:r>
      <w:r w:rsidRPr="00412B28">
        <w:rPr>
          <w:rFonts w:ascii="Times New Roman" w:hAnsi="Times New Roman" w:cs="Times New Roman"/>
          <w:sz w:val="24"/>
          <w:szCs w:val="24"/>
        </w:rPr>
        <w:lastRenderedPageBreak/>
        <w:t xml:space="preserve"> </w:t>
      </w:r>
      <w:r w:rsidRPr="00412B28">
        <w:rPr>
          <w:rFonts w:ascii="Times New Roman" w:hAnsi="Times New Roman" w:cs="Times New Roman"/>
          <w:b/>
          <w:sz w:val="24"/>
          <w:szCs w:val="24"/>
          <w:u w:val="single"/>
        </w:rPr>
        <w:t>PRILOG 8:</w:t>
      </w:r>
    </w:p>
    <w:p w14:paraId="770B69B9" w14:textId="77777777" w:rsidR="00EA2B24" w:rsidRPr="00412B28" w:rsidRDefault="00EA2B24" w:rsidP="00CB41F0">
      <w:pPr>
        <w:spacing w:before="240" w:line="276" w:lineRule="auto"/>
        <w:rPr>
          <w:rFonts w:ascii="Times New Roman" w:hAnsi="Times New Roman" w:cs="Times New Roman"/>
          <w:sz w:val="24"/>
          <w:szCs w:val="24"/>
        </w:rPr>
      </w:pPr>
    </w:p>
    <w:p w14:paraId="0BE3E2E9"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analizu efekata na životnu sredinu</w:t>
      </w:r>
    </w:p>
    <w:p w14:paraId="4084AC22" w14:textId="77777777" w:rsidR="00EA2B24" w:rsidRPr="00412B28" w:rsidRDefault="00EA2B24" w:rsidP="00CB41F0">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i  u kojem obimu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životnu sredinu, uključujući efekte na kvalitet vode, vazduha i zemljišta, kvalitet hrane, urbanu ekologiju i upravljanje otpadom, sirovine, energetsku efikasnost i obnovljive izvore energije?</w:t>
      </w:r>
    </w:p>
    <w:p w14:paraId="3CCC63A0"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Predložena zakonska rešenja će evidentno imati pozitivne efekte na sve, u pitanju navedene, parametre, kroz unapređenje odredbi koje tretiraju pitanja iz sfere Zelene agende.</w:t>
      </w:r>
    </w:p>
    <w:p w14:paraId="0816D1B6"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iCs/>
          <w:sz w:val="24"/>
          <w:szCs w:val="24"/>
          <w:lang w:val="sr-Cyrl-CS"/>
        </w:rPr>
      </w:pPr>
      <w:r w:rsidRPr="00412B28">
        <w:rPr>
          <w:rFonts w:ascii="Times New Roman" w:hAnsi="Times New Roman" w:cs="Times New Roman"/>
          <w:sz w:val="24"/>
          <w:szCs w:val="24"/>
          <w:lang w:val="sr-Cyrl-RS"/>
        </w:rPr>
        <w:t xml:space="preserve">Objekti izgrađeni po principima zelene gradnje stvaraju kvalitetniji ambijent za život i rad ljudi i imaju manji ili nulti negativni efekat na životnu sredinu. Radi podsticanja zelene gradnje, a </w:t>
      </w:r>
      <w:r w:rsidRPr="00412B28">
        <w:rPr>
          <w:rFonts w:ascii="Times New Roman" w:hAnsi="Times New Roman" w:cs="Times New Roman"/>
          <w:iCs/>
          <w:sz w:val="24"/>
          <w:szCs w:val="24"/>
          <w:lang w:val="sr-Cyrl-CS"/>
        </w:rPr>
        <w:t>u cilju smanjenja emisije gasova sa efektom staklene bašte, korišćenja ekološki sertifikovanih građevinskih materijala i opreme, smanjenja produkcije otpada, korišćenja obnovljivih izvora energije, za sve nove zgrade preko 10.000 m</w:t>
      </w:r>
      <w:r w:rsidRPr="00412B28">
        <w:rPr>
          <w:rFonts w:ascii="Times New Roman" w:hAnsi="Times New Roman" w:cs="Times New Roman"/>
          <w:iCs/>
          <w:sz w:val="24"/>
          <w:szCs w:val="24"/>
          <w:vertAlign w:val="superscript"/>
          <w:lang w:val="sr-Cyrl-CS"/>
        </w:rPr>
        <w:t>2</w:t>
      </w:r>
      <w:r w:rsidRPr="00412B28">
        <w:rPr>
          <w:rFonts w:ascii="Times New Roman" w:hAnsi="Times New Roman" w:cs="Times New Roman"/>
          <w:iCs/>
          <w:sz w:val="24"/>
          <w:szCs w:val="24"/>
          <w:lang w:val="sr-Cyrl-CS"/>
        </w:rPr>
        <w:t xml:space="preserve"> bruto razvijene građevinske površine, po izdavanju upotrebne dozvole, uvedena je obaveza pribavljanja sertifikata zelene gradnje.</w:t>
      </w:r>
    </w:p>
    <w:p w14:paraId="6E77EBC3" w14:textId="77777777" w:rsidR="00EA2B24" w:rsidRPr="00412B28" w:rsidRDefault="00EA2B24" w:rsidP="00CB41F0">
      <w:pPr>
        <w:shd w:val="clear" w:color="auto" w:fill="FFFFFF"/>
        <w:spacing w:after="0" w:line="240" w:lineRule="auto"/>
        <w:ind w:left="720"/>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Energetski sertifikati doprinose poboljšanju kvaliteta gradnje i unapređenju tržišta nekretnina. Dobro termički izolovana zgrada manje troši energiju za grejanje zimi i hlađenje leti, a boravak u njoj je ugodniji i kvalitetniji.</w:t>
      </w:r>
    </w:p>
    <w:p w14:paraId="099C7DF9" w14:textId="77777777" w:rsidR="00EA2B24" w:rsidRPr="00412B28" w:rsidRDefault="00EA2B24" w:rsidP="00CB41F0">
      <w:pPr>
        <w:shd w:val="clear" w:color="auto" w:fill="FFFFFF"/>
        <w:spacing w:after="0" w:line="240" w:lineRule="auto"/>
        <w:ind w:left="720" w:firstLine="3"/>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rPr>
        <w:t>Energetski efikasna zgrada obezbeđuje viši komfor života dok je sam životni vek objekta duži. Unapređenjem energetske efikasnosti u zgradama doprinosimo zaštiti životne sredine i smanjenju emisije gasova staklene bašte koji nastaju sagorevanjem energenata za grejanje, odnosno hlađenje prostora, pripremu sanitarne tople vode</w:t>
      </w:r>
      <w:r w:rsidRPr="00412B28">
        <w:rPr>
          <w:rFonts w:ascii="Times New Roman" w:eastAsia="Times New Roman" w:hAnsi="Times New Roman" w:cs="Times New Roman"/>
          <w:bCs/>
          <w:sz w:val="24"/>
          <w:szCs w:val="24"/>
          <w:lang w:val="sr-Cyrl-RS"/>
        </w:rPr>
        <w:t xml:space="preserve"> itd...</w:t>
      </w:r>
    </w:p>
    <w:p w14:paraId="53995CBF" w14:textId="77777777" w:rsidR="00EA2B24" w:rsidRPr="00412B28" w:rsidRDefault="00EA2B24" w:rsidP="00CB41F0">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kvalitet i strukturu ekosi</w:t>
      </w:r>
      <w:r w:rsidRPr="00412B28">
        <w:rPr>
          <w:rFonts w:ascii="Times New Roman" w:hAnsi="Times New Roman" w:cs="Times New Roman"/>
          <w:sz w:val="24"/>
          <w:szCs w:val="24"/>
          <w:lang w:val="sr-Cyrl-RS"/>
        </w:rPr>
        <w:t>s</w:t>
      </w:r>
      <w:r w:rsidRPr="00412B28">
        <w:rPr>
          <w:rFonts w:ascii="Times New Roman" w:hAnsi="Times New Roman" w:cs="Times New Roman"/>
          <w:sz w:val="24"/>
          <w:szCs w:val="24"/>
        </w:rPr>
        <w:t>tema, uključujući i integritet i biodiverzitet ekosistema, kao i floru i faunu?</w:t>
      </w:r>
    </w:p>
    <w:p w14:paraId="3D87FA6E"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pozitivno.</w:t>
      </w:r>
    </w:p>
    <w:p w14:paraId="249F2F25" w14:textId="77777777" w:rsidR="00EA2B24" w:rsidRPr="00412B28" w:rsidRDefault="00EA2B24" w:rsidP="00CB41F0">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zdravlje ljudi?</w:t>
      </w:r>
    </w:p>
    <w:p w14:paraId="09E06879"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pozitivno.</w:t>
      </w:r>
    </w:p>
    <w:p w14:paraId="0114AF1F" w14:textId="77777777" w:rsidR="00EA2B24" w:rsidRPr="00412B28" w:rsidRDefault="00EA2B24" w:rsidP="00CB41F0">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predstavlja rizik po životnu sredinu i zdravlje ljudi i da li se dopunskim merama može uticati na smanjenje tih rizika?</w:t>
      </w:r>
    </w:p>
    <w:p w14:paraId="118EDE7A"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w:t>
      </w:r>
    </w:p>
    <w:p w14:paraId="30F9BA3A" w14:textId="77777777" w:rsidR="00EA2B24" w:rsidRPr="00412B28" w:rsidRDefault="00EA2B24" w:rsidP="00CB41F0">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zaštitu i korišćenje zemljišta u skladu sa propisima koji uređuju predmetnu oblast?</w:t>
      </w:r>
    </w:p>
    <w:p w14:paraId="776A021F" w14:textId="77777777" w:rsidR="00EA2B24" w:rsidRPr="00412B28" w:rsidRDefault="00EA2B24" w:rsidP="00CB41F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w:t>
      </w:r>
    </w:p>
    <w:p w14:paraId="38E0468D" w14:textId="77777777" w:rsidR="00EA2B24" w:rsidRPr="00412B28" w:rsidRDefault="00EA2B24" w:rsidP="00CB41F0">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br w:type="page"/>
      </w:r>
    </w:p>
    <w:p w14:paraId="0EFF6505" w14:textId="77777777" w:rsidR="00EA2B24" w:rsidRPr="00412B28" w:rsidRDefault="00EA2B24" w:rsidP="00CB41F0">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PRILOG 9:</w:t>
      </w:r>
    </w:p>
    <w:p w14:paraId="76D32377" w14:textId="77777777" w:rsidR="00EA2B24" w:rsidRPr="00412B28" w:rsidRDefault="00EA2B24" w:rsidP="00CB41F0">
      <w:pPr>
        <w:pStyle w:val="ListParagraph"/>
        <w:spacing w:before="240" w:line="276" w:lineRule="auto"/>
        <w:jc w:val="right"/>
        <w:rPr>
          <w:rFonts w:ascii="Times New Roman" w:hAnsi="Times New Roman" w:cs="Times New Roman"/>
          <w:b/>
          <w:sz w:val="24"/>
          <w:szCs w:val="24"/>
          <w:u w:val="single"/>
        </w:rPr>
      </w:pPr>
    </w:p>
    <w:p w14:paraId="1D048458"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analizu upravljačkih efekata</w:t>
      </w:r>
    </w:p>
    <w:p w14:paraId="5155DE0A"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Da li se izabran</w:t>
      </w:r>
      <w:r w:rsidRPr="00412B28">
        <w:rPr>
          <w:rFonts w:ascii="Times New Roman" w:hAnsi="Times New Roman" w:cs="Times New Roman"/>
          <w:sz w:val="24"/>
          <w:szCs w:val="24"/>
          <w:lang w:val="sr-Cyrl-RS"/>
        </w:rPr>
        <w:t>o</w:t>
      </w:r>
      <w:r w:rsidRPr="00412B28">
        <w:rPr>
          <w:rFonts w:ascii="Times New Roman" w:hAnsi="Times New Roman" w:cs="Times New Roman"/>
          <w:sz w:val="24"/>
          <w:szCs w:val="24"/>
        </w:rPr>
        <w:t>m opcij</w:t>
      </w:r>
      <w:r w:rsidRPr="00412B28">
        <w:rPr>
          <w:rFonts w:ascii="Times New Roman" w:hAnsi="Times New Roman" w:cs="Times New Roman"/>
          <w:sz w:val="24"/>
          <w:szCs w:val="24"/>
          <w:lang w:val="sr-Cyrl-RS"/>
        </w:rPr>
        <w:t>o</w:t>
      </w:r>
      <w:r w:rsidRPr="00412B28">
        <w:rPr>
          <w:rFonts w:ascii="Times New Roman" w:hAnsi="Times New Roman" w:cs="Times New Roman"/>
          <w:sz w:val="24"/>
          <w:szCs w:val="24"/>
        </w:rPr>
        <w:t xml:space="preserve">m uvode organizacione, upravljačke ili institucionalne promene i koje su to promene? </w:t>
      </w:r>
    </w:p>
    <w:p w14:paraId="6633F6B4"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Izmenama i dopunama Zakona predviđeno je f</w:t>
      </w:r>
      <w:r w:rsidRPr="00412B28">
        <w:rPr>
          <w:rFonts w:ascii="Times New Roman" w:hAnsi="Times New Roman" w:cs="Times New Roman"/>
          <w:sz w:val="24"/>
          <w:szCs w:val="24"/>
        </w:rPr>
        <w:t>ormiranje Agencije za prostorno planiranje i urbanizam Republike Srbije</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 xml:space="preserve">i uvođenje </w:t>
      </w:r>
      <w:r w:rsidRPr="00412B28">
        <w:rPr>
          <w:rFonts w:ascii="Times New Roman" w:hAnsi="Times New Roman" w:cs="Times New Roman"/>
          <w:sz w:val="24"/>
          <w:szCs w:val="24"/>
          <w:lang w:val="sr-Cyrl-RS"/>
        </w:rPr>
        <w:t>G</w:t>
      </w:r>
      <w:r w:rsidRPr="00412B28">
        <w:rPr>
          <w:rFonts w:ascii="Times New Roman" w:hAnsi="Times New Roman" w:cs="Times New Roman"/>
          <w:sz w:val="24"/>
          <w:szCs w:val="24"/>
        </w:rPr>
        <w:t xml:space="preserve">lavnog </w:t>
      </w:r>
      <w:r w:rsidRPr="00412B28">
        <w:rPr>
          <w:rFonts w:ascii="Times New Roman" w:hAnsi="Times New Roman" w:cs="Times New Roman"/>
          <w:sz w:val="24"/>
          <w:szCs w:val="24"/>
          <w:lang w:val="sr-Cyrl-RS"/>
        </w:rPr>
        <w:t>republičkog</w:t>
      </w:r>
      <w:r w:rsidRPr="00412B28">
        <w:rPr>
          <w:rFonts w:ascii="Times New Roman" w:hAnsi="Times New Roman" w:cs="Times New Roman"/>
          <w:sz w:val="24"/>
          <w:szCs w:val="24"/>
        </w:rPr>
        <w:t xml:space="preserve"> urbaniste</w:t>
      </w:r>
      <w:r w:rsidRPr="00412B28">
        <w:rPr>
          <w:rFonts w:ascii="Times New Roman" w:hAnsi="Times New Roman" w:cs="Times New Roman"/>
          <w:sz w:val="24"/>
          <w:szCs w:val="24"/>
          <w:lang w:val="sr-Cyrl-RS"/>
        </w:rPr>
        <w:t>. Predložena zakonska rešenja propisuju da Agencija počinje sa radom najkasnije u roku od tri meseca od dana stupanja na snagu ovog zakona. Agencija preuzima zaposlene i postavljena lica u Ministarstvu građevinarstva, saobraćaja i infrastrukture, koji rade na poslovima iz nadležnosti Agencije, predmete, arhivu i drugu stručnu dokumentaciju koja se odnosi na poslove iz nadležnosti Agencije, kao i opremu, sredstva za rad i druga sredstva koja je koristilo Ministarstvo građevinarstva, saobraćaja i infrastrukture u obavljanju navedenih poslova. Do početka rada Agencije poslove iz nadležnosti Agencije obavlja ministarstvo nadležno za polove prostornog planiranja i urbanizma. Republički geodetski zavod je dužan da u roku od 30 dana od dana osnivanja Agencije,  Agenciji ustupi podatke, softver i svu raspoloživu dokumentaciju u vezi sa Centralnim registrom planskih dokumenata. Agencija je dužna da u roku 60 dana od dana dostavljanja podataka, softvera i raspoložive dokumentacije od Republičkog geodetskog zavoda, uspostavi Centralni registar planskih dokumenata i učini ga javno dostupnim. Predsednika i članove upravnog odbora, kao i direktora agencije, imenuje Vlada u roku od tri meseca od dana stupanja na snagu ovog zakona. Upravni odbor agencije donosi Statut agencije u roku od 30 dana od dana imenovanja. Jedinice lokalne samouprave dužne su da Agenciji u roku od šest meseci od dana osnivanja Agencije, dostave podatke o brownfield lokacijama na svojoj teritoriji. Agencija se obavezuje da u roku šest meseci od dana dostavljanja podataka od jedinica lokalnih samouprava, sačini Registar podataka o brownfield lokacijama i učini ga javno dostupnim.</w:t>
      </w:r>
    </w:p>
    <w:p w14:paraId="728C45C2"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p>
    <w:p w14:paraId="0A5D12AC"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Da li postojeća javna uprava ima kapacit</w:t>
      </w:r>
      <w:r w:rsidRPr="00412B28">
        <w:rPr>
          <w:rFonts w:ascii="Times New Roman" w:hAnsi="Times New Roman" w:cs="Times New Roman"/>
          <w:sz w:val="24"/>
          <w:szCs w:val="24"/>
          <w:lang w:val="sr-Cyrl-RS"/>
        </w:rPr>
        <w:t>et</w:t>
      </w:r>
      <w:r w:rsidRPr="00412B28">
        <w:rPr>
          <w:rFonts w:ascii="Times New Roman" w:hAnsi="Times New Roman" w:cs="Times New Roman"/>
          <w:sz w:val="24"/>
          <w:szCs w:val="24"/>
        </w:rPr>
        <w:t xml:space="preserve"> za sprovođenje izabran</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(uključujući i kvalitet i kvantitet raspoloživih kapaciteta) i da li je potrebno preduzeti određene mere za poboljšanje tih kapaciteta? </w:t>
      </w:r>
    </w:p>
    <w:p w14:paraId="2FA2193E" w14:textId="77777777" w:rsidR="00EA2B24" w:rsidRPr="00412B28" w:rsidRDefault="00EA2B24" w:rsidP="00CB41F0">
      <w:pPr>
        <w:pStyle w:val="CommentText"/>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Odgovor je pozitivan, ima kapacitete. Što se Agencije tiče, Trenutno postoje kapaciteti za inicijalno osnivanje i početak rada Agencije. Do početka rada Agencije, ovi poslovi će se obavljati u ministarstvu. Jačanje kapaciteta biće sprovedeno po potrebi u budućnosti u skladu sa dosadašnjom uobičajenom praksom jačanja kapaciteta institucija u Republici Srbiji.</w:t>
      </w:r>
    </w:p>
    <w:p w14:paraId="78AF214F" w14:textId="77777777" w:rsidR="00EA2B24" w:rsidRPr="00412B28" w:rsidRDefault="00EA2B24" w:rsidP="00CB41F0">
      <w:pPr>
        <w:pStyle w:val="CommentText"/>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Trenutno postoje kapaciteti za inicijalno sprovođenje novih odredbi u vezi konverzije u RGZu. Do početka rada Agencije, ovi poslovi će se obavljati u ministarstvu. Jačanje kapaciteta biće sprovedeno po potrebi u budućnosti u skladu sa dosadašnjom uobičajenom praksom jačanja kapaciteta institucija u Republici Srbiji. RGZ će u ovom postupku samo registrovati prethodno sprovedene postupke kroz e – šalter.</w:t>
      </w:r>
    </w:p>
    <w:p w14:paraId="719DBFF8"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 xml:space="preserve">Da li </w:t>
      </w:r>
      <w:r w:rsidRPr="00412B28">
        <w:rPr>
          <w:rFonts w:ascii="Times New Roman" w:hAnsi="Times New Roman" w:cs="Times New Roman"/>
          <w:sz w:val="24"/>
          <w:szCs w:val="24"/>
          <w:lang w:val="sr-Cyrl-RS"/>
        </w:rPr>
        <w:t>je</w:t>
      </w:r>
      <w:r w:rsidRPr="00412B28">
        <w:rPr>
          <w:rFonts w:ascii="Times New Roman" w:hAnsi="Times New Roman" w:cs="Times New Roman"/>
          <w:sz w:val="24"/>
          <w:szCs w:val="24"/>
        </w:rPr>
        <w:t xml:space="preserve"> za realizaciju izabran</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bilo potrebno izvršiti restrukturiranje postojećeg državnog organa, odnosno drugog subjekta javnog sektora (npr. proširenje, ukidanje, promene funkcija/hijerarhije, unapređenje tehničkih i ljudskih kapaciteta i sl.) i u kojem  vremenskom periodu je to potrebno sprovesti?</w:t>
      </w:r>
    </w:p>
    <w:p w14:paraId="4BDA7911"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Odgovor je potvrdan. Formiranje </w:t>
      </w:r>
      <w:r w:rsidRPr="00412B28">
        <w:rPr>
          <w:rFonts w:ascii="Times New Roman" w:hAnsi="Times New Roman" w:cs="Times New Roman"/>
          <w:sz w:val="24"/>
          <w:szCs w:val="24"/>
        </w:rPr>
        <w:t>Agencije za prostorno planiranje i urbanizam Republike Srbije</w:t>
      </w:r>
      <w:r w:rsidRPr="00412B28">
        <w:rPr>
          <w:rFonts w:ascii="Times New Roman" w:hAnsi="Times New Roman" w:cs="Times New Roman"/>
          <w:sz w:val="24"/>
          <w:szCs w:val="24"/>
          <w:lang w:val="sr-Cyrl-RS"/>
        </w:rPr>
        <w:t xml:space="preserve"> zahtevaće određene izmene i redistribuciju kadrova u okviru nadležnih organa. Rok za realizaciju ovih aktivnosti je tri meseca od dana stupanja na snagu Izmena i dopuna Zakona.</w:t>
      </w:r>
    </w:p>
    <w:p w14:paraId="17635147"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Da li </w:t>
      </w:r>
      <w:r w:rsidRPr="00412B28">
        <w:rPr>
          <w:rFonts w:ascii="Times New Roman" w:hAnsi="Times New Roman" w:cs="Times New Roman"/>
          <w:sz w:val="24"/>
          <w:szCs w:val="24"/>
          <w:lang w:val="sr-Cyrl-RS"/>
        </w:rPr>
        <w:t>je</w:t>
      </w:r>
      <w:r w:rsidRPr="00412B28">
        <w:rPr>
          <w:rFonts w:ascii="Times New Roman" w:hAnsi="Times New Roman" w:cs="Times New Roman"/>
          <w:sz w:val="24"/>
          <w:szCs w:val="24"/>
        </w:rPr>
        <w:t xml:space="preserve">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 saglasnosti sa važećim propisima, međunarodnim sporazumima i usvojenim dokumentima javnih politika? </w:t>
      </w:r>
    </w:p>
    <w:p w14:paraId="5831CAF0"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Da.</w:t>
      </w:r>
    </w:p>
    <w:p w14:paraId="0943313B"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 xml:space="preserve">e </w:t>
      </w:r>
      <w:r w:rsidRPr="00412B28">
        <w:rPr>
          <w:rFonts w:ascii="Times New Roman" w:hAnsi="Times New Roman" w:cs="Times New Roman"/>
          <w:sz w:val="24"/>
          <w:szCs w:val="24"/>
        </w:rPr>
        <w:t>na vladavinu prava i bezbednost?</w:t>
      </w:r>
    </w:p>
    <w:p w14:paraId="71C46851"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w:t>
      </w:r>
    </w:p>
    <w:p w14:paraId="16E2DAFF"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Da li izabran</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opcij</w:t>
      </w:r>
      <w:r w:rsidRPr="00412B28">
        <w:rPr>
          <w:rFonts w:ascii="Times New Roman" w:hAnsi="Times New Roman" w:cs="Times New Roman"/>
          <w:sz w:val="24"/>
          <w:szCs w:val="24"/>
          <w:lang w:val="sr-Cyrl-RS"/>
        </w:rPr>
        <w:t>a</w:t>
      </w:r>
      <w:r w:rsidRPr="00412B28">
        <w:rPr>
          <w:rFonts w:ascii="Times New Roman" w:hAnsi="Times New Roman" w:cs="Times New Roman"/>
          <w:sz w:val="24"/>
          <w:szCs w:val="24"/>
        </w:rPr>
        <w:t xml:space="preserve"> utič</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 xml:space="preserve"> na odgovornost </w:t>
      </w:r>
      <w:r w:rsidRPr="00412B28">
        <w:rPr>
          <w:rFonts w:ascii="Times New Roman" w:hAnsi="Times New Roman" w:cs="Times New Roman"/>
          <w:sz w:val="24"/>
          <w:szCs w:val="24"/>
          <w:lang w:val="sr-Cyrl-RS"/>
        </w:rPr>
        <w:t xml:space="preserve"> i transparentnost </w:t>
      </w:r>
      <w:r w:rsidRPr="00412B28">
        <w:rPr>
          <w:rFonts w:ascii="Times New Roman" w:hAnsi="Times New Roman" w:cs="Times New Roman"/>
          <w:sz w:val="24"/>
          <w:szCs w:val="24"/>
        </w:rPr>
        <w:t>rada javne uprave i na koji način?</w:t>
      </w:r>
    </w:p>
    <w:p w14:paraId="17F82DF3"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Da. Dovodi do povećanja transparentnosti.</w:t>
      </w:r>
    </w:p>
    <w:p w14:paraId="2707776E" w14:textId="77777777" w:rsidR="00EA2B24" w:rsidRPr="00412B28" w:rsidRDefault="00EA2B24" w:rsidP="00CB41F0">
      <w:pPr>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Između ostalog, </w:t>
      </w:r>
      <w:r w:rsidRPr="00412B28">
        <w:rPr>
          <w:rFonts w:ascii="Times New Roman" w:eastAsia="Times New Roman" w:hAnsi="Times New Roman" w:cs="Times New Roman"/>
          <w:sz w:val="24"/>
          <w:szCs w:val="24"/>
          <w:lang w:val="sr-Cyrl-RS"/>
        </w:rPr>
        <w:t>n</w:t>
      </w:r>
      <w:r w:rsidRPr="00412B28">
        <w:rPr>
          <w:rFonts w:ascii="Times New Roman" w:eastAsia="Times New Roman" w:hAnsi="Times New Roman" w:cs="Times New Roman"/>
          <w:sz w:val="24"/>
          <w:szCs w:val="24"/>
          <w:lang w:val="sr-Cyrl-CS"/>
        </w:rPr>
        <w:t xml:space="preserve">ovim zakonskim rešenjem, predviđeno je </w:t>
      </w:r>
      <w:r w:rsidRPr="00412B28">
        <w:rPr>
          <w:rFonts w:ascii="Times New Roman" w:hAnsi="Times New Roman" w:cs="Times New Roman"/>
          <w:sz w:val="24"/>
          <w:szCs w:val="24"/>
          <w:lang w:val="sr-Cyrl-CS"/>
        </w:rPr>
        <w:t xml:space="preserve">ukidanje </w:t>
      </w:r>
      <w:r w:rsidRPr="00412B28">
        <w:rPr>
          <w:rFonts w:ascii="Times New Roman" w:hAnsi="Times New Roman" w:cs="Times New Roman"/>
          <w:i/>
          <w:sz w:val="24"/>
          <w:szCs w:val="24"/>
          <w:lang w:val="sr-Latn-CS"/>
        </w:rPr>
        <w:t xml:space="preserve">lex specialisa </w:t>
      </w:r>
      <w:r w:rsidRPr="00412B28">
        <w:rPr>
          <w:rFonts w:ascii="Times New Roman" w:hAnsi="Times New Roman" w:cs="Times New Roman"/>
          <w:sz w:val="24"/>
          <w:szCs w:val="24"/>
          <w:lang w:val="sr-Cyrl-CS"/>
        </w:rPr>
        <w:t xml:space="preserve">za linijsku infrastrukturu, </w:t>
      </w:r>
      <w:r w:rsidRPr="00412B28">
        <w:rPr>
          <w:rFonts w:ascii="Times New Roman" w:hAnsi="Times New Roman" w:cs="Times New Roman"/>
          <w:sz w:val="24"/>
          <w:szCs w:val="24"/>
          <w:lang w:val="sr-Cyrl-RS"/>
        </w:rPr>
        <w:t>što je jedna od ključnih zamerki Evropske komisije EU u ovoj oblasti</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prvenstveno sa aspekta transparentnosti procesa.</w:t>
      </w:r>
    </w:p>
    <w:p w14:paraId="647D7A9F" w14:textId="77777777" w:rsidR="00EA2B24" w:rsidRPr="00412B28" w:rsidRDefault="00EA2B24" w:rsidP="00CB41F0">
      <w:pPr>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Naime, u izveštaju Evropske komisije za 2022. godinu konstatovano je da veliki broj izuzetaka od primene Zakona o javnim nabavkama predstavlja ozbiljan rizik od korupcije u javnim nabavkama. Zakonu o posebnim postupcima radi realizacije projekata izgradnje i rekonstrukcije linijskih infrastrukturnih objekata od posebnog značaja za Republiku Srbiju nedostaju jasnoća procedura odabira i transparentnost. </w:t>
      </w:r>
    </w:p>
    <w:p w14:paraId="3CD6006D" w14:textId="77777777" w:rsidR="00EA2B24" w:rsidRPr="00412B28" w:rsidRDefault="00EA2B24" w:rsidP="00CB41F0">
      <w:pPr>
        <w:ind w:left="720"/>
        <w:jc w:val="both"/>
        <w:rPr>
          <w:rFonts w:ascii="Times New Roman" w:eastAsia="Times New Roman" w:hAnsi="Times New Roman" w:cs="Times New Roman"/>
          <w:sz w:val="24"/>
          <w:szCs w:val="24"/>
          <w:lang w:val="sr-Cyrl-RS"/>
        </w:rPr>
      </w:pPr>
      <w:r w:rsidRPr="00412B28">
        <w:rPr>
          <w:rFonts w:ascii="Times New Roman" w:eastAsia="Times New Roman" w:hAnsi="Times New Roman" w:cs="Times New Roman"/>
          <w:sz w:val="24"/>
          <w:szCs w:val="24"/>
          <w:lang w:val="sr-Cyrl-CS"/>
        </w:rPr>
        <w:t xml:space="preserve">Ukidanjem predmetnog </w:t>
      </w:r>
      <w:r w:rsidRPr="00412B28">
        <w:rPr>
          <w:rFonts w:ascii="Times New Roman" w:eastAsia="Times New Roman" w:hAnsi="Times New Roman" w:cs="Times New Roman"/>
          <w:sz w:val="24"/>
          <w:szCs w:val="24"/>
        </w:rPr>
        <w:t xml:space="preserve">lex specialisa, </w:t>
      </w:r>
      <w:r w:rsidRPr="00412B28">
        <w:rPr>
          <w:rFonts w:ascii="Times New Roman" w:eastAsia="Times New Roman" w:hAnsi="Times New Roman" w:cs="Times New Roman"/>
          <w:sz w:val="24"/>
          <w:szCs w:val="24"/>
          <w:lang w:val="sr-Cyrl-RS"/>
        </w:rPr>
        <w:t>povećava se transparentnost na polju realizacije pomenutih projekata.</w:t>
      </w:r>
    </w:p>
    <w:p w14:paraId="78DB2731"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p>
    <w:p w14:paraId="0A7B7B97" w14:textId="77777777" w:rsidR="00EA2B24" w:rsidRPr="00412B28" w:rsidRDefault="00EA2B24" w:rsidP="00CB41F0">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Koje dodatne mere treba sprovesti i koliko vremena će biti potrebno da se sprovede </w:t>
      </w:r>
      <w:r w:rsidRPr="00412B28">
        <w:rPr>
          <w:rFonts w:ascii="Times New Roman" w:hAnsi="Times New Roman" w:cs="Times New Roman"/>
          <w:sz w:val="24"/>
          <w:szCs w:val="24"/>
          <w:lang w:val="sr-Cyrl-RS"/>
        </w:rPr>
        <w:t>izabrana</w:t>
      </w:r>
      <w:r w:rsidRPr="00412B28">
        <w:rPr>
          <w:rFonts w:ascii="Times New Roman" w:hAnsi="Times New Roman" w:cs="Times New Roman"/>
          <w:sz w:val="24"/>
          <w:szCs w:val="24"/>
        </w:rPr>
        <w:t xml:space="preserve"> opcija i obezbedi njeno kasnije dosledno sprovođenje, odnosno njena održivost? </w:t>
      </w:r>
    </w:p>
    <w:p w14:paraId="3E40FBD7" w14:textId="77777777" w:rsidR="00EA2B24" w:rsidRPr="00412B28" w:rsidRDefault="00EA2B24" w:rsidP="00CB41F0">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Nema dodatnih mera. Očekuje se da predložene izmene i dopune Zakona počnu da daju efekte u kratkom i srednjem roku.</w:t>
      </w:r>
    </w:p>
    <w:p w14:paraId="5E0A327B" w14:textId="77777777" w:rsidR="00EA2B24" w:rsidRPr="00412B28" w:rsidRDefault="00EA2B24" w:rsidP="00CB41F0">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483F8E8C" w14:textId="77777777" w:rsidR="00EA2B24" w:rsidRPr="00412B28" w:rsidRDefault="00EA2B24" w:rsidP="00CB41F0">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PRILOG 10:</w:t>
      </w:r>
    </w:p>
    <w:p w14:paraId="494C5FFC" w14:textId="77777777" w:rsidR="00EA2B24" w:rsidRPr="00412B28" w:rsidRDefault="00EA2B24" w:rsidP="00CB41F0">
      <w:pPr>
        <w:pStyle w:val="ListParagraph"/>
        <w:spacing w:before="240" w:line="276" w:lineRule="auto"/>
        <w:jc w:val="right"/>
        <w:rPr>
          <w:rFonts w:ascii="Times New Roman" w:hAnsi="Times New Roman" w:cs="Times New Roman"/>
          <w:b/>
          <w:sz w:val="24"/>
          <w:szCs w:val="24"/>
          <w:u w:val="single"/>
        </w:rPr>
      </w:pPr>
    </w:p>
    <w:p w14:paraId="120B1932"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analizu rizika</w:t>
      </w:r>
    </w:p>
    <w:p w14:paraId="4ED2540D" w14:textId="77777777" w:rsidR="00EA2B24" w:rsidRPr="00412B28" w:rsidRDefault="00EA2B24" w:rsidP="00CB41F0">
      <w:pPr>
        <w:pStyle w:val="ListParagraph"/>
        <w:numPr>
          <w:ilvl w:val="0"/>
          <w:numId w:val="8"/>
        </w:numPr>
        <w:shd w:val="clear" w:color="auto" w:fill="C6D9F1" w:themeFill="text2" w:themeFillTint="33"/>
        <w:spacing w:before="240" w:after="0" w:line="276" w:lineRule="auto"/>
        <w:jc w:val="both"/>
        <w:rPr>
          <w:rFonts w:ascii="Times New Roman" w:eastAsia="Times New Roman" w:hAnsi="Times New Roman" w:cs="Times New Roman"/>
          <w:sz w:val="24"/>
          <w:szCs w:val="24"/>
        </w:rPr>
      </w:pPr>
      <w:r w:rsidRPr="00412B28">
        <w:rPr>
          <w:rFonts w:ascii="Times New Roman" w:eastAsia="Times New Roman" w:hAnsi="Times New Roman" w:cs="Times New Roman"/>
          <w:sz w:val="24"/>
          <w:szCs w:val="24"/>
          <w:lang w:val="ru-RU"/>
        </w:rPr>
        <w:t xml:space="preserve">Da li je za sprovođenje </w:t>
      </w:r>
      <w:r w:rsidRPr="00412B28">
        <w:rPr>
          <w:rFonts w:ascii="Times New Roman" w:hAnsi="Times New Roman" w:cs="Times New Roman"/>
          <w:sz w:val="24"/>
          <w:szCs w:val="24"/>
        </w:rPr>
        <w:t>izabran</w:t>
      </w:r>
      <w:r w:rsidRPr="00412B28">
        <w:rPr>
          <w:rFonts w:ascii="Times New Roman" w:hAnsi="Times New Roman" w:cs="Times New Roman"/>
          <w:sz w:val="24"/>
          <w:szCs w:val="24"/>
          <w:lang w:val="sr-Cyrl-RS"/>
        </w:rPr>
        <w:t>e</w:t>
      </w:r>
      <w:r w:rsidRPr="00412B28">
        <w:rPr>
          <w:rFonts w:ascii="Times New Roman" w:eastAsia="Times New Roman" w:hAnsi="Times New Roman" w:cs="Times New Roman"/>
          <w:sz w:val="24"/>
          <w:szCs w:val="24"/>
          <w:lang w:val="ru-RU"/>
        </w:rPr>
        <w:t xml:space="preserve"> opcije obezbeđena podrška svih ključnih zainteresovanih strana i ciljnih grupa? Da li je sprovođenje </w:t>
      </w:r>
      <w:r w:rsidRPr="00412B28">
        <w:rPr>
          <w:rFonts w:ascii="Times New Roman" w:hAnsi="Times New Roman" w:cs="Times New Roman"/>
          <w:sz w:val="24"/>
          <w:szCs w:val="24"/>
        </w:rPr>
        <w:t>izabran</w:t>
      </w:r>
      <w:r w:rsidRPr="00412B28">
        <w:rPr>
          <w:rFonts w:ascii="Times New Roman" w:hAnsi="Times New Roman" w:cs="Times New Roman"/>
          <w:sz w:val="24"/>
          <w:szCs w:val="24"/>
          <w:lang w:val="sr-Cyrl-RS"/>
        </w:rPr>
        <w:t>e</w:t>
      </w:r>
      <w:r w:rsidRPr="00412B28">
        <w:rPr>
          <w:rFonts w:ascii="Times New Roman" w:eastAsia="Times New Roman" w:hAnsi="Times New Roman" w:cs="Times New Roman"/>
          <w:sz w:val="24"/>
          <w:szCs w:val="24"/>
          <w:lang w:val="ru-RU"/>
        </w:rPr>
        <w:t xml:space="preserve"> opcije prioritet za donosioce odluka u narednom periodu (Narodnu skupštinu, Vladu, državne organe i slično)?</w:t>
      </w:r>
    </w:p>
    <w:p w14:paraId="75EF5C19"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eastAsia="Times New Roman" w:hAnsi="Times New Roman" w:cs="Times New Roman"/>
          <w:sz w:val="24"/>
          <w:szCs w:val="24"/>
        </w:rPr>
      </w:pPr>
      <w:r w:rsidRPr="00412B28">
        <w:rPr>
          <w:rFonts w:ascii="Times New Roman" w:eastAsia="Times New Roman" w:hAnsi="Times New Roman" w:cs="Times New Roman"/>
          <w:sz w:val="24"/>
          <w:szCs w:val="24"/>
          <w:lang w:val="ru-RU"/>
        </w:rPr>
        <w:t>Da.</w:t>
      </w:r>
    </w:p>
    <w:p w14:paraId="7AAD2211" w14:textId="77777777" w:rsidR="00EA2B24" w:rsidRPr="00412B28" w:rsidRDefault="00EA2B24" w:rsidP="00CB41F0">
      <w:pPr>
        <w:pStyle w:val="ListParagraph"/>
        <w:numPr>
          <w:ilvl w:val="0"/>
          <w:numId w:val="8"/>
        </w:numPr>
        <w:shd w:val="clear" w:color="auto" w:fill="C6D9F1" w:themeFill="text2" w:themeFillTint="33"/>
        <w:spacing w:before="240" w:after="0" w:line="276" w:lineRule="auto"/>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 xml:space="preserve">Da li su obezbeđena finansijska sredstva za sprovođenje </w:t>
      </w:r>
      <w:r w:rsidRPr="00412B28">
        <w:rPr>
          <w:rFonts w:ascii="Times New Roman" w:hAnsi="Times New Roman" w:cs="Times New Roman"/>
          <w:sz w:val="24"/>
          <w:szCs w:val="24"/>
        </w:rPr>
        <w:t>izabran</w:t>
      </w:r>
      <w:r w:rsidRPr="00412B28">
        <w:rPr>
          <w:rFonts w:ascii="Times New Roman" w:hAnsi="Times New Roman" w:cs="Times New Roman"/>
          <w:sz w:val="24"/>
          <w:szCs w:val="24"/>
          <w:lang w:val="sr-Cyrl-RS"/>
        </w:rPr>
        <w:t>e</w:t>
      </w:r>
      <w:r w:rsidRPr="00412B28">
        <w:rPr>
          <w:rFonts w:ascii="Times New Roman" w:eastAsia="Times New Roman" w:hAnsi="Times New Roman" w:cs="Times New Roman"/>
          <w:sz w:val="24"/>
          <w:szCs w:val="24"/>
          <w:lang w:val="ru-RU"/>
        </w:rPr>
        <w:t xml:space="preserve"> opcije? Da li je za sprovođenje </w:t>
      </w:r>
      <w:r w:rsidRPr="00412B28">
        <w:rPr>
          <w:rFonts w:ascii="Times New Roman" w:hAnsi="Times New Roman" w:cs="Times New Roman"/>
          <w:sz w:val="24"/>
          <w:szCs w:val="24"/>
        </w:rPr>
        <w:t>izabran</w:t>
      </w:r>
      <w:r w:rsidRPr="00412B28">
        <w:rPr>
          <w:rFonts w:ascii="Times New Roman" w:hAnsi="Times New Roman" w:cs="Times New Roman"/>
          <w:sz w:val="24"/>
          <w:szCs w:val="24"/>
          <w:lang w:val="sr-Cyrl-RS"/>
        </w:rPr>
        <w:t xml:space="preserve">e </w:t>
      </w:r>
      <w:r w:rsidRPr="00412B28">
        <w:rPr>
          <w:rFonts w:ascii="Times New Roman" w:eastAsia="Times New Roman" w:hAnsi="Times New Roman" w:cs="Times New Roman"/>
          <w:sz w:val="24"/>
          <w:szCs w:val="24"/>
          <w:lang w:val="ru-RU"/>
        </w:rPr>
        <w:t>opcije obezbeđeno dovoljno vremena za sprovođenje postupka javne nabavke ukoliko je ona potrebna?</w:t>
      </w:r>
    </w:p>
    <w:p w14:paraId="5F00D119"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Da.</w:t>
      </w:r>
    </w:p>
    <w:p w14:paraId="3D628DB7" w14:textId="77777777" w:rsidR="00EA2B24" w:rsidRPr="00412B28" w:rsidRDefault="00EA2B24" w:rsidP="00CB41F0">
      <w:pPr>
        <w:pStyle w:val="ListParagraph"/>
        <w:numPr>
          <w:ilvl w:val="0"/>
          <w:numId w:val="8"/>
        </w:numPr>
        <w:shd w:val="clear" w:color="auto" w:fill="C6D9F1" w:themeFill="text2" w:themeFillTint="33"/>
        <w:spacing w:before="240" w:after="0" w:line="276" w:lineRule="auto"/>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 xml:space="preserve">Da li postoji još neki rizik za sprovođenje </w:t>
      </w:r>
      <w:r w:rsidRPr="00412B28">
        <w:rPr>
          <w:rFonts w:ascii="Times New Roman" w:hAnsi="Times New Roman" w:cs="Times New Roman"/>
          <w:sz w:val="24"/>
          <w:szCs w:val="24"/>
        </w:rPr>
        <w:t>izabran</w:t>
      </w:r>
      <w:r w:rsidRPr="00412B28">
        <w:rPr>
          <w:rFonts w:ascii="Times New Roman" w:hAnsi="Times New Roman" w:cs="Times New Roman"/>
          <w:sz w:val="24"/>
          <w:szCs w:val="24"/>
          <w:lang w:val="sr-Cyrl-RS"/>
        </w:rPr>
        <w:t>e</w:t>
      </w:r>
      <w:r w:rsidRPr="00412B28">
        <w:rPr>
          <w:rFonts w:ascii="Times New Roman" w:eastAsia="Times New Roman" w:hAnsi="Times New Roman" w:cs="Times New Roman"/>
          <w:sz w:val="24"/>
          <w:szCs w:val="24"/>
          <w:lang w:val="ru-RU"/>
        </w:rPr>
        <w:t xml:space="preserve"> opcije?</w:t>
      </w:r>
    </w:p>
    <w:p w14:paraId="08E372F6" w14:textId="77777777" w:rsidR="00EA2B24" w:rsidRPr="00412B28" w:rsidRDefault="00EA2B24" w:rsidP="00CB41F0">
      <w:pPr>
        <w:pStyle w:val="ListParagraph"/>
        <w:shd w:val="clear" w:color="auto" w:fill="C6D9F1" w:themeFill="text2" w:themeFillTint="33"/>
        <w:spacing w:before="240" w:after="0" w:line="276" w:lineRule="auto"/>
        <w:ind w:left="1080"/>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Ne.</w:t>
      </w:r>
    </w:p>
    <w:p w14:paraId="18BDF3CD" w14:textId="77777777" w:rsidR="00EA2B24" w:rsidRPr="00412B28" w:rsidRDefault="00EA2B24" w:rsidP="00CB41F0">
      <w:pPr>
        <w:shd w:val="clear" w:color="auto" w:fill="C6D9F1" w:themeFill="text2" w:themeFillTint="33"/>
        <w:spacing w:before="240" w:line="276" w:lineRule="auto"/>
        <w:ind w:left="720"/>
        <w:jc w:val="both"/>
        <w:rPr>
          <w:rFonts w:ascii="Times New Roman" w:eastAsia="Times New Roman" w:hAnsi="Times New Roman" w:cs="Times New Roman"/>
          <w:sz w:val="24"/>
          <w:szCs w:val="24"/>
          <w:lang w:val="ru-RU"/>
        </w:rPr>
      </w:pPr>
    </w:p>
    <w:p w14:paraId="4A3ECE4C" w14:textId="77777777" w:rsidR="00EA2B24" w:rsidRPr="00412B28" w:rsidRDefault="00EA2B24" w:rsidP="00CB41F0">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667D16BE" w14:textId="77777777" w:rsidR="00EA2B24" w:rsidRPr="00412B28" w:rsidRDefault="00EA2B24" w:rsidP="00CB41F0">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PRILOG 11:</w:t>
      </w:r>
    </w:p>
    <w:p w14:paraId="67DE6EC2" w14:textId="77777777" w:rsidR="00EA2B24" w:rsidRPr="00412B28" w:rsidRDefault="00EA2B24" w:rsidP="00CB41F0">
      <w:pPr>
        <w:shd w:val="clear" w:color="auto" w:fill="C6D9F1" w:themeFill="text2" w:themeFillTint="33"/>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Oblasti planiranja i sprovođenja javnih politika</w:t>
      </w:r>
    </w:p>
    <w:p w14:paraId="5B4BEC5B"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Pravosuđe i pravni sistem;</w:t>
      </w:r>
    </w:p>
    <w:p w14:paraId="0AB73DC6"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Javna bezbednost;</w:t>
      </w:r>
    </w:p>
    <w:p w14:paraId="32C978D2"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Odbrana;</w:t>
      </w:r>
    </w:p>
    <w:p w14:paraId="762CEA5A"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Javna uprava;</w:t>
      </w:r>
    </w:p>
    <w:p w14:paraId="34276546"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Urbanizam, prostorno planiranje i građevinarstvo;</w:t>
      </w:r>
    </w:p>
    <w:p w14:paraId="6664FB87"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Konkurentnost;</w:t>
      </w:r>
    </w:p>
    <w:p w14:paraId="4B1266B9"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Mineralne sirovine i rudarstvo</w:t>
      </w:r>
      <w:r w:rsidRPr="00412B28">
        <w:rPr>
          <w:rFonts w:ascii="Times New Roman" w:hAnsi="Times New Roman" w:cs="Times New Roman"/>
          <w:sz w:val="24"/>
          <w:szCs w:val="24"/>
          <w:lang w:val="sr-Cyrl-RS"/>
        </w:rPr>
        <w:t xml:space="preserve"> i</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e</w:t>
      </w:r>
      <w:r w:rsidRPr="00412B28">
        <w:rPr>
          <w:rFonts w:ascii="Times New Roman" w:hAnsi="Times New Roman" w:cs="Times New Roman"/>
          <w:sz w:val="24"/>
          <w:szCs w:val="24"/>
        </w:rPr>
        <w:t>nergetika;</w:t>
      </w:r>
    </w:p>
    <w:p w14:paraId="1BFBAAA4"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Zaštita životne sredine;</w:t>
      </w:r>
    </w:p>
    <w:p w14:paraId="20CE0A7B"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 xml:space="preserve">Saobraćaj </w:t>
      </w:r>
      <w:r w:rsidRPr="00412B28">
        <w:rPr>
          <w:rFonts w:ascii="Times New Roman" w:hAnsi="Times New Roman" w:cs="Times New Roman"/>
          <w:sz w:val="24"/>
          <w:szCs w:val="24"/>
          <w:lang w:val="sr-Cyrl-RS"/>
        </w:rPr>
        <w:t>i komunikacije</w:t>
      </w:r>
      <w:r w:rsidRPr="00412B28">
        <w:rPr>
          <w:rFonts w:ascii="Times New Roman" w:hAnsi="Times New Roman" w:cs="Times New Roman"/>
          <w:sz w:val="24"/>
          <w:szCs w:val="24"/>
        </w:rPr>
        <w:t>;</w:t>
      </w:r>
    </w:p>
    <w:p w14:paraId="1B74CD4E"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lang w:val="sr-Cyrl-RS"/>
        </w:rPr>
        <w:t xml:space="preserve"> Zaposlenost i s</w:t>
      </w:r>
      <w:r w:rsidRPr="00412B28">
        <w:rPr>
          <w:rFonts w:ascii="Times New Roman" w:hAnsi="Times New Roman" w:cs="Times New Roman"/>
          <w:sz w:val="24"/>
          <w:szCs w:val="24"/>
        </w:rPr>
        <w:t>ocijalna zaštita;</w:t>
      </w:r>
    </w:p>
    <w:p w14:paraId="6AF4DAC9"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Zdravstvo;</w:t>
      </w:r>
    </w:p>
    <w:p w14:paraId="4E7A4CBA"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Sport;</w:t>
      </w:r>
    </w:p>
    <w:p w14:paraId="44DE5137"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Omladina;</w:t>
      </w:r>
    </w:p>
    <w:p w14:paraId="1FDE7610"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Obrazovanje;</w:t>
      </w:r>
    </w:p>
    <w:p w14:paraId="3463F770"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Poljoprivreda i ruralni razvoj;</w:t>
      </w:r>
    </w:p>
    <w:p w14:paraId="7A18634B"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Javno informisanje;</w:t>
      </w:r>
    </w:p>
    <w:p w14:paraId="14A62BC2"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Kultura;</w:t>
      </w:r>
    </w:p>
    <w:p w14:paraId="45E98087" w14:textId="77777777" w:rsidR="00EA2B24" w:rsidRPr="00412B28" w:rsidRDefault="00EA2B24" w:rsidP="00CB41F0">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Ljudska prava i građansko društvo (uključujući vere i dijasporu).</w:t>
      </w:r>
    </w:p>
    <w:p w14:paraId="29F486B9" w14:textId="77777777" w:rsidR="00EA2B24" w:rsidRPr="00412B28" w:rsidRDefault="00EA2B24" w:rsidP="00CB41F0">
      <w:pPr>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rPr>
        <w:t xml:space="preserve">a) Nadležni organ za celu oblast u obavezi je da u konsultacijama sa drugim organima odredi „krovni” dokument javne politike – </w:t>
      </w:r>
      <w:bookmarkStart w:id="2" w:name="_Hlk529973914"/>
      <w:r w:rsidRPr="00412B28">
        <w:rPr>
          <w:rFonts w:ascii="Times New Roman" w:hAnsi="Times New Roman" w:cs="Times New Roman"/>
          <w:sz w:val="24"/>
          <w:szCs w:val="24"/>
        </w:rPr>
        <w:t>strategiju za oblast planiranja i dokumente javne politike užeg obuhvata (program), kojima se razrađuje poseban cilj strategije</w:t>
      </w:r>
      <w:bookmarkEnd w:id="2"/>
      <w:r w:rsidRPr="00412B28">
        <w:rPr>
          <w:rFonts w:ascii="Times New Roman" w:hAnsi="Times New Roman" w:cs="Times New Roman"/>
          <w:sz w:val="24"/>
          <w:szCs w:val="24"/>
        </w:rPr>
        <w:t>;</w:t>
      </w:r>
    </w:p>
    <w:p w14:paraId="24E12C38" w14:textId="77777777" w:rsidR="00EA2B24" w:rsidRPr="00412B28" w:rsidRDefault="00EA2B24" w:rsidP="00CB41F0">
      <w:pPr>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rPr>
        <w:t>b) Ukoliko strategija za određenu oblast planiranja ne pokriva neku temu ili se pojavi nova tema ili problem, prvo se izrađuje koncept politike kao odgovarajući dokument javne politike.</w:t>
      </w:r>
    </w:p>
    <w:p w14:paraId="6D6A1EFB" w14:textId="77777777" w:rsidR="00EA2B24" w:rsidRPr="00412B28" w:rsidRDefault="00EA2B24" w:rsidP="00CB41F0">
      <w:pPr>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rPr>
        <w:t>v) Identifikovane oblasti planiranja i sprovođenja javnih politika na nacionalnom nivou su u direktnoj vezi sa devet sektora</w:t>
      </w:r>
      <w:r w:rsidRPr="00412B28">
        <w:rPr>
          <w:rStyle w:val="FootnoteReference"/>
          <w:rFonts w:ascii="Times New Roman" w:hAnsi="Times New Roman" w:cs="Times New Roman"/>
          <w:sz w:val="24"/>
          <w:szCs w:val="24"/>
        </w:rPr>
        <w:footnoteReference w:id="1"/>
      </w:r>
      <w:r w:rsidRPr="00412B28">
        <w:rPr>
          <w:rFonts w:ascii="Times New Roman" w:hAnsi="Times New Roman" w:cs="Times New Roman"/>
          <w:sz w:val="24"/>
          <w:szCs w:val="24"/>
        </w:rPr>
        <w:t xml:space="preserve"> koje je Vlada odabrala za usvajanje sektorskog pristupa u procesu evropskih integracija i koje koristi kao polaznu osnovu u planiranju i sprovođenju sredstava Evropske Unije i koordinaciji međunarodne razvojne pomoći. </w:t>
      </w:r>
    </w:p>
    <w:p w14:paraId="1B337DB2" w14:textId="77777777" w:rsidR="00EA2B24" w:rsidRPr="00412B28" w:rsidRDefault="00EA2B24" w:rsidP="00CB41F0">
      <w:pPr>
        <w:spacing w:after="20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r w:rsidRPr="00412B28">
        <w:rPr>
          <w:rFonts w:ascii="Times New Roman" w:hAnsi="Times New Roman" w:cs="Times New Roman"/>
          <w:b/>
          <w:sz w:val="24"/>
          <w:szCs w:val="24"/>
          <w:u w:val="single"/>
        </w:rPr>
        <w:lastRenderedPageBreak/>
        <w:t>PRILOG 12:</w:t>
      </w:r>
    </w:p>
    <w:p w14:paraId="2169C88B" w14:textId="77777777" w:rsidR="00EA2B24" w:rsidRPr="00412B28" w:rsidRDefault="00EA2B24" w:rsidP="00CB41F0">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Ključna pitanja za vrednovanje učinaka dokumenata javnih politika</w:t>
      </w:r>
    </w:p>
    <w:p w14:paraId="723F3CC8" w14:textId="77777777" w:rsidR="00EA2B24" w:rsidRPr="00412B28" w:rsidRDefault="00EA2B24" w:rsidP="00CB41F0">
      <w:pPr>
        <w:shd w:val="clear" w:color="auto" w:fill="FFFFFF" w:themeFill="background1"/>
        <w:spacing w:before="240" w:line="276" w:lineRule="auto"/>
        <w:rPr>
          <w:rFonts w:ascii="Times New Roman" w:hAnsi="Times New Roman" w:cs="Times New Roman"/>
          <w:b/>
          <w:sz w:val="24"/>
          <w:szCs w:val="24"/>
        </w:rPr>
      </w:pPr>
    </w:p>
    <w:p w14:paraId="7F0BBF03" w14:textId="77777777" w:rsidR="00EA2B24" w:rsidRPr="00412B28" w:rsidRDefault="00EA2B24" w:rsidP="00CB41F0">
      <w:pPr>
        <w:shd w:val="clear" w:color="auto" w:fill="C6D9F1" w:themeFill="text2" w:themeFillTint="33"/>
        <w:spacing w:before="240" w:line="276" w:lineRule="auto"/>
        <w:ind w:firstLine="720"/>
        <w:jc w:val="both"/>
        <w:rPr>
          <w:rFonts w:ascii="Times New Roman" w:hAnsi="Times New Roman" w:cs="Times New Roman"/>
          <w:sz w:val="24"/>
          <w:szCs w:val="24"/>
        </w:rPr>
      </w:pPr>
      <w:r w:rsidRPr="00412B28">
        <w:rPr>
          <w:rFonts w:ascii="Times New Roman" w:hAnsi="Times New Roman" w:cs="Times New Roman"/>
          <w:sz w:val="24"/>
          <w:szCs w:val="24"/>
        </w:rPr>
        <w:t>RELEVANTNOST/ZNAČAJ</w:t>
      </w:r>
    </w:p>
    <w:p w14:paraId="00ABC7C3" w14:textId="77777777" w:rsidR="00EA2B24" w:rsidRPr="00412B28" w:rsidRDefault="00EA2B24" w:rsidP="00CB41F0">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 xml:space="preserve">Da li su ciljevi politike u neposrednoj korelaciji sa nadređenim dokumentima javnih politika i prioritetima </w:t>
      </w:r>
      <w:r w:rsidRPr="00412B28">
        <w:rPr>
          <w:rFonts w:ascii="Times New Roman" w:hAnsi="Times New Roman" w:cs="Times New Roman"/>
          <w:sz w:val="24"/>
          <w:szCs w:val="24"/>
          <w:lang w:val="sr-Cyrl-RS"/>
        </w:rPr>
        <w:t>Vlade</w:t>
      </w:r>
      <w:r w:rsidRPr="00412B28">
        <w:rPr>
          <w:rFonts w:ascii="Times New Roman" w:hAnsi="Times New Roman" w:cs="Times New Roman"/>
          <w:sz w:val="24"/>
          <w:szCs w:val="24"/>
        </w:rPr>
        <w:t>?</w:t>
      </w:r>
    </w:p>
    <w:p w14:paraId="591B2615" w14:textId="77777777" w:rsidR="00EA2B24" w:rsidRPr="00412B28" w:rsidRDefault="00EA2B24" w:rsidP="00CB41F0">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Zašto je bila potrebna intervencija Vlade (kreiranje i sprovođenje javne politike)?</w:t>
      </w:r>
    </w:p>
    <w:p w14:paraId="0190CDD9" w14:textId="77777777" w:rsidR="00EA2B24" w:rsidRPr="00412B28" w:rsidRDefault="00EA2B24" w:rsidP="00CB41F0">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Da li su potrebe ciljnih grupa javne politike u potpunosti zadovoljene?</w:t>
      </w:r>
    </w:p>
    <w:p w14:paraId="2B35B116" w14:textId="77777777" w:rsidR="00EA2B24" w:rsidRPr="00412B28" w:rsidRDefault="00EA2B24" w:rsidP="00CB41F0">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Da li su postignuti efekti u direktnoj korelaciji sa ciljevima politike?</w:t>
      </w:r>
    </w:p>
    <w:p w14:paraId="45D755C3" w14:textId="77777777" w:rsidR="00EA2B24" w:rsidRPr="00412B28" w:rsidRDefault="00EA2B24" w:rsidP="00CB41F0">
      <w:pPr>
        <w:shd w:val="clear" w:color="auto" w:fill="C6D9F1" w:themeFill="text2" w:themeFillTint="33"/>
        <w:spacing w:before="240" w:line="276" w:lineRule="auto"/>
        <w:ind w:firstLine="709"/>
        <w:jc w:val="both"/>
        <w:rPr>
          <w:rFonts w:ascii="Times New Roman" w:hAnsi="Times New Roman" w:cs="Times New Roman"/>
          <w:sz w:val="24"/>
          <w:szCs w:val="24"/>
        </w:rPr>
      </w:pPr>
      <w:r w:rsidRPr="00412B28">
        <w:rPr>
          <w:rFonts w:ascii="Times New Roman" w:hAnsi="Times New Roman" w:cs="Times New Roman"/>
          <w:sz w:val="24"/>
          <w:szCs w:val="24"/>
        </w:rPr>
        <w:t>EFIKASNOST</w:t>
      </w:r>
    </w:p>
    <w:p w14:paraId="7101E4BA" w14:textId="77777777" w:rsidR="00EA2B24" w:rsidRPr="00412B28" w:rsidRDefault="00EA2B24" w:rsidP="00CB41F0">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Koji pokazatelji i ciljne vrednosti su definisane za rezultate i da li su ostvarene?</w:t>
      </w:r>
    </w:p>
    <w:p w14:paraId="70B0B5A5" w14:textId="77777777" w:rsidR="00EA2B24" w:rsidRPr="00412B28" w:rsidRDefault="00EA2B24" w:rsidP="00CB41F0">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Koliki su troškovi rezultata – po rezultatu i ukupno?</w:t>
      </w:r>
      <w:r w:rsidRPr="00412B28">
        <w:rPr>
          <w:rFonts w:ascii="Times New Roman" w:hAnsi="Times New Roman" w:cs="Times New Roman"/>
          <w:sz w:val="24"/>
          <w:szCs w:val="24"/>
          <w:lang w:val="sr-Cyrl-RS"/>
        </w:rPr>
        <w:t xml:space="preserve"> Koliko odstupaju od troškova koji su planirani?</w:t>
      </w:r>
    </w:p>
    <w:p w14:paraId="4635615E" w14:textId="77777777" w:rsidR="00EA2B24" w:rsidRPr="00412B28" w:rsidRDefault="00EA2B24" w:rsidP="00CB41F0">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Da li su angažovani resursi bili dovoljni za ostvarenje </w:t>
      </w:r>
      <w:r w:rsidRPr="00412B28">
        <w:rPr>
          <w:rFonts w:ascii="Times New Roman" w:hAnsi="Times New Roman" w:cs="Times New Roman"/>
          <w:sz w:val="24"/>
          <w:szCs w:val="24"/>
          <w:lang w:val="sr-Cyrl-RS"/>
        </w:rPr>
        <w:t>rezultata</w:t>
      </w:r>
      <w:r w:rsidRPr="00412B28">
        <w:rPr>
          <w:rFonts w:ascii="Times New Roman" w:hAnsi="Times New Roman" w:cs="Times New Roman"/>
          <w:sz w:val="24"/>
          <w:szCs w:val="24"/>
        </w:rPr>
        <w:t>?</w:t>
      </w:r>
    </w:p>
    <w:p w14:paraId="08E538AE" w14:textId="77777777" w:rsidR="00EA2B24" w:rsidRPr="00412B28" w:rsidRDefault="00EA2B24" w:rsidP="00CB41F0">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Da li su rezultati postignuti u skladu sa utvrđenim rokovima? Ukoliko nisu, koji su razlozi za to?</w:t>
      </w:r>
    </w:p>
    <w:p w14:paraId="5CBC2368" w14:textId="77777777" w:rsidR="00EA2B24" w:rsidRPr="00412B28" w:rsidRDefault="00EA2B24" w:rsidP="00CB41F0">
      <w:pPr>
        <w:shd w:val="clear" w:color="auto" w:fill="C6D9F1" w:themeFill="text2" w:themeFillTint="33"/>
        <w:spacing w:before="240" w:line="276" w:lineRule="auto"/>
        <w:ind w:firstLine="720"/>
        <w:jc w:val="both"/>
        <w:rPr>
          <w:rFonts w:ascii="Times New Roman" w:hAnsi="Times New Roman" w:cs="Times New Roman"/>
          <w:sz w:val="24"/>
          <w:szCs w:val="24"/>
        </w:rPr>
      </w:pPr>
      <w:r w:rsidRPr="00412B28">
        <w:rPr>
          <w:rFonts w:ascii="Times New Roman" w:hAnsi="Times New Roman" w:cs="Times New Roman"/>
          <w:sz w:val="24"/>
          <w:szCs w:val="24"/>
        </w:rPr>
        <w:t>EFEKTIVNOST</w:t>
      </w:r>
    </w:p>
    <w:p w14:paraId="38A72F76" w14:textId="77777777" w:rsidR="00EA2B24" w:rsidRPr="00412B28" w:rsidRDefault="00EA2B24" w:rsidP="00CB41F0">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Da li su </w:t>
      </w:r>
      <w:r w:rsidRPr="00412B28">
        <w:rPr>
          <w:rFonts w:ascii="Times New Roman" w:hAnsi="Times New Roman" w:cs="Times New Roman"/>
          <w:sz w:val="24"/>
          <w:szCs w:val="24"/>
          <w:lang w:val="sr-Cyrl-RS"/>
        </w:rPr>
        <w:t>planirani efekti i</w:t>
      </w:r>
      <w:r w:rsidRPr="00412B28">
        <w:rPr>
          <w:rFonts w:ascii="Times New Roman" w:hAnsi="Times New Roman" w:cs="Times New Roman"/>
          <w:sz w:val="24"/>
          <w:szCs w:val="24"/>
        </w:rPr>
        <w:t xml:space="preserve"> ishodi postignuti i razvojni uslovi promenjeni? </w:t>
      </w:r>
    </w:p>
    <w:p w14:paraId="00D4A42D" w14:textId="77777777" w:rsidR="00EA2B24" w:rsidRPr="00412B28" w:rsidRDefault="00EA2B24" w:rsidP="00CB41F0">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Ukoliko nisu, da li je moguće kvantifikovati razliku i pronaći uzroke?</w:t>
      </w:r>
    </w:p>
    <w:p w14:paraId="78AB11CF" w14:textId="77777777" w:rsidR="00EA2B24" w:rsidRPr="00412B28" w:rsidRDefault="00EA2B24" w:rsidP="00CB41F0">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Da li su izabrane aktivnosti/mere relevantne i najadekvatnije za postizanje rezultata?</w:t>
      </w:r>
    </w:p>
    <w:p w14:paraId="55D72CA2" w14:textId="77777777" w:rsidR="00EA2B24" w:rsidRPr="00412B28" w:rsidRDefault="00EA2B24" w:rsidP="00CB41F0">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Da li su korisnici javne politike zadovoljni postignutim ishodima?</w:t>
      </w:r>
    </w:p>
    <w:p w14:paraId="3AD82096" w14:textId="77777777" w:rsidR="00EA2B24" w:rsidRPr="00412B28" w:rsidRDefault="00EA2B24" w:rsidP="00CB41F0">
      <w:pPr>
        <w:shd w:val="clear" w:color="auto" w:fill="C6D9F1" w:themeFill="text2" w:themeFillTint="33"/>
        <w:spacing w:before="240" w:line="276" w:lineRule="auto"/>
        <w:ind w:firstLine="720"/>
        <w:jc w:val="both"/>
        <w:rPr>
          <w:rFonts w:ascii="Times New Roman" w:hAnsi="Times New Roman" w:cs="Times New Roman"/>
          <w:sz w:val="24"/>
          <w:szCs w:val="24"/>
        </w:rPr>
      </w:pPr>
      <w:r w:rsidRPr="00412B28">
        <w:rPr>
          <w:rFonts w:ascii="Times New Roman" w:hAnsi="Times New Roman" w:cs="Times New Roman"/>
          <w:sz w:val="24"/>
          <w:szCs w:val="24"/>
        </w:rPr>
        <w:t>ODRŽIVOST</w:t>
      </w:r>
    </w:p>
    <w:p w14:paraId="1066FD40" w14:textId="77777777" w:rsidR="00EA2B24" w:rsidRPr="00412B28" w:rsidRDefault="00EA2B24" w:rsidP="00CB41F0">
      <w:pPr>
        <w:pStyle w:val="ListParagraph"/>
        <w:numPr>
          <w:ilvl w:val="0"/>
          <w:numId w:val="13"/>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Da li su finansijski i ekonomski mehanizmi uspostavljeni u cilju dugotrajnih</w:t>
      </w:r>
      <w:r w:rsidRPr="00412B28">
        <w:rPr>
          <w:rFonts w:ascii="Times New Roman" w:hAnsi="Times New Roman" w:cs="Times New Roman"/>
          <w:sz w:val="24"/>
          <w:szCs w:val="24"/>
          <w:lang w:val="sr-Cyrl-RS"/>
        </w:rPr>
        <w:t xml:space="preserve"> i održivih</w:t>
      </w:r>
      <w:r w:rsidRPr="00412B28">
        <w:rPr>
          <w:rFonts w:ascii="Times New Roman" w:hAnsi="Times New Roman" w:cs="Times New Roman"/>
          <w:sz w:val="24"/>
          <w:szCs w:val="24"/>
        </w:rPr>
        <w:t xml:space="preserve"> koristi od konkretne javne politike?</w:t>
      </w:r>
    </w:p>
    <w:p w14:paraId="5A0E4329" w14:textId="77777777" w:rsidR="00EA2B24" w:rsidRPr="00412B28" w:rsidRDefault="00EA2B24" w:rsidP="00CB41F0">
      <w:pPr>
        <w:pStyle w:val="ListParagraph"/>
        <w:numPr>
          <w:ilvl w:val="0"/>
          <w:numId w:val="13"/>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Da li se u okviru važećeg regulatornog okvira može omogućiti trajnije kreiranje koristi od konkretne javne politike?</w:t>
      </w:r>
    </w:p>
    <w:p w14:paraId="70335D99" w14:textId="77777777" w:rsidR="00EA2B24" w:rsidRPr="00CB41F0" w:rsidRDefault="00EA2B24" w:rsidP="00CB41F0">
      <w:pPr>
        <w:pStyle w:val="ListParagraph"/>
        <w:numPr>
          <w:ilvl w:val="0"/>
          <w:numId w:val="13"/>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Da li postoje odgovarajući institucionalni kapaciteti za trajno održavanje pozitivnih efekata konkretne javne politike?</w:t>
      </w:r>
    </w:p>
    <w:sectPr w:rsidR="00EA2B24" w:rsidRPr="00CB41F0" w:rsidSect="00564D6D">
      <w:pgSz w:w="12240" w:h="15840" w:code="1"/>
      <w:pgMar w:top="990" w:right="1418" w:bottom="1418" w:left="1418"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E8F0AB" w14:textId="77777777" w:rsidR="002B1439" w:rsidRDefault="002B1439" w:rsidP="00001FF2">
      <w:pPr>
        <w:spacing w:after="0" w:line="240" w:lineRule="auto"/>
      </w:pPr>
      <w:r>
        <w:separator/>
      </w:r>
    </w:p>
  </w:endnote>
  <w:endnote w:type="continuationSeparator" w:id="0">
    <w:p w14:paraId="557DC54B" w14:textId="77777777" w:rsidR="002B1439" w:rsidRDefault="002B1439" w:rsidP="00001F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dy)">
    <w:altName w:val="Calibri"/>
    <w:panose1 w:val="00000000000000000000"/>
    <w:charset w:val="00"/>
    <w:family w:val="roman"/>
    <w:notTrueType/>
    <w:pitch w:val="default"/>
  </w:font>
  <w:font w:name="Open Sans">
    <w:altName w:val="Arial"/>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1956788"/>
      <w:docPartObj>
        <w:docPartGallery w:val="Page Numbers (Bottom of Page)"/>
        <w:docPartUnique/>
      </w:docPartObj>
    </w:sdtPr>
    <w:sdtContent>
      <w:p w14:paraId="72364ABD" w14:textId="77777777" w:rsidR="00EA2B24" w:rsidRDefault="00EA2B24">
        <w:pPr>
          <w:pStyle w:val="Footer"/>
          <w:jc w:val="right"/>
        </w:pPr>
        <w:r>
          <w:fldChar w:fldCharType="begin"/>
        </w:r>
        <w:r>
          <w:instrText xml:space="preserve"> PAGE   \* MERGEFORMAT </w:instrText>
        </w:r>
        <w:r>
          <w:fldChar w:fldCharType="separate"/>
        </w:r>
        <w:r>
          <w:rPr>
            <w:noProof/>
          </w:rPr>
          <w:t>65</w:t>
        </w:r>
        <w:r>
          <w:rPr>
            <w:noProof/>
          </w:rPr>
          <w:fldChar w:fldCharType="end"/>
        </w:r>
      </w:p>
    </w:sdtContent>
  </w:sdt>
  <w:p w14:paraId="27DE225B" w14:textId="77777777" w:rsidR="00EA2B24" w:rsidRDefault="00EA2B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9C6E41" w14:textId="77777777" w:rsidR="002B1439" w:rsidRDefault="002B1439" w:rsidP="00001FF2">
      <w:pPr>
        <w:spacing w:after="0" w:line="240" w:lineRule="auto"/>
      </w:pPr>
      <w:r>
        <w:separator/>
      </w:r>
    </w:p>
  </w:footnote>
  <w:footnote w:type="continuationSeparator" w:id="0">
    <w:p w14:paraId="267866BB" w14:textId="77777777" w:rsidR="002B1439" w:rsidRDefault="002B1439" w:rsidP="00001FF2">
      <w:pPr>
        <w:spacing w:after="0" w:line="240" w:lineRule="auto"/>
      </w:pPr>
      <w:r>
        <w:continuationSeparator/>
      </w:r>
    </w:p>
  </w:footnote>
  <w:footnote w:id="1">
    <w:p w14:paraId="5C8B9740" w14:textId="77777777" w:rsidR="00EA2B24" w:rsidRPr="00DF00B2" w:rsidRDefault="00EA2B24" w:rsidP="00CB41F0">
      <w:pPr>
        <w:pStyle w:val="FootnoteText"/>
        <w:rPr>
          <w:rFonts w:ascii="Times New Roman" w:hAnsi="Times New Roman" w:cs="Times New Roman"/>
        </w:rPr>
      </w:pPr>
      <w:r w:rsidRPr="00DF00B2">
        <w:rPr>
          <w:rStyle w:val="FootnoteReference"/>
          <w:rFonts w:ascii="Times New Roman" w:hAnsi="Times New Roman" w:cs="Times New Roman"/>
        </w:rPr>
        <w:footnoteRef/>
      </w:r>
      <w:r w:rsidRPr="00DF00B2">
        <w:rPr>
          <w:rFonts w:ascii="Times New Roman" w:hAnsi="Times New Roman" w:cs="Times New Roman"/>
        </w:rPr>
        <w:t xml:space="preserve"> </w:t>
      </w:r>
      <w:r>
        <w:rPr>
          <w:rFonts w:ascii="Times New Roman" w:hAnsi="Times New Roman" w:cs="Times New Roman"/>
        </w:rPr>
        <w:t>p</w:t>
      </w:r>
      <w:r w:rsidRPr="00DF00B2">
        <w:rPr>
          <w:rFonts w:ascii="Times New Roman" w:hAnsi="Times New Roman" w:cs="Times New Roman"/>
        </w:rPr>
        <w:t xml:space="preserve">ravda, </w:t>
      </w:r>
      <w:r>
        <w:rPr>
          <w:rFonts w:ascii="Times New Roman" w:hAnsi="Times New Roman" w:cs="Times New Roman"/>
        </w:rPr>
        <w:t>u</w:t>
      </w:r>
      <w:r w:rsidRPr="00DF00B2">
        <w:rPr>
          <w:rFonts w:ascii="Times New Roman" w:hAnsi="Times New Roman" w:cs="Times New Roman"/>
        </w:rPr>
        <w:t xml:space="preserve">nutrašnji poslovi, </w:t>
      </w:r>
      <w:r>
        <w:rPr>
          <w:rFonts w:ascii="Times New Roman" w:hAnsi="Times New Roman" w:cs="Times New Roman"/>
        </w:rPr>
        <w:t>r</w:t>
      </w:r>
      <w:r w:rsidRPr="00DF00B2">
        <w:rPr>
          <w:rFonts w:ascii="Times New Roman" w:hAnsi="Times New Roman" w:cs="Times New Roman"/>
        </w:rPr>
        <w:t xml:space="preserve">eforma javne uprave, </w:t>
      </w:r>
      <w:r>
        <w:rPr>
          <w:rFonts w:ascii="Times New Roman" w:hAnsi="Times New Roman" w:cs="Times New Roman"/>
        </w:rPr>
        <w:t>r</w:t>
      </w:r>
      <w:r w:rsidRPr="00DF00B2">
        <w:rPr>
          <w:rFonts w:ascii="Times New Roman" w:hAnsi="Times New Roman" w:cs="Times New Roman"/>
        </w:rPr>
        <w:t xml:space="preserve">azvoj ljudskih resursa i društveni razvoj, </w:t>
      </w:r>
      <w:r>
        <w:rPr>
          <w:rFonts w:ascii="Times New Roman" w:hAnsi="Times New Roman" w:cs="Times New Roman"/>
        </w:rPr>
        <w:t>k</w:t>
      </w:r>
      <w:r w:rsidRPr="00DF00B2">
        <w:rPr>
          <w:rFonts w:ascii="Times New Roman" w:hAnsi="Times New Roman" w:cs="Times New Roman"/>
        </w:rPr>
        <w:t>onk</w:t>
      </w:r>
      <w:r>
        <w:rPr>
          <w:rFonts w:ascii="Times New Roman" w:hAnsi="Times New Roman" w:cs="Times New Roman"/>
        </w:rPr>
        <w:t>u</w:t>
      </w:r>
      <w:r w:rsidRPr="00DF00B2">
        <w:rPr>
          <w:rFonts w:ascii="Times New Roman" w:hAnsi="Times New Roman" w:cs="Times New Roman"/>
        </w:rPr>
        <w:t>re</w:t>
      </w:r>
      <w:r>
        <w:rPr>
          <w:rFonts w:ascii="Times New Roman" w:hAnsi="Times New Roman" w:cs="Times New Roman"/>
        </w:rPr>
        <w:t>n</w:t>
      </w:r>
      <w:r w:rsidRPr="00DF00B2">
        <w:rPr>
          <w:rFonts w:ascii="Times New Roman" w:hAnsi="Times New Roman" w:cs="Times New Roman"/>
        </w:rPr>
        <w:t xml:space="preserve">tnost, </w:t>
      </w:r>
      <w:r>
        <w:rPr>
          <w:rFonts w:ascii="Times New Roman" w:hAnsi="Times New Roman" w:cs="Times New Roman"/>
        </w:rPr>
        <w:t>ž</w:t>
      </w:r>
      <w:r w:rsidRPr="00DF00B2">
        <w:rPr>
          <w:rFonts w:ascii="Times New Roman" w:hAnsi="Times New Roman" w:cs="Times New Roman"/>
        </w:rPr>
        <w:t xml:space="preserve">ivotna sredina i klimatske promene, </w:t>
      </w:r>
      <w:r>
        <w:rPr>
          <w:rFonts w:ascii="Times New Roman" w:hAnsi="Times New Roman" w:cs="Times New Roman"/>
        </w:rPr>
        <w:t>e</w:t>
      </w:r>
      <w:r w:rsidRPr="00DF00B2">
        <w:rPr>
          <w:rFonts w:ascii="Times New Roman" w:hAnsi="Times New Roman" w:cs="Times New Roman"/>
        </w:rPr>
        <w:t xml:space="preserve">nergetika, </w:t>
      </w:r>
      <w:r>
        <w:rPr>
          <w:rFonts w:ascii="Times New Roman" w:hAnsi="Times New Roman" w:cs="Times New Roman"/>
        </w:rPr>
        <w:t>s</w:t>
      </w:r>
      <w:r w:rsidRPr="00DF00B2">
        <w:rPr>
          <w:rFonts w:ascii="Times New Roman" w:hAnsi="Times New Roman" w:cs="Times New Roman"/>
        </w:rPr>
        <w:t>aobraćaj</w:t>
      </w:r>
      <w:r>
        <w:rPr>
          <w:rFonts w:ascii="Times New Roman" w:hAnsi="Times New Roman" w:cs="Times New Roman"/>
        </w:rPr>
        <w:t>,</w:t>
      </w:r>
      <w:r w:rsidRPr="00DF00B2">
        <w:rPr>
          <w:rFonts w:ascii="Times New Roman" w:hAnsi="Times New Roman" w:cs="Times New Roman"/>
        </w:rPr>
        <w:t xml:space="preserve"> </w:t>
      </w:r>
      <w:r>
        <w:rPr>
          <w:rFonts w:ascii="Times New Roman" w:hAnsi="Times New Roman" w:cs="Times New Roman"/>
        </w:rPr>
        <w:t>p</w:t>
      </w:r>
      <w:r w:rsidRPr="00DF00B2">
        <w:rPr>
          <w:rFonts w:ascii="Times New Roman" w:hAnsi="Times New Roman" w:cs="Times New Roman"/>
        </w:rPr>
        <w:t>oljoprivreda i ruralni razvoj</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42F7E"/>
    <w:multiLevelType w:val="hybridMultilevel"/>
    <w:tmpl w:val="F6D88680"/>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1D1DCF"/>
    <w:multiLevelType w:val="hybridMultilevel"/>
    <w:tmpl w:val="F4F2AB56"/>
    <w:lvl w:ilvl="0" w:tplc="02FE3274">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2" w15:restartNumberingAfterBreak="0">
    <w:nsid w:val="03CB3D71"/>
    <w:multiLevelType w:val="hybridMultilevel"/>
    <w:tmpl w:val="9B104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44B46"/>
    <w:multiLevelType w:val="hybridMultilevel"/>
    <w:tmpl w:val="A476BA6A"/>
    <w:lvl w:ilvl="0" w:tplc="04090005">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E7B40C9"/>
    <w:multiLevelType w:val="hybridMultilevel"/>
    <w:tmpl w:val="627EE0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3E01BD"/>
    <w:multiLevelType w:val="hybridMultilevel"/>
    <w:tmpl w:val="FF0C0A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612C5F"/>
    <w:multiLevelType w:val="hybridMultilevel"/>
    <w:tmpl w:val="346434F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F777FC6"/>
    <w:multiLevelType w:val="hybridMultilevel"/>
    <w:tmpl w:val="81EA5E82"/>
    <w:lvl w:ilvl="0" w:tplc="D630741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44A0D15"/>
    <w:multiLevelType w:val="hybridMultilevel"/>
    <w:tmpl w:val="3DA4317A"/>
    <w:lvl w:ilvl="0" w:tplc="04090005">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639425F"/>
    <w:multiLevelType w:val="hybridMultilevel"/>
    <w:tmpl w:val="35B48308"/>
    <w:lvl w:ilvl="0" w:tplc="3738E462">
      <w:start w:val="1"/>
      <w:numFmt w:val="decimal"/>
      <w:lvlText w:val="%1."/>
      <w:lvlJc w:val="left"/>
      <w:pPr>
        <w:ind w:left="720" w:hanging="360"/>
      </w:pPr>
      <w:rPr>
        <w:rFonts w:eastAsiaTheme="minorHAnsi"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D5691C"/>
    <w:multiLevelType w:val="hybridMultilevel"/>
    <w:tmpl w:val="65C6F496"/>
    <w:lvl w:ilvl="0" w:tplc="281A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15:restartNumberingAfterBreak="0">
    <w:nsid w:val="1C77457B"/>
    <w:multiLevelType w:val="hybridMultilevel"/>
    <w:tmpl w:val="62B63E4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F9838F4"/>
    <w:multiLevelType w:val="hybridMultilevel"/>
    <w:tmpl w:val="41F4A2B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B33DC1"/>
    <w:multiLevelType w:val="hybridMultilevel"/>
    <w:tmpl w:val="B12801A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750B5A"/>
    <w:multiLevelType w:val="hybridMultilevel"/>
    <w:tmpl w:val="668EF28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2232169"/>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004991"/>
    <w:multiLevelType w:val="multilevel"/>
    <w:tmpl w:val="27DC6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5E54424"/>
    <w:multiLevelType w:val="hybridMultilevel"/>
    <w:tmpl w:val="DB2CA946"/>
    <w:lvl w:ilvl="0" w:tplc="04090005">
      <w:start w:val="1"/>
      <w:numFmt w:val="bullet"/>
      <w:lvlText w:val=""/>
      <w:lvlJc w:val="left"/>
      <w:pPr>
        <w:ind w:left="1077" w:hanging="360"/>
      </w:pPr>
      <w:rPr>
        <w:rFonts w:ascii="Wingdings" w:hAnsi="Wingdings"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8" w15:restartNumberingAfterBreak="0">
    <w:nsid w:val="374F173B"/>
    <w:multiLevelType w:val="hybridMultilevel"/>
    <w:tmpl w:val="57F0100C"/>
    <w:lvl w:ilvl="0" w:tplc="FD900AAA">
      <w:start w:val="1"/>
      <w:numFmt w:val="decimal"/>
      <w:lvlText w:val="%1)"/>
      <w:lvlJc w:val="left"/>
      <w:pPr>
        <w:ind w:left="720" w:hanging="360"/>
      </w:pPr>
      <w:rPr>
        <w:rFonts w:asciiTheme="minorHAnsi" w:hAnsiTheme="minorHAnsi" w:cstheme="minorBidi"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9" w15:restartNumberingAfterBreak="0">
    <w:nsid w:val="37D653E9"/>
    <w:multiLevelType w:val="hybridMultilevel"/>
    <w:tmpl w:val="49F6F122"/>
    <w:lvl w:ilvl="0" w:tplc="5C00E1C8">
      <w:start w:val="1"/>
      <w:numFmt w:val="decimal"/>
      <w:lvlText w:val="%1."/>
      <w:lvlJc w:val="left"/>
      <w:pPr>
        <w:ind w:left="1080" w:hanging="360"/>
      </w:pPr>
      <w:rPr>
        <w:rFonts w:hint="default"/>
        <w:b w:val="0"/>
        <w:u w:val="no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39DC6319"/>
    <w:multiLevelType w:val="hybridMultilevel"/>
    <w:tmpl w:val="11D807DE"/>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3CEE46C0"/>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4C2732"/>
    <w:multiLevelType w:val="hybridMultilevel"/>
    <w:tmpl w:val="B4944110"/>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7960D87"/>
    <w:multiLevelType w:val="hybridMultilevel"/>
    <w:tmpl w:val="652CA1E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47FA7EBD"/>
    <w:multiLevelType w:val="hybridMultilevel"/>
    <w:tmpl w:val="1C22AA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B1D4F78"/>
    <w:multiLevelType w:val="hybridMultilevel"/>
    <w:tmpl w:val="09DA47C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D4338AB"/>
    <w:multiLevelType w:val="hybridMultilevel"/>
    <w:tmpl w:val="824C3F04"/>
    <w:lvl w:ilvl="0" w:tplc="04090005">
      <w:start w:val="1"/>
      <w:numFmt w:val="bullet"/>
      <w:lvlText w:val=""/>
      <w:lvlJc w:val="left"/>
      <w:pPr>
        <w:ind w:left="1080" w:hanging="360"/>
      </w:pPr>
      <w:rPr>
        <w:rFonts w:ascii="Wingdings" w:hAnsi="Wingding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512D6A41"/>
    <w:multiLevelType w:val="hybridMultilevel"/>
    <w:tmpl w:val="F740EE9C"/>
    <w:lvl w:ilvl="0" w:tplc="5A0C187E">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28" w15:restartNumberingAfterBreak="0">
    <w:nsid w:val="52E6180E"/>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261C25"/>
    <w:multiLevelType w:val="hybridMultilevel"/>
    <w:tmpl w:val="BDEA6DA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548F40A9"/>
    <w:multiLevelType w:val="hybridMultilevel"/>
    <w:tmpl w:val="ADE22CAE"/>
    <w:lvl w:ilvl="0" w:tplc="04090005">
      <w:start w:val="1"/>
      <w:numFmt w:val="bullet"/>
      <w:lvlText w:val=""/>
      <w:lvlJc w:val="left"/>
      <w:pPr>
        <w:ind w:left="720" w:hanging="360"/>
      </w:pPr>
      <w:rPr>
        <w:rFonts w:ascii="Wingdings" w:hAnsi="Wingdings" w:hint="default"/>
      </w:rPr>
    </w:lvl>
    <w:lvl w:ilvl="1" w:tplc="7C08A866">
      <w:start w:val="4"/>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549C275C"/>
    <w:multiLevelType w:val="hybridMultilevel"/>
    <w:tmpl w:val="31D4FC88"/>
    <w:lvl w:ilvl="0" w:tplc="DB50463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2" w15:restartNumberingAfterBreak="0">
    <w:nsid w:val="564A297C"/>
    <w:multiLevelType w:val="hybridMultilevel"/>
    <w:tmpl w:val="E9029CE8"/>
    <w:lvl w:ilvl="0" w:tplc="DC6E1A30">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3" w15:restartNumberingAfterBreak="0">
    <w:nsid w:val="57191C62"/>
    <w:multiLevelType w:val="hybridMultilevel"/>
    <w:tmpl w:val="0ED0B5A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66C27BDE"/>
    <w:multiLevelType w:val="hybridMultilevel"/>
    <w:tmpl w:val="FF0C0A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A451F11"/>
    <w:multiLevelType w:val="hybridMultilevel"/>
    <w:tmpl w:val="F15C1DD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6A5044A6"/>
    <w:multiLevelType w:val="hybridMultilevel"/>
    <w:tmpl w:val="D94E4926"/>
    <w:lvl w:ilvl="0" w:tplc="A15AA73A">
      <w:start w:val="1"/>
      <w:numFmt w:val="decimal"/>
      <w:lvlText w:val="%1."/>
      <w:lvlJc w:val="left"/>
      <w:pPr>
        <w:ind w:left="835" w:hanging="360"/>
      </w:pPr>
      <w:rPr>
        <w:rFonts w:hint="default"/>
      </w:rPr>
    </w:lvl>
    <w:lvl w:ilvl="1" w:tplc="04090019" w:tentative="1">
      <w:start w:val="1"/>
      <w:numFmt w:val="lowerLetter"/>
      <w:lvlText w:val="%2."/>
      <w:lvlJc w:val="left"/>
      <w:pPr>
        <w:ind w:left="1555" w:hanging="360"/>
      </w:pPr>
    </w:lvl>
    <w:lvl w:ilvl="2" w:tplc="0409001B" w:tentative="1">
      <w:start w:val="1"/>
      <w:numFmt w:val="lowerRoman"/>
      <w:lvlText w:val="%3."/>
      <w:lvlJc w:val="right"/>
      <w:pPr>
        <w:ind w:left="2275" w:hanging="180"/>
      </w:pPr>
    </w:lvl>
    <w:lvl w:ilvl="3" w:tplc="0409000F" w:tentative="1">
      <w:start w:val="1"/>
      <w:numFmt w:val="decimal"/>
      <w:lvlText w:val="%4."/>
      <w:lvlJc w:val="left"/>
      <w:pPr>
        <w:ind w:left="2995" w:hanging="360"/>
      </w:pPr>
    </w:lvl>
    <w:lvl w:ilvl="4" w:tplc="04090019" w:tentative="1">
      <w:start w:val="1"/>
      <w:numFmt w:val="lowerLetter"/>
      <w:lvlText w:val="%5."/>
      <w:lvlJc w:val="left"/>
      <w:pPr>
        <w:ind w:left="3715" w:hanging="360"/>
      </w:pPr>
    </w:lvl>
    <w:lvl w:ilvl="5" w:tplc="0409001B" w:tentative="1">
      <w:start w:val="1"/>
      <w:numFmt w:val="lowerRoman"/>
      <w:lvlText w:val="%6."/>
      <w:lvlJc w:val="right"/>
      <w:pPr>
        <w:ind w:left="4435" w:hanging="180"/>
      </w:pPr>
    </w:lvl>
    <w:lvl w:ilvl="6" w:tplc="0409000F" w:tentative="1">
      <w:start w:val="1"/>
      <w:numFmt w:val="decimal"/>
      <w:lvlText w:val="%7."/>
      <w:lvlJc w:val="left"/>
      <w:pPr>
        <w:ind w:left="5155" w:hanging="360"/>
      </w:pPr>
    </w:lvl>
    <w:lvl w:ilvl="7" w:tplc="04090019" w:tentative="1">
      <w:start w:val="1"/>
      <w:numFmt w:val="lowerLetter"/>
      <w:lvlText w:val="%8."/>
      <w:lvlJc w:val="left"/>
      <w:pPr>
        <w:ind w:left="5875" w:hanging="360"/>
      </w:pPr>
    </w:lvl>
    <w:lvl w:ilvl="8" w:tplc="0409001B" w:tentative="1">
      <w:start w:val="1"/>
      <w:numFmt w:val="lowerRoman"/>
      <w:lvlText w:val="%9."/>
      <w:lvlJc w:val="right"/>
      <w:pPr>
        <w:ind w:left="6595" w:hanging="180"/>
      </w:pPr>
    </w:lvl>
  </w:abstractNum>
  <w:abstractNum w:abstractNumId="37" w15:restartNumberingAfterBreak="0">
    <w:nsid w:val="6C8F7F8F"/>
    <w:multiLevelType w:val="hybridMultilevel"/>
    <w:tmpl w:val="71FC5ED0"/>
    <w:lvl w:ilvl="0" w:tplc="1842F8E0">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557CE3"/>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056A7D"/>
    <w:multiLevelType w:val="hybridMultilevel"/>
    <w:tmpl w:val="C52A80B4"/>
    <w:lvl w:ilvl="0" w:tplc="AF4A4606">
      <w:start w:val="1"/>
      <w:numFmt w:val="decimal"/>
      <w:lvlText w:val="%1)"/>
      <w:lvlJc w:val="left"/>
      <w:pPr>
        <w:ind w:left="840" w:hanging="360"/>
      </w:pPr>
    </w:lvl>
    <w:lvl w:ilvl="1" w:tplc="04090019">
      <w:start w:val="1"/>
      <w:numFmt w:val="lowerLetter"/>
      <w:lvlText w:val="%2."/>
      <w:lvlJc w:val="left"/>
      <w:pPr>
        <w:ind w:left="1560" w:hanging="360"/>
      </w:pPr>
    </w:lvl>
    <w:lvl w:ilvl="2" w:tplc="0409001B">
      <w:start w:val="1"/>
      <w:numFmt w:val="lowerRoman"/>
      <w:lvlText w:val="%3."/>
      <w:lvlJc w:val="right"/>
      <w:pPr>
        <w:ind w:left="2280" w:hanging="180"/>
      </w:pPr>
    </w:lvl>
    <w:lvl w:ilvl="3" w:tplc="0409000F">
      <w:start w:val="1"/>
      <w:numFmt w:val="decimal"/>
      <w:lvlText w:val="%4."/>
      <w:lvlJc w:val="left"/>
      <w:pPr>
        <w:ind w:left="3000" w:hanging="360"/>
      </w:pPr>
    </w:lvl>
    <w:lvl w:ilvl="4" w:tplc="04090019">
      <w:start w:val="1"/>
      <w:numFmt w:val="lowerLetter"/>
      <w:lvlText w:val="%5."/>
      <w:lvlJc w:val="left"/>
      <w:pPr>
        <w:ind w:left="3720" w:hanging="360"/>
      </w:pPr>
    </w:lvl>
    <w:lvl w:ilvl="5" w:tplc="0409001B">
      <w:start w:val="1"/>
      <w:numFmt w:val="lowerRoman"/>
      <w:lvlText w:val="%6."/>
      <w:lvlJc w:val="right"/>
      <w:pPr>
        <w:ind w:left="4440" w:hanging="180"/>
      </w:pPr>
    </w:lvl>
    <w:lvl w:ilvl="6" w:tplc="0409000F">
      <w:start w:val="1"/>
      <w:numFmt w:val="decimal"/>
      <w:lvlText w:val="%7."/>
      <w:lvlJc w:val="left"/>
      <w:pPr>
        <w:ind w:left="5160" w:hanging="360"/>
      </w:pPr>
    </w:lvl>
    <w:lvl w:ilvl="7" w:tplc="04090019">
      <w:start w:val="1"/>
      <w:numFmt w:val="lowerLetter"/>
      <w:lvlText w:val="%8."/>
      <w:lvlJc w:val="left"/>
      <w:pPr>
        <w:ind w:left="5880" w:hanging="360"/>
      </w:pPr>
    </w:lvl>
    <w:lvl w:ilvl="8" w:tplc="0409001B">
      <w:start w:val="1"/>
      <w:numFmt w:val="lowerRoman"/>
      <w:lvlText w:val="%9."/>
      <w:lvlJc w:val="right"/>
      <w:pPr>
        <w:ind w:left="6600" w:hanging="180"/>
      </w:pPr>
    </w:lvl>
  </w:abstractNum>
  <w:abstractNum w:abstractNumId="40" w15:restartNumberingAfterBreak="0">
    <w:nsid w:val="73AE253F"/>
    <w:multiLevelType w:val="hybridMultilevel"/>
    <w:tmpl w:val="1B32BB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74361B07"/>
    <w:multiLevelType w:val="hybridMultilevel"/>
    <w:tmpl w:val="A80AF142"/>
    <w:lvl w:ilvl="0" w:tplc="C47A393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2" w15:restartNumberingAfterBreak="0">
    <w:nsid w:val="76CC4B37"/>
    <w:multiLevelType w:val="hybridMultilevel"/>
    <w:tmpl w:val="3C6C6BD8"/>
    <w:lvl w:ilvl="0" w:tplc="4580981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8F409A4"/>
    <w:multiLevelType w:val="hybridMultilevel"/>
    <w:tmpl w:val="293C6424"/>
    <w:lvl w:ilvl="0" w:tplc="E5E2D2FC">
      <w:start w:val="1"/>
      <w:numFmt w:val="decimal"/>
      <w:lvlText w:val="%1)"/>
      <w:lvlJc w:val="left"/>
      <w:pPr>
        <w:ind w:left="720" w:hanging="360"/>
      </w:pPr>
      <w:rPr>
        <w:rFonts w:hint="default"/>
        <w:b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4" w15:restartNumberingAfterBreak="0">
    <w:nsid w:val="7AC64B2C"/>
    <w:multiLevelType w:val="hybridMultilevel"/>
    <w:tmpl w:val="43A808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BB4707B"/>
    <w:multiLevelType w:val="hybridMultilevel"/>
    <w:tmpl w:val="BD10C022"/>
    <w:lvl w:ilvl="0" w:tplc="E5E2D2FC">
      <w:start w:val="1"/>
      <w:numFmt w:val="decimal"/>
      <w:lvlText w:val="%1)"/>
      <w:lvlJc w:val="left"/>
      <w:pPr>
        <w:ind w:left="2203" w:hanging="360"/>
      </w:pPr>
      <w:rPr>
        <w:rFonts w:hint="default"/>
        <w:b w:val="0"/>
      </w:rPr>
    </w:lvl>
    <w:lvl w:ilvl="1" w:tplc="241A0019" w:tentative="1">
      <w:start w:val="1"/>
      <w:numFmt w:val="lowerLetter"/>
      <w:lvlText w:val="%2."/>
      <w:lvlJc w:val="left"/>
      <w:pPr>
        <w:ind w:left="2923" w:hanging="360"/>
      </w:pPr>
    </w:lvl>
    <w:lvl w:ilvl="2" w:tplc="241A001B" w:tentative="1">
      <w:start w:val="1"/>
      <w:numFmt w:val="lowerRoman"/>
      <w:lvlText w:val="%3."/>
      <w:lvlJc w:val="right"/>
      <w:pPr>
        <w:ind w:left="3643" w:hanging="180"/>
      </w:pPr>
    </w:lvl>
    <w:lvl w:ilvl="3" w:tplc="241A000F" w:tentative="1">
      <w:start w:val="1"/>
      <w:numFmt w:val="decimal"/>
      <w:lvlText w:val="%4."/>
      <w:lvlJc w:val="left"/>
      <w:pPr>
        <w:ind w:left="4363" w:hanging="360"/>
      </w:pPr>
    </w:lvl>
    <w:lvl w:ilvl="4" w:tplc="241A0019" w:tentative="1">
      <w:start w:val="1"/>
      <w:numFmt w:val="lowerLetter"/>
      <w:lvlText w:val="%5."/>
      <w:lvlJc w:val="left"/>
      <w:pPr>
        <w:ind w:left="5083" w:hanging="360"/>
      </w:pPr>
    </w:lvl>
    <w:lvl w:ilvl="5" w:tplc="241A001B" w:tentative="1">
      <w:start w:val="1"/>
      <w:numFmt w:val="lowerRoman"/>
      <w:lvlText w:val="%6."/>
      <w:lvlJc w:val="right"/>
      <w:pPr>
        <w:ind w:left="5803" w:hanging="180"/>
      </w:pPr>
    </w:lvl>
    <w:lvl w:ilvl="6" w:tplc="241A000F" w:tentative="1">
      <w:start w:val="1"/>
      <w:numFmt w:val="decimal"/>
      <w:lvlText w:val="%7."/>
      <w:lvlJc w:val="left"/>
      <w:pPr>
        <w:ind w:left="6523" w:hanging="360"/>
      </w:pPr>
    </w:lvl>
    <w:lvl w:ilvl="7" w:tplc="241A0019" w:tentative="1">
      <w:start w:val="1"/>
      <w:numFmt w:val="lowerLetter"/>
      <w:lvlText w:val="%8."/>
      <w:lvlJc w:val="left"/>
      <w:pPr>
        <w:ind w:left="7243" w:hanging="360"/>
      </w:pPr>
    </w:lvl>
    <w:lvl w:ilvl="8" w:tplc="241A001B" w:tentative="1">
      <w:start w:val="1"/>
      <w:numFmt w:val="lowerRoman"/>
      <w:lvlText w:val="%9."/>
      <w:lvlJc w:val="right"/>
      <w:pPr>
        <w:ind w:left="7963" w:hanging="180"/>
      </w:pPr>
    </w:lvl>
  </w:abstractNum>
  <w:num w:numId="1" w16cid:durableId="1780493188">
    <w:abstractNumId w:val="5"/>
  </w:num>
  <w:num w:numId="2" w16cid:durableId="1532454786">
    <w:abstractNumId w:val="28"/>
  </w:num>
  <w:num w:numId="3" w16cid:durableId="424494387">
    <w:abstractNumId w:val="0"/>
  </w:num>
  <w:num w:numId="4" w16cid:durableId="120656012">
    <w:abstractNumId w:val="15"/>
  </w:num>
  <w:num w:numId="5" w16cid:durableId="544758103">
    <w:abstractNumId w:val="13"/>
  </w:num>
  <w:num w:numId="6" w16cid:durableId="154957975">
    <w:abstractNumId w:val="21"/>
  </w:num>
  <w:num w:numId="7" w16cid:durableId="857085068">
    <w:abstractNumId w:val="38"/>
  </w:num>
  <w:num w:numId="8" w16cid:durableId="1832940183">
    <w:abstractNumId w:val="22"/>
  </w:num>
  <w:num w:numId="9" w16cid:durableId="456484692">
    <w:abstractNumId w:val="20"/>
  </w:num>
  <w:num w:numId="10" w16cid:durableId="1091314046">
    <w:abstractNumId w:val="29"/>
  </w:num>
  <w:num w:numId="11" w16cid:durableId="142940415">
    <w:abstractNumId w:val="35"/>
  </w:num>
  <w:num w:numId="12" w16cid:durableId="1032414484">
    <w:abstractNumId w:val="14"/>
  </w:num>
  <w:num w:numId="13" w16cid:durableId="1270623460">
    <w:abstractNumId w:val="25"/>
  </w:num>
  <w:num w:numId="14" w16cid:durableId="292487928">
    <w:abstractNumId w:val="34"/>
  </w:num>
  <w:num w:numId="15" w16cid:durableId="2125221832">
    <w:abstractNumId w:val="10"/>
  </w:num>
  <w:num w:numId="16" w16cid:durableId="1578176229">
    <w:abstractNumId w:val="23"/>
  </w:num>
  <w:num w:numId="17" w16cid:durableId="800269230">
    <w:abstractNumId w:val="6"/>
  </w:num>
  <w:num w:numId="18" w16cid:durableId="252788808">
    <w:abstractNumId w:val="11"/>
  </w:num>
  <w:num w:numId="19" w16cid:durableId="191383197">
    <w:abstractNumId w:val="33"/>
  </w:num>
  <w:num w:numId="20" w16cid:durableId="1228035366">
    <w:abstractNumId w:val="7"/>
  </w:num>
  <w:num w:numId="21" w16cid:durableId="11227338">
    <w:abstractNumId w:val="2"/>
  </w:num>
  <w:num w:numId="22" w16cid:durableId="692270786">
    <w:abstractNumId w:val="44"/>
  </w:num>
  <w:num w:numId="23" w16cid:durableId="844049812">
    <w:abstractNumId w:val="12"/>
  </w:num>
  <w:num w:numId="24" w16cid:durableId="1291980271">
    <w:abstractNumId w:val="19"/>
  </w:num>
  <w:num w:numId="25" w16cid:durableId="588660577">
    <w:abstractNumId w:val="4"/>
  </w:num>
  <w:num w:numId="26" w16cid:durableId="36055017">
    <w:abstractNumId w:val="42"/>
  </w:num>
  <w:num w:numId="27" w16cid:durableId="2130735896">
    <w:abstractNumId w:val="3"/>
  </w:num>
  <w:num w:numId="28" w16cid:durableId="1864782668">
    <w:abstractNumId w:val="8"/>
  </w:num>
  <w:num w:numId="29" w16cid:durableId="1552880883">
    <w:abstractNumId w:val="26"/>
  </w:num>
  <w:num w:numId="30" w16cid:durableId="154062822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958992648">
    <w:abstractNumId w:val="30"/>
  </w:num>
  <w:num w:numId="32" w16cid:durableId="43000714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19480298">
    <w:abstractNumId w:val="41"/>
  </w:num>
  <w:num w:numId="34" w16cid:durableId="1835485930">
    <w:abstractNumId w:val="37"/>
  </w:num>
  <w:num w:numId="35" w16cid:durableId="364603489">
    <w:abstractNumId w:val="24"/>
  </w:num>
  <w:num w:numId="36" w16cid:durableId="2035417216">
    <w:abstractNumId w:val="9"/>
  </w:num>
  <w:num w:numId="37" w16cid:durableId="1901551445">
    <w:abstractNumId w:val="36"/>
  </w:num>
  <w:num w:numId="38" w16cid:durableId="583690120">
    <w:abstractNumId w:val="16"/>
  </w:num>
  <w:num w:numId="39" w16cid:durableId="665016650">
    <w:abstractNumId w:val="17"/>
  </w:num>
  <w:num w:numId="40" w16cid:durableId="525562649">
    <w:abstractNumId w:val="31"/>
  </w:num>
  <w:num w:numId="41" w16cid:durableId="593125641">
    <w:abstractNumId w:val="1"/>
  </w:num>
  <w:num w:numId="42" w16cid:durableId="839006644">
    <w:abstractNumId w:val="27"/>
  </w:num>
  <w:num w:numId="43" w16cid:durableId="1941526817">
    <w:abstractNumId w:val="32"/>
  </w:num>
  <w:num w:numId="44" w16cid:durableId="1994481971">
    <w:abstractNumId w:val="18"/>
  </w:num>
  <w:num w:numId="45" w16cid:durableId="917788115">
    <w:abstractNumId w:val="43"/>
  </w:num>
  <w:num w:numId="46" w16cid:durableId="1030490779">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773"/>
    <w:rsid w:val="00001FF2"/>
    <w:rsid w:val="0000296D"/>
    <w:rsid w:val="000031C9"/>
    <w:rsid w:val="00004C1D"/>
    <w:rsid w:val="00010EF5"/>
    <w:rsid w:val="00011ADD"/>
    <w:rsid w:val="00012D30"/>
    <w:rsid w:val="0001785A"/>
    <w:rsid w:val="000207D3"/>
    <w:rsid w:val="00020C2F"/>
    <w:rsid w:val="00022308"/>
    <w:rsid w:val="00024041"/>
    <w:rsid w:val="00031237"/>
    <w:rsid w:val="00033EFD"/>
    <w:rsid w:val="000400AE"/>
    <w:rsid w:val="00040CA9"/>
    <w:rsid w:val="00040D23"/>
    <w:rsid w:val="00043AD1"/>
    <w:rsid w:val="0004525F"/>
    <w:rsid w:val="00050118"/>
    <w:rsid w:val="00053C14"/>
    <w:rsid w:val="00063C85"/>
    <w:rsid w:val="00067211"/>
    <w:rsid w:val="000725F0"/>
    <w:rsid w:val="00093301"/>
    <w:rsid w:val="0009545B"/>
    <w:rsid w:val="00097F5B"/>
    <w:rsid w:val="000A0654"/>
    <w:rsid w:val="000A3E6E"/>
    <w:rsid w:val="000A5F6B"/>
    <w:rsid w:val="000B125C"/>
    <w:rsid w:val="000B46AF"/>
    <w:rsid w:val="000B50C6"/>
    <w:rsid w:val="000B7A92"/>
    <w:rsid w:val="000C4862"/>
    <w:rsid w:val="000C6FDF"/>
    <w:rsid w:val="000D2C22"/>
    <w:rsid w:val="000D73B6"/>
    <w:rsid w:val="000E1AAD"/>
    <w:rsid w:val="000E384B"/>
    <w:rsid w:val="000F1AA2"/>
    <w:rsid w:val="000F4AED"/>
    <w:rsid w:val="00103042"/>
    <w:rsid w:val="0011033C"/>
    <w:rsid w:val="001229A3"/>
    <w:rsid w:val="00123489"/>
    <w:rsid w:val="001260A8"/>
    <w:rsid w:val="0013456D"/>
    <w:rsid w:val="001349EB"/>
    <w:rsid w:val="00137DB4"/>
    <w:rsid w:val="001453DA"/>
    <w:rsid w:val="00145D1B"/>
    <w:rsid w:val="00150840"/>
    <w:rsid w:val="00153A8E"/>
    <w:rsid w:val="001558A8"/>
    <w:rsid w:val="00170636"/>
    <w:rsid w:val="00170680"/>
    <w:rsid w:val="00175581"/>
    <w:rsid w:val="00175EE7"/>
    <w:rsid w:val="00177AA8"/>
    <w:rsid w:val="0018187A"/>
    <w:rsid w:val="001878C4"/>
    <w:rsid w:val="00187D61"/>
    <w:rsid w:val="0019173D"/>
    <w:rsid w:val="00193263"/>
    <w:rsid w:val="001958E5"/>
    <w:rsid w:val="00195ADA"/>
    <w:rsid w:val="00195F1F"/>
    <w:rsid w:val="00197E12"/>
    <w:rsid w:val="001A0729"/>
    <w:rsid w:val="001A0DB3"/>
    <w:rsid w:val="001A2A7F"/>
    <w:rsid w:val="001A3823"/>
    <w:rsid w:val="001A40A4"/>
    <w:rsid w:val="001B1EA0"/>
    <w:rsid w:val="001B7F6D"/>
    <w:rsid w:val="001C6EE8"/>
    <w:rsid w:val="001C7CEF"/>
    <w:rsid w:val="001D1CAD"/>
    <w:rsid w:val="001D2DDE"/>
    <w:rsid w:val="001D60A5"/>
    <w:rsid w:val="001D6100"/>
    <w:rsid w:val="001E2B65"/>
    <w:rsid w:val="001E5B01"/>
    <w:rsid w:val="001F001B"/>
    <w:rsid w:val="001F5103"/>
    <w:rsid w:val="00220C38"/>
    <w:rsid w:val="0022166D"/>
    <w:rsid w:val="00221C3C"/>
    <w:rsid w:val="002338F0"/>
    <w:rsid w:val="00237DBB"/>
    <w:rsid w:val="0024107B"/>
    <w:rsid w:val="00243D25"/>
    <w:rsid w:val="002478F5"/>
    <w:rsid w:val="00253B8C"/>
    <w:rsid w:val="00254122"/>
    <w:rsid w:val="00256997"/>
    <w:rsid w:val="00256D7A"/>
    <w:rsid w:val="00260B6A"/>
    <w:rsid w:val="00260C0F"/>
    <w:rsid w:val="002713C9"/>
    <w:rsid w:val="0028140B"/>
    <w:rsid w:val="002839B8"/>
    <w:rsid w:val="0028628E"/>
    <w:rsid w:val="00286DEB"/>
    <w:rsid w:val="002878FF"/>
    <w:rsid w:val="00291C3E"/>
    <w:rsid w:val="002A0A9A"/>
    <w:rsid w:val="002A154D"/>
    <w:rsid w:val="002A58F7"/>
    <w:rsid w:val="002B1439"/>
    <w:rsid w:val="002C25DD"/>
    <w:rsid w:val="002C59E9"/>
    <w:rsid w:val="002C7B16"/>
    <w:rsid w:val="002D0ABB"/>
    <w:rsid w:val="002D392D"/>
    <w:rsid w:val="002D455A"/>
    <w:rsid w:val="002D5E30"/>
    <w:rsid w:val="002D64CC"/>
    <w:rsid w:val="002E1C54"/>
    <w:rsid w:val="002E2EF2"/>
    <w:rsid w:val="002F1AEE"/>
    <w:rsid w:val="00300F79"/>
    <w:rsid w:val="00301E1C"/>
    <w:rsid w:val="00305786"/>
    <w:rsid w:val="0031076F"/>
    <w:rsid w:val="00314B29"/>
    <w:rsid w:val="00315FD0"/>
    <w:rsid w:val="00317FB8"/>
    <w:rsid w:val="00320402"/>
    <w:rsid w:val="00327991"/>
    <w:rsid w:val="00330C16"/>
    <w:rsid w:val="0033294A"/>
    <w:rsid w:val="003339CE"/>
    <w:rsid w:val="00336BCF"/>
    <w:rsid w:val="003370F6"/>
    <w:rsid w:val="00342426"/>
    <w:rsid w:val="003433B8"/>
    <w:rsid w:val="003442C6"/>
    <w:rsid w:val="00344309"/>
    <w:rsid w:val="003443F5"/>
    <w:rsid w:val="0034451A"/>
    <w:rsid w:val="00347ED6"/>
    <w:rsid w:val="00350C9A"/>
    <w:rsid w:val="003549FF"/>
    <w:rsid w:val="00356AF5"/>
    <w:rsid w:val="0036192C"/>
    <w:rsid w:val="0036434C"/>
    <w:rsid w:val="00370B0F"/>
    <w:rsid w:val="00376919"/>
    <w:rsid w:val="00381A34"/>
    <w:rsid w:val="003836EF"/>
    <w:rsid w:val="00385FC9"/>
    <w:rsid w:val="003903F2"/>
    <w:rsid w:val="003961F1"/>
    <w:rsid w:val="00396B1E"/>
    <w:rsid w:val="003A283C"/>
    <w:rsid w:val="003A673D"/>
    <w:rsid w:val="003C4EB6"/>
    <w:rsid w:val="003C6D90"/>
    <w:rsid w:val="003D2F83"/>
    <w:rsid w:val="003D6097"/>
    <w:rsid w:val="003E0888"/>
    <w:rsid w:val="003E1844"/>
    <w:rsid w:val="003E237F"/>
    <w:rsid w:val="003E365F"/>
    <w:rsid w:val="003E6257"/>
    <w:rsid w:val="00400106"/>
    <w:rsid w:val="00404254"/>
    <w:rsid w:val="004060B3"/>
    <w:rsid w:val="004071D5"/>
    <w:rsid w:val="00410610"/>
    <w:rsid w:val="00411AA1"/>
    <w:rsid w:val="00412B28"/>
    <w:rsid w:val="00414589"/>
    <w:rsid w:val="004213D8"/>
    <w:rsid w:val="0042314D"/>
    <w:rsid w:val="00425FBB"/>
    <w:rsid w:val="00432BE9"/>
    <w:rsid w:val="00435456"/>
    <w:rsid w:val="004404CE"/>
    <w:rsid w:val="00443CDD"/>
    <w:rsid w:val="004501CA"/>
    <w:rsid w:val="00456E69"/>
    <w:rsid w:val="00460E42"/>
    <w:rsid w:val="004615B5"/>
    <w:rsid w:val="004628AD"/>
    <w:rsid w:val="00466CFA"/>
    <w:rsid w:val="00471695"/>
    <w:rsid w:val="00471DAA"/>
    <w:rsid w:val="00474A6D"/>
    <w:rsid w:val="00474AC2"/>
    <w:rsid w:val="004819F7"/>
    <w:rsid w:val="00482765"/>
    <w:rsid w:val="00485A95"/>
    <w:rsid w:val="004925DC"/>
    <w:rsid w:val="00494A0E"/>
    <w:rsid w:val="00495509"/>
    <w:rsid w:val="00497296"/>
    <w:rsid w:val="004A68A6"/>
    <w:rsid w:val="004A6E63"/>
    <w:rsid w:val="004A7477"/>
    <w:rsid w:val="004A7587"/>
    <w:rsid w:val="004B2560"/>
    <w:rsid w:val="004B29E8"/>
    <w:rsid w:val="004B314B"/>
    <w:rsid w:val="004B404F"/>
    <w:rsid w:val="004B57AD"/>
    <w:rsid w:val="004C048D"/>
    <w:rsid w:val="004C288E"/>
    <w:rsid w:val="004C3367"/>
    <w:rsid w:val="004D48AE"/>
    <w:rsid w:val="004D54F8"/>
    <w:rsid w:val="004D7F70"/>
    <w:rsid w:val="004E0433"/>
    <w:rsid w:val="004E0D49"/>
    <w:rsid w:val="004E18F8"/>
    <w:rsid w:val="004E3EA6"/>
    <w:rsid w:val="004E63F7"/>
    <w:rsid w:val="004F24C8"/>
    <w:rsid w:val="004F41B6"/>
    <w:rsid w:val="004F6A17"/>
    <w:rsid w:val="004F6F84"/>
    <w:rsid w:val="00500929"/>
    <w:rsid w:val="00500A9D"/>
    <w:rsid w:val="00500F38"/>
    <w:rsid w:val="00502D99"/>
    <w:rsid w:val="005034A0"/>
    <w:rsid w:val="00503A19"/>
    <w:rsid w:val="00503FAE"/>
    <w:rsid w:val="00504933"/>
    <w:rsid w:val="0050548A"/>
    <w:rsid w:val="0052588F"/>
    <w:rsid w:val="005263D8"/>
    <w:rsid w:val="0052789A"/>
    <w:rsid w:val="00542E34"/>
    <w:rsid w:val="00545AC8"/>
    <w:rsid w:val="005474CF"/>
    <w:rsid w:val="0055774D"/>
    <w:rsid w:val="00561020"/>
    <w:rsid w:val="005629FC"/>
    <w:rsid w:val="00564D6D"/>
    <w:rsid w:val="005667A2"/>
    <w:rsid w:val="00567E8B"/>
    <w:rsid w:val="00574C32"/>
    <w:rsid w:val="00575519"/>
    <w:rsid w:val="00586DF2"/>
    <w:rsid w:val="00591D78"/>
    <w:rsid w:val="005A0FD4"/>
    <w:rsid w:val="005A20CB"/>
    <w:rsid w:val="005A44F1"/>
    <w:rsid w:val="005B187F"/>
    <w:rsid w:val="005B3773"/>
    <w:rsid w:val="005B5730"/>
    <w:rsid w:val="005B62D1"/>
    <w:rsid w:val="005B6AE0"/>
    <w:rsid w:val="005D115C"/>
    <w:rsid w:val="005D7F16"/>
    <w:rsid w:val="005E2AEE"/>
    <w:rsid w:val="005E3EBB"/>
    <w:rsid w:val="005E4859"/>
    <w:rsid w:val="005E4942"/>
    <w:rsid w:val="005E4E39"/>
    <w:rsid w:val="005E679E"/>
    <w:rsid w:val="005E67FD"/>
    <w:rsid w:val="005F0824"/>
    <w:rsid w:val="005F0C36"/>
    <w:rsid w:val="005F112F"/>
    <w:rsid w:val="005F3D0F"/>
    <w:rsid w:val="005F6103"/>
    <w:rsid w:val="005F61F1"/>
    <w:rsid w:val="0060445D"/>
    <w:rsid w:val="00604B9E"/>
    <w:rsid w:val="0061007E"/>
    <w:rsid w:val="00610739"/>
    <w:rsid w:val="00611613"/>
    <w:rsid w:val="0061516A"/>
    <w:rsid w:val="00622D20"/>
    <w:rsid w:val="00623254"/>
    <w:rsid w:val="006233C2"/>
    <w:rsid w:val="00624702"/>
    <w:rsid w:val="00624C6C"/>
    <w:rsid w:val="006258A4"/>
    <w:rsid w:val="00630DD2"/>
    <w:rsid w:val="00640D95"/>
    <w:rsid w:val="006415AC"/>
    <w:rsid w:val="00641661"/>
    <w:rsid w:val="006452FB"/>
    <w:rsid w:val="00647F86"/>
    <w:rsid w:val="0066206B"/>
    <w:rsid w:val="00665C6E"/>
    <w:rsid w:val="00665D50"/>
    <w:rsid w:val="00667CFB"/>
    <w:rsid w:val="00671E22"/>
    <w:rsid w:val="006749BC"/>
    <w:rsid w:val="006767DE"/>
    <w:rsid w:val="006917DA"/>
    <w:rsid w:val="00692730"/>
    <w:rsid w:val="006953BD"/>
    <w:rsid w:val="006A1074"/>
    <w:rsid w:val="006A261F"/>
    <w:rsid w:val="006A285B"/>
    <w:rsid w:val="006A398D"/>
    <w:rsid w:val="006A668C"/>
    <w:rsid w:val="006A7B5D"/>
    <w:rsid w:val="006B7E77"/>
    <w:rsid w:val="006C024E"/>
    <w:rsid w:val="006C04E7"/>
    <w:rsid w:val="006C2408"/>
    <w:rsid w:val="006C2E89"/>
    <w:rsid w:val="006C5FDE"/>
    <w:rsid w:val="006C7858"/>
    <w:rsid w:val="006D120E"/>
    <w:rsid w:val="006D130D"/>
    <w:rsid w:val="006D28B9"/>
    <w:rsid w:val="006D48AE"/>
    <w:rsid w:val="006D52D1"/>
    <w:rsid w:val="006E3099"/>
    <w:rsid w:val="006E44EA"/>
    <w:rsid w:val="006F13D8"/>
    <w:rsid w:val="006F339D"/>
    <w:rsid w:val="006F3F09"/>
    <w:rsid w:val="006F6064"/>
    <w:rsid w:val="006F7391"/>
    <w:rsid w:val="00702C96"/>
    <w:rsid w:val="007069F8"/>
    <w:rsid w:val="007079A1"/>
    <w:rsid w:val="00712F89"/>
    <w:rsid w:val="007202C8"/>
    <w:rsid w:val="007214A0"/>
    <w:rsid w:val="007261AF"/>
    <w:rsid w:val="007276B5"/>
    <w:rsid w:val="007303AE"/>
    <w:rsid w:val="00732539"/>
    <w:rsid w:val="00736DE0"/>
    <w:rsid w:val="00737BAD"/>
    <w:rsid w:val="00740DCD"/>
    <w:rsid w:val="00751580"/>
    <w:rsid w:val="0076238A"/>
    <w:rsid w:val="00764044"/>
    <w:rsid w:val="00765A7F"/>
    <w:rsid w:val="007755E5"/>
    <w:rsid w:val="0077725F"/>
    <w:rsid w:val="00780F21"/>
    <w:rsid w:val="007826E1"/>
    <w:rsid w:val="00783108"/>
    <w:rsid w:val="0078548F"/>
    <w:rsid w:val="00791BA4"/>
    <w:rsid w:val="007924AC"/>
    <w:rsid w:val="00797ED1"/>
    <w:rsid w:val="007A25AB"/>
    <w:rsid w:val="007A6037"/>
    <w:rsid w:val="007A6AAF"/>
    <w:rsid w:val="007B1700"/>
    <w:rsid w:val="007B2FD0"/>
    <w:rsid w:val="007B548E"/>
    <w:rsid w:val="007B7D52"/>
    <w:rsid w:val="007C29C8"/>
    <w:rsid w:val="007C6613"/>
    <w:rsid w:val="007D1161"/>
    <w:rsid w:val="007D6C32"/>
    <w:rsid w:val="007E3485"/>
    <w:rsid w:val="007F7B21"/>
    <w:rsid w:val="0080132F"/>
    <w:rsid w:val="0080303D"/>
    <w:rsid w:val="008032AD"/>
    <w:rsid w:val="00803F1E"/>
    <w:rsid w:val="00805879"/>
    <w:rsid w:val="0080793E"/>
    <w:rsid w:val="0081029D"/>
    <w:rsid w:val="00812AFC"/>
    <w:rsid w:val="00816426"/>
    <w:rsid w:val="00816A97"/>
    <w:rsid w:val="008237FB"/>
    <w:rsid w:val="00824362"/>
    <w:rsid w:val="00824588"/>
    <w:rsid w:val="00831FE3"/>
    <w:rsid w:val="00832D1D"/>
    <w:rsid w:val="00834D52"/>
    <w:rsid w:val="0084287B"/>
    <w:rsid w:val="00845B74"/>
    <w:rsid w:val="00847336"/>
    <w:rsid w:val="00857085"/>
    <w:rsid w:val="00857BED"/>
    <w:rsid w:val="00861A51"/>
    <w:rsid w:val="00866FE2"/>
    <w:rsid w:val="00867DEE"/>
    <w:rsid w:val="008730B3"/>
    <w:rsid w:val="00885E29"/>
    <w:rsid w:val="008878BC"/>
    <w:rsid w:val="00891446"/>
    <w:rsid w:val="00891596"/>
    <w:rsid w:val="0089170C"/>
    <w:rsid w:val="00895663"/>
    <w:rsid w:val="00895F65"/>
    <w:rsid w:val="00896F00"/>
    <w:rsid w:val="008A0EA1"/>
    <w:rsid w:val="008A163A"/>
    <w:rsid w:val="008A3E11"/>
    <w:rsid w:val="008B3DD6"/>
    <w:rsid w:val="008B54B6"/>
    <w:rsid w:val="008C0B83"/>
    <w:rsid w:val="008C1FB2"/>
    <w:rsid w:val="008C2701"/>
    <w:rsid w:val="008C31A5"/>
    <w:rsid w:val="008C3FD3"/>
    <w:rsid w:val="008C5576"/>
    <w:rsid w:val="008C5866"/>
    <w:rsid w:val="008C7342"/>
    <w:rsid w:val="008D220E"/>
    <w:rsid w:val="008D2A78"/>
    <w:rsid w:val="008D6A57"/>
    <w:rsid w:val="008D7F4B"/>
    <w:rsid w:val="008E1322"/>
    <w:rsid w:val="008E5559"/>
    <w:rsid w:val="008F0111"/>
    <w:rsid w:val="008F0AE2"/>
    <w:rsid w:val="008F0C6A"/>
    <w:rsid w:val="008F1D9F"/>
    <w:rsid w:val="008F46DB"/>
    <w:rsid w:val="008F6748"/>
    <w:rsid w:val="008F6770"/>
    <w:rsid w:val="009072A4"/>
    <w:rsid w:val="00907E14"/>
    <w:rsid w:val="00911912"/>
    <w:rsid w:val="009126C5"/>
    <w:rsid w:val="00915A86"/>
    <w:rsid w:val="00917A1A"/>
    <w:rsid w:val="00920A72"/>
    <w:rsid w:val="00925921"/>
    <w:rsid w:val="009273D1"/>
    <w:rsid w:val="00935ADC"/>
    <w:rsid w:val="00944BFB"/>
    <w:rsid w:val="00946A59"/>
    <w:rsid w:val="00951929"/>
    <w:rsid w:val="00951F1F"/>
    <w:rsid w:val="009542A9"/>
    <w:rsid w:val="0095456A"/>
    <w:rsid w:val="00954886"/>
    <w:rsid w:val="00955135"/>
    <w:rsid w:val="00960237"/>
    <w:rsid w:val="00961B77"/>
    <w:rsid w:val="00963917"/>
    <w:rsid w:val="009664F6"/>
    <w:rsid w:val="009759AF"/>
    <w:rsid w:val="00980B97"/>
    <w:rsid w:val="009843AB"/>
    <w:rsid w:val="0098452C"/>
    <w:rsid w:val="00990963"/>
    <w:rsid w:val="009938CA"/>
    <w:rsid w:val="00993E70"/>
    <w:rsid w:val="00995F3A"/>
    <w:rsid w:val="009A5D17"/>
    <w:rsid w:val="009B4D71"/>
    <w:rsid w:val="009B6856"/>
    <w:rsid w:val="009B714C"/>
    <w:rsid w:val="009C0E56"/>
    <w:rsid w:val="009C6CC4"/>
    <w:rsid w:val="009D0871"/>
    <w:rsid w:val="009D1D29"/>
    <w:rsid w:val="009D385F"/>
    <w:rsid w:val="009E2801"/>
    <w:rsid w:val="009F487A"/>
    <w:rsid w:val="009F70EE"/>
    <w:rsid w:val="00A015BE"/>
    <w:rsid w:val="00A01D32"/>
    <w:rsid w:val="00A05C75"/>
    <w:rsid w:val="00A10DCB"/>
    <w:rsid w:val="00A11B91"/>
    <w:rsid w:val="00A20663"/>
    <w:rsid w:val="00A21C02"/>
    <w:rsid w:val="00A23184"/>
    <w:rsid w:val="00A2508A"/>
    <w:rsid w:val="00A2511E"/>
    <w:rsid w:val="00A27349"/>
    <w:rsid w:val="00A31DB0"/>
    <w:rsid w:val="00A338D3"/>
    <w:rsid w:val="00A338F4"/>
    <w:rsid w:val="00A358E2"/>
    <w:rsid w:val="00A36F37"/>
    <w:rsid w:val="00A372E2"/>
    <w:rsid w:val="00A40996"/>
    <w:rsid w:val="00A4157F"/>
    <w:rsid w:val="00A41B0D"/>
    <w:rsid w:val="00A4391C"/>
    <w:rsid w:val="00A44C72"/>
    <w:rsid w:val="00A46EFF"/>
    <w:rsid w:val="00A4757E"/>
    <w:rsid w:val="00A47D50"/>
    <w:rsid w:val="00A51FE8"/>
    <w:rsid w:val="00A54697"/>
    <w:rsid w:val="00A61786"/>
    <w:rsid w:val="00A654CE"/>
    <w:rsid w:val="00A67675"/>
    <w:rsid w:val="00A71544"/>
    <w:rsid w:val="00A73BF0"/>
    <w:rsid w:val="00A74051"/>
    <w:rsid w:val="00A756EC"/>
    <w:rsid w:val="00A759F3"/>
    <w:rsid w:val="00A75AF0"/>
    <w:rsid w:val="00A82ED8"/>
    <w:rsid w:val="00A834CF"/>
    <w:rsid w:val="00A8642A"/>
    <w:rsid w:val="00A87B36"/>
    <w:rsid w:val="00A9000B"/>
    <w:rsid w:val="00A91962"/>
    <w:rsid w:val="00A92647"/>
    <w:rsid w:val="00A9791E"/>
    <w:rsid w:val="00AA0043"/>
    <w:rsid w:val="00AA28C7"/>
    <w:rsid w:val="00AA4B23"/>
    <w:rsid w:val="00AA5290"/>
    <w:rsid w:val="00AC3111"/>
    <w:rsid w:val="00AC45B6"/>
    <w:rsid w:val="00AC7479"/>
    <w:rsid w:val="00AD100C"/>
    <w:rsid w:val="00AD2167"/>
    <w:rsid w:val="00AD32DF"/>
    <w:rsid w:val="00AD4781"/>
    <w:rsid w:val="00AD73DD"/>
    <w:rsid w:val="00AE6B2D"/>
    <w:rsid w:val="00AF028B"/>
    <w:rsid w:val="00AF58B1"/>
    <w:rsid w:val="00AF6ADA"/>
    <w:rsid w:val="00B01FB4"/>
    <w:rsid w:val="00B042AD"/>
    <w:rsid w:val="00B06B03"/>
    <w:rsid w:val="00B12710"/>
    <w:rsid w:val="00B13FA9"/>
    <w:rsid w:val="00B17822"/>
    <w:rsid w:val="00B23052"/>
    <w:rsid w:val="00B24A59"/>
    <w:rsid w:val="00B340D1"/>
    <w:rsid w:val="00B35F69"/>
    <w:rsid w:val="00B36763"/>
    <w:rsid w:val="00B42EE5"/>
    <w:rsid w:val="00B44548"/>
    <w:rsid w:val="00B4503F"/>
    <w:rsid w:val="00B4698C"/>
    <w:rsid w:val="00B50396"/>
    <w:rsid w:val="00B521BC"/>
    <w:rsid w:val="00B52436"/>
    <w:rsid w:val="00B65DA4"/>
    <w:rsid w:val="00B70B59"/>
    <w:rsid w:val="00B72226"/>
    <w:rsid w:val="00B7419D"/>
    <w:rsid w:val="00B74BC8"/>
    <w:rsid w:val="00B75B8B"/>
    <w:rsid w:val="00B75F80"/>
    <w:rsid w:val="00B771A1"/>
    <w:rsid w:val="00B77452"/>
    <w:rsid w:val="00B86071"/>
    <w:rsid w:val="00B86C48"/>
    <w:rsid w:val="00B86DA3"/>
    <w:rsid w:val="00B915C4"/>
    <w:rsid w:val="00B95473"/>
    <w:rsid w:val="00B978D5"/>
    <w:rsid w:val="00BA10CA"/>
    <w:rsid w:val="00BA23F8"/>
    <w:rsid w:val="00BA2E9C"/>
    <w:rsid w:val="00BA65A0"/>
    <w:rsid w:val="00BA6DB5"/>
    <w:rsid w:val="00BB42E9"/>
    <w:rsid w:val="00BB5509"/>
    <w:rsid w:val="00BB708F"/>
    <w:rsid w:val="00BC3561"/>
    <w:rsid w:val="00BD1221"/>
    <w:rsid w:val="00BD3B1B"/>
    <w:rsid w:val="00BE0FA5"/>
    <w:rsid w:val="00BE5193"/>
    <w:rsid w:val="00BE69F0"/>
    <w:rsid w:val="00BF349D"/>
    <w:rsid w:val="00BF5CAD"/>
    <w:rsid w:val="00C00753"/>
    <w:rsid w:val="00C01392"/>
    <w:rsid w:val="00C019E9"/>
    <w:rsid w:val="00C06CCB"/>
    <w:rsid w:val="00C1546A"/>
    <w:rsid w:val="00C15A21"/>
    <w:rsid w:val="00C21D20"/>
    <w:rsid w:val="00C24443"/>
    <w:rsid w:val="00C317EF"/>
    <w:rsid w:val="00C33245"/>
    <w:rsid w:val="00C338BF"/>
    <w:rsid w:val="00C348DA"/>
    <w:rsid w:val="00C35DA2"/>
    <w:rsid w:val="00C36F37"/>
    <w:rsid w:val="00C404D6"/>
    <w:rsid w:val="00C5061B"/>
    <w:rsid w:val="00C50FDB"/>
    <w:rsid w:val="00C51500"/>
    <w:rsid w:val="00C60EB4"/>
    <w:rsid w:val="00C61B87"/>
    <w:rsid w:val="00C61D5A"/>
    <w:rsid w:val="00C66660"/>
    <w:rsid w:val="00C7008F"/>
    <w:rsid w:val="00C73C6B"/>
    <w:rsid w:val="00C81769"/>
    <w:rsid w:val="00C844D5"/>
    <w:rsid w:val="00C8537E"/>
    <w:rsid w:val="00C8660E"/>
    <w:rsid w:val="00CA4A77"/>
    <w:rsid w:val="00CA67B5"/>
    <w:rsid w:val="00CB2204"/>
    <w:rsid w:val="00CB30E0"/>
    <w:rsid w:val="00CB55AE"/>
    <w:rsid w:val="00CB6276"/>
    <w:rsid w:val="00CC1CE6"/>
    <w:rsid w:val="00CD0569"/>
    <w:rsid w:val="00CD0DAA"/>
    <w:rsid w:val="00CD28EC"/>
    <w:rsid w:val="00CD3108"/>
    <w:rsid w:val="00CD3CF1"/>
    <w:rsid w:val="00CE02EA"/>
    <w:rsid w:val="00CE07E3"/>
    <w:rsid w:val="00CE49A2"/>
    <w:rsid w:val="00CE5048"/>
    <w:rsid w:val="00CF0731"/>
    <w:rsid w:val="00CF3096"/>
    <w:rsid w:val="00D01DD5"/>
    <w:rsid w:val="00D021C4"/>
    <w:rsid w:val="00D02D61"/>
    <w:rsid w:val="00D04D12"/>
    <w:rsid w:val="00D059C7"/>
    <w:rsid w:val="00D117A4"/>
    <w:rsid w:val="00D13987"/>
    <w:rsid w:val="00D2357A"/>
    <w:rsid w:val="00D304D2"/>
    <w:rsid w:val="00D34586"/>
    <w:rsid w:val="00D40EC0"/>
    <w:rsid w:val="00D4345D"/>
    <w:rsid w:val="00D44163"/>
    <w:rsid w:val="00D445B2"/>
    <w:rsid w:val="00D46E25"/>
    <w:rsid w:val="00D53690"/>
    <w:rsid w:val="00D55E5F"/>
    <w:rsid w:val="00D56F9B"/>
    <w:rsid w:val="00D56F9E"/>
    <w:rsid w:val="00D600F8"/>
    <w:rsid w:val="00D61890"/>
    <w:rsid w:val="00D6206E"/>
    <w:rsid w:val="00D62B43"/>
    <w:rsid w:val="00D672E3"/>
    <w:rsid w:val="00D67F6A"/>
    <w:rsid w:val="00D73332"/>
    <w:rsid w:val="00D75520"/>
    <w:rsid w:val="00D82182"/>
    <w:rsid w:val="00D837CB"/>
    <w:rsid w:val="00D83FFF"/>
    <w:rsid w:val="00D8479C"/>
    <w:rsid w:val="00D86ED8"/>
    <w:rsid w:val="00D87798"/>
    <w:rsid w:val="00D93753"/>
    <w:rsid w:val="00D9375B"/>
    <w:rsid w:val="00D97EE6"/>
    <w:rsid w:val="00DA32CA"/>
    <w:rsid w:val="00DA36D9"/>
    <w:rsid w:val="00DA7D24"/>
    <w:rsid w:val="00DB1EE8"/>
    <w:rsid w:val="00DB3551"/>
    <w:rsid w:val="00DB3B9C"/>
    <w:rsid w:val="00DB6386"/>
    <w:rsid w:val="00DC034A"/>
    <w:rsid w:val="00DC075B"/>
    <w:rsid w:val="00DC192D"/>
    <w:rsid w:val="00DC2070"/>
    <w:rsid w:val="00DC37A5"/>
    <w:rsid w:val="00DD2DCB"/>
    <w:rsid w:val="00DD7E15"/>
    <w:rsid w:val="00DE339E"/>
    <w:rsid w:val="00DE35B4"/>
    <w:rsid w:val="00DF78BE"/>
    <w:rsid w:val="00DF7DDD"/>
    <w:rsid w:val="00E07475"/>
    <w:rsid w:val="00E20B6F"/>
    <w:rsid w:val="00E2362D"/>
    <w:rsid w:val="00E25A72"/>
    <w:rsid w:val="00E261F7"/>
    <w:rsid w:val="00E40A28"/>
    <w:rsid w:val="00E4386F"/>
    <w:rsid w:val="00E43F5F"/>
    <w:rsid w:val="00E46865"/>
    <w:rsid w:val="00E500FF"/>
    <w:rsid w:val="00E57575"/>
    <w:rsid w:val="00E66406"/>
    <w:rsid w:val="00E71573"/>
    <w:rsid w:val="00E71B70"/>
    <w:rsid w:val="00E761F6"/>
    <w:rsid w:val="00E76327"/>
    <w:rsid w:val="00E77A2C"/>
    <w:rsid w:val="00E84022"/>
    <w:rsid w:val="00E86AFE"/>
    <w:rsid w:val="00E94CB7"/>
    <w:rsid w:val="00E95CB6"/>
    <w:rsid w:val="00EA2B24"/>
    <w:rsid w:val="00EA2C85"/>
    <w:rsid w:val="00EB595A"/>
    <w:rsid w:val="00EB6B8F"/>
    <w:rsid w:val="00EC48B0"/>
    <w:rsid w:val="00EC4EBC"/>
    <w:rsid w:val="00EC7605"/>
    <w:rsid w:val="00EC798A"/>
    <w:rsid w:val="00ED3A3F"/>
    <w:rsid w:val="00ED4E25"/>
    <w:rsid w:val="00EE1188"/>
    <w:rsid w:val="00EE2C94"/>
    <w:rsid w:val="00EE3CF0"/>
    <w:rsid w:val="00EE5B1A"/>
    <w:rsid w:val="00EF1E2A"/>
    <w:rsid w:val="00EF45F6"/>
    <w:rsid w:val="00EF63CE"/>
    <w:rsid w:val="00F02826"/>
    <w:rsid w:val="00F16D9A"/>
    <w:rsid w:val="00F16F1F"/>
    <w:rsid w:val="00F20F9E"/>
    <w:rsid w:val="00F22A1F"/>
    <w:rsid w:val="00F3194C"/>
    <w:rsid w:val="00F47479"/>
    <w:rsid w:val="00F477C8"/>
    <w:rsid w:val="00F5002D"/>
    <w:rsid w:val="00F56549"/>
    <w:rsid w:val="00F570BD"/>
    <w:rsid w:val="00F62572"/>
    <w:rsid w:val="00F649A9"/>
    <w:rsid w:val="00F70A50"/>
    <w:rsid w:val="00F71B18"/>
    <w:rsid w:val="00F76DE2"/>
    <w:rsid w:val="00F777DF"/>
    <w:rsid w:val="00F80E8E"/>
    <w:rsid w:val="00F81AC3"/>
    <w:rsid w:val="00F87AA7"/>
    <w:rsid w:val="00F911DB"/>
    <w:rsid w:val="00FA25F5"/>
    <w:rsid w:val="00FB0C03"/>
    <w:rsid w:val="00FB1C50"/>
    <w:rsid w:val="00FB5535"/>
    <w:rsid w:val="00FB57AC"/>
    <w:rsid w:val="00FB63B6"/>
    <w:rsid w:val="00FB72A2"/>
    <w:rsid w:val="00FB7D86"/>
    <w:rsid w:val="00FB7F01"/>
    <w:rsid w:val="00FC6279"/>
    <w:rsid w:val="00FC7003"/>
    <w:rsid w:val="00FD2058"/>
    <w:rsid w:val="00FD67D3"/>
    <w:rsid w:val="00FD7046"/>
    <w:rsid w:val="00FE4330"/>
    <w:rsid w:val="00FF0F36"/>
    <w:rsid w:val="00FF7D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D467F0"/>
  <w15:docId w15:val="{B7502968-CC41-44B6-876F-C1A8D0FA7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3773"/>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5B3773"/>
    <w:pPr>
      <w:spacing w:after="200" w:line="240" w:lineRule="auto"/>
    </w:pPr>
    <w:rPr>
      <w:rFonts w:ascii="Calibri" w:eastAsia="Times New Roman" w:hAnsi="Calibri" w:cs="Times New Roman"/>
      <w:b/>
      <w:bCs/>
      <w:color w:val="4F81BD"/>
      <w:sz w:val="18"/>
      <w:szCs w:val="18"/>
    </w:rPr>
  </w:style>
  <w:style w:type="paragraph" w:styleId="ListParagraph">
    <w:name w:val="List Paragraph"/>
    <w:basedOn w:val="Normal"/>
    <w:link w:val="ListParagraphChar"/>
    <w:uiPriority w:val="34"/>
    <w:qFormat/>
    <w:rsid w:val="005B3773"/>
    <w:pPr>
      <w:ind w:left="720"/>
      <w:contextualSpacing/>
    </w:pPr>
  </w:style>
  <w:style w:type="character" w:customStyle="1" w:styleId="ListParagraphChar">
    <w:name w:val="List Paragraph Char"/>
    <w:link w:val="ListParagraph"/>
    <w:uiPriority w:val="34"/>
    <w:locked/>
    <w:rsid w:val="005B3773"/>
  </w:style>
  <w:style w:type="paragraph" w:styleId="Footer">
    <w:name w:val="footer"/>
    <w:basedOn w:val="Normal"/>
    <w:link w:val="FooterChar"/>
    <w:uiPriority w:val="99"/>
    <w:unhideWhenUsed/>
    <w:rsid w:val="005B37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3773"/>
  </w:style>
  <w:style w:type="paragraph" w:styleId="Header">
    <w:name w:val="header"/>
    <w:basedOn w:val="Normal"/>
    <w:link w:val="HeaderChar"/>
    <w:uiPriority w:val="99"/>
    <w:unhideWhenUsed/>
    <w:rsid w:val="008570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7085"/>
  </w:style>
  <w:style w:type="paragraph" w:styleId="BalloonText">
    <w:name w:val="Balloon Text"/>
    <w:basedOn w:val="Normal"/>
    <w:link w:val="BalloonTextChar"/>
    <w:uiPriority w:val="99"/>
    <w:semiHidden/>
    <w:unhideWhenUsed/>
    <w:rsid w:val="006A261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A261F"/>
    <w:rPr>
      <w:rFonts w:ascii="Segoe UI" w:hAnsi="Segoe UI" w:cs="Segoe UI"/>
      <w:sz w:val="18"/>
      <w:szCs w:val="18"/>
    </w:rPr>
  </w:style>
  <w:style w:type="character" w:styleId="CommentReference">
    <w:name w:val="annotation reference"/>
    <w:basedOn w:val="DefaultParagraphFont"/>
    <w:uiPriority w:val="99"/>
    <w:semiHidden/>
    <w:unhideWhenUsed/>
    <w:rsid w:val="006A261F"/>
    <w:rPr>
      <w:sz w:val="16"/>
      <w:szCs w:val="16"/>
    </w:rPr>
  </w:style>
  <w:style w:type="paragraph" w:styleId="CommentText">
    <w:name w:val="annotation text"/>
    <w:basedOn w:val="Normal"/>
    <w:link w:val="CommentTextChar"/>
    <w:uiPriority w:val="99"/>
    <w:unhideWhenUsed/>
    <w:rsid w:val="006A261F"/>
    <w:pPr>
      <w:spacing w:line="240" w:lineRule="auto"/>
    </w:pPr>
    <w:rPr>
      <w:sz w:val="20"/>
      <w:szCs w:val="20"/>
    </w:rPr>
  </w:style>
  <w:style w:type="character" w:customStyle="1" w:styleId="CommentTextChar">
    <w:name w:val="Comment Text Char"/>
    <w:basedOn w:val="DefaultParagraphFont"/>
    <w:link w:val="CommentText"/>
    <w:uiPriority w:val="99"/>
    <w:rsid w:val="006A261F"/>
    <w:rPr>
      <w:sz w:val="20"/>
      <w:szCs w:val="20"/>
    </w:rPr>
  </w:style>
  <w:style w:type="paragraph" w:styleId="CommentSubject">
    <w:name w:val="annotation subject"/>
    <w:basedOn w:val="CommentText"/>
    <w:next w:val="CommentText"/>
    <w:link w:val="CommentSubjectChar"/>
    <w:uiPriority w:val="99"/>
    <w:semiHidden/>
    <w:unhideWhenUsed/>
    <w:rsid w:val="006A261F"/>
    <w:rPr>
      <w:b/>
      <w:bCs/>
    </w:rPr>
  </w:style>
  <w:style w:type="character" w:customStyle="1" w:styleId="CommentSubjectChar">
    <w:name w:val="Comment Subject Char"/>
    <w:basedOn w:val="CommentTextChar"/>
    <w:link w:val="CommentSubject"/>
    <w:uiPriority w:val="99"/>
    <w:semiHidden/>
    <w:rsid w:val="006A261F"/>
    <w:rPr>
      <w:b/>
      <w:bCs/>
      <w:sz w:val="20"/>
      <w:szCs w:val="20"/>
    </w:rPr>
  </w:style>
  <w:style w:type="paragraph" w:styleId="FootnoteText">
    <w:name w:val="footnote text"/>
    <w:basedOn w:val="Normal"/>
    <w:link w:val="FootnoteTextChar"/>
    <w:uiPriority w:val="99"/>
    <w:semiHidden/>
    <w:unhideWhenUsed/>
    <w:rsid w:val="00564D6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64D6D"/>
    <w:rPr>
      <w:sz w:val="20"/>
      <w:szCs w:val="20"/>
    </w:rPr>
  </w:style>
  <w:style w:type="character" w:styleId="FootnoteReference">
    <w:name w:val="footnote reference"/>
    <w:basedOn w:val="DefaultParagraphFont"/>
    <w:uiPriority w:val="99"/>
    <w:semiHidden/>
    <w:unhideWhenUsed/>
    <w:rsid w:val="00564D6D"/>
    <w:rPr>
      <w:vertAlign w:val="superscript"/>
    </w:rPr>
  </w:style>
  <w:style w:type="paragraph" w:styleId="Revision">
    <w:name w:val="Revision"/>
    <w:hidden/>
    <w:uiPriority w:val="99"/>
    <w:semiHidden/>
    <w:rsid w:val="00867DEE"/>
    <w:pPr>
      <w:spacing w:after="0" w:line="240" w:lineRule="auto"/>
    </w:pPr>
  </w:style>
  <w:style w:type="paragraph" w:customStyle="1" w:styleId="v2-clan-left-1">
    <w:name w:val="v2-clan-left-1"/>
    <w:basedOn w:val="Normal"/>
    <w:rsid w:val="00A372E2"/>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500A9D"/>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00A9D"/>
    <w:rPr>
      <w:b/>
      <w:bCs/>
    </w:rPr>
  </w:style>
  <w:style w:type="paragraph" w:customStyle="1" w:styleId="gt-block">
    <w:name w:val="gt-block"/>
    <w:basedOn w:val="Normal"/>
    <w:rsid w:val="00995F3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D2058"/>
    <w:rPr>
      <w:color w:val="0000FF"/>
      <w:u w:val="single"/>
    </w:rPr>
  </w:style>
  <w:style w:type="paragraph" w:customStyle="1" w:styleId="Normal1">
    <w:name w:val="Normal1"/>
    <w:basedOn w:val="Normal"/>
    <w:rsid w:val="001917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bc-1y32vyc">
    <w:name w:val="bbc-1y32vyc"/>
    <w:basedOn w:val="Normal"/>
    <w:rsid w:val="00FB63B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bc-acwcvw">
    <w:name w:val="bbc-acwcvw"/>
    <w:basedOn w:val="Normal"/>
    <w:rsid w:val="00FB63B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v2-clan-left-2">
    <w:name w:val="v2-clan-left-2"/>
    <w:basedOn w:val="DefaultParagraphFont"/>
    <w:rsid w:val="00E66406"/>
  </w:style>
  <w:style w:type="paragraph" w:customStyle="1" w:styleId="v2-clan-left-21">
    <w:name w:val="v2-clan-left-21"/>
    <w:basedOn w:val="Normal"/>
    <w:rsid w:val="00E66406"/>
    <w:pPr>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expand">
    <w:name w:val="expand"/>
    <w:basedOn w:val="DefaultParagraphFont"/>
    <w:rsid w:val="00D733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06987">
      <w:bodyDiv w:val="1"/>
      <w:marLeft w:val="0"/>
      <w:marRight w:val="0"/>
      <w:marTop w:val="0"/>
      <w:marBottom w:val="0"/>
      <w:divBdr>
        <w:top w:val="none" w:sz="0" w:space="0" w:color="auto"/>
        <w:left w:val="none" w:sz="0" w:space="0" w:color="auto"/>
        <w:bottom w:val="none" w:sz="0" w:space="0" w:color="auto"/>
        <w:right w:val="none" w:sz="0" w:space="0" w:color="auto"/>
      </w:divBdr>
    </w:div>
    <w:div w:id="200944932">
      <w:bodyDiv w:val="1"/>
      <w:marLeft w:val="0"/>
      <w:marRight w:val="0"/>
      <w:marTop w:val="0"/>
      <w:marBottom w:val="0"/>
      <w:divBdr>
        <w:top w:val="none" w:sz="0" w:space="0" w:color="auto"/>
        <w:left w:val="none" w:sz="0" w:space="0" w:color="auto"/>
        <w:bottom w:val="none" w:sz="0" w:space="0" w:color="auto"/>
        <w:right w:val="none" w:sz="0" w:space="0" w:color="auto"/>
      </w:divBdr>
    </w:div>
    <w:div w:id="383605921">
      <w:bodyDiv w:val="1"/>
      <w:marLeft w:val="0"/>
      <w:marRight w:val="0"/>
      <w:marTop w:val="0"/>
      <w:marBottom w:val="0"/>
      <w:divBdr>
        <w:top w:val="none" w:sz="0" w:space="0" w:color="auto"/>
        <w:left w:val="none" w:sz="0" w:space="0" w:color="auto"/>
        <w:bottom w:val="none" w:sz="0" w:space="0" w:color="auto"/>
        <w:right w:val="none" w:sz="0" w:space="0" w:color="auto"/>
      </w:divBdr>
      <w:divsChild>
        <w:div w:id="1250625696">
          <w:marLeft w:val="0"/>
          <w:marRight w:val="0"/>
          <w:marTop w:val="0"/>
          <w:marBottom w:val="0"/>
          <w:divBdr>
            <w:top w:val="none" w:sz="0" w:space="0" w:color="auto"/>
            <w:left w:val="none" w:sz="0" w:space="0" w:color="auto"/>
            <w:bottom w:val="none" w:sz="0" w:space="0" w:color="auto"/>
            <w:right w:val="none" w:sz="0" w:space="0" w:color="auto"/>
          </w:divBdr>
        </w:div>
        <w:div w:id="2139177439">
          <w:marLeft w:val="0"/>
          <w:marRight w:val="0"/>
          <w:marTop w:val="0"/>
          <w:marBottom w:val="0"/>
          <w:divBdr>
            <w:top w:val="none" w:sz="0" w:space="0" w:color="auto"/>
            <w:left w:val="none" w:sz="0" w:space="0" w:color="auto"/>
            <w:bottom w:val="none" w:sz="0" w:space="0" w:color="auto"/>
            <w:right w:val="none" w:sz="0" w:space="0" w:color="auto"/>
          </w:divBdr>
        </w:div>
      </w:divsChild>
    </w:div>
    <w:div w:id="403601828">
      <w:bodyDiv w:val="1"/>
      <w:marLeft w:val="0"/>
      <w:marRight w:val="0"/>
      <w:marTop w:val="0"/>
      <w:marBottom w:val="0"/>
      <w:divBdr>
        <w:top w:val="none" w:sz="0" w:space="0" w:color="auto"/>
        <w:left w:val="none" w:sz="0" w:space="0" w:color="auto"/>
        <w:bottom w:val="none" w:sz="0" w:space="0" w:color="auto"/>
        <w:right w:val="none" w:sz="0" w:space="0" w:color="auto"/>
      </w:divBdr>
    </w:div>
    <w:div w:id="538010231">
      <w:bodyDiv w:val="1"/>
      <w:marLeft w:val="0"/>
      <w:marRight w:val="0"/>
      <w:marTop w:val="0"/>
      <w:marBottom w:val="0"/>
      <w:divBdr>
        <w:top w:val="none" w:sz="0" w:space="0" w:color="auto"/>
        <w:left w:val="none" w:sz="0" w:space="0" w:color="auto"/>
        <w:bottom w:val="none" w:sz="0" w:space="0" w:color="auto"/>
        <w:right w:val="none" w:sz="0" w:space="0" w:color="auto"/>
      </w:divBdr>
    </w:div>
    <w:div w:id="556478808">
      <w:bodyDiv w:val="1"/>
      <w:marLeft w:val="0"/>
      <w:marRight w:val="0"/>
      <w:marTop w:val="0"/>
      <w:marBottom w:val="0"/>
      <w:divBdr>
        <w:top w:val="none" w:sz="0" w:space="0" w:color="auto"/>
        <w:left w:val="none" w:sz="0" w:space="0" w:color="auto"/>
        <w:bottom w:val="none" w:sz="0" w:space="0" w:color="auto"/>
        <w:right w:val="none" w:sz="0" w:space="0" w:color="auto"/>
      </w:divBdr>
    </w:div>
    <w:div w:id="570844835">
      <w:bodyDiv w:val="1"/>
      <w:marLeft w:val="0"/>
      <w:marRight w:val="0"/>
      <w:marTop w:val="0"/>
      <w:marBottom w:val="0"/>
      <w:divBdr>
        <w:top w:val="none" w:sz="0" w:space="0" w:color="auto"/>
        <w:left w:val="none" w:sz="0" w:space="0" w:color="auto"/>
        <w:bottom w:val="none" w:sz="0" w:space="0" w:color="auto"/>
        <w:right w:val="none" w:sz="0" w:space="0" w:color="auto"/>
      </w:divBdr>
    </w:div>
    <w:div w:id="656156541">
      <w:bodyDiv w:val="1"/>
      <w:marLeft w:val="0"/>
      <w:marRight w:val="0"/>
      <w:marTop w:val="0"/>
      <w:marBottom w:val="0"/>
      <w:divBdr>
        <w:top w:val="none" w:sz="0" w:space="0" w:color="auto"/>
        <w:left w:val="none" w:sz="0" w:space="0" w:color="auto"/>
        <w:bottom w:val="none" w:sz="0" w:space="0" w:color="auto"/>
        <w:right w:val="none" w:sz="0" w:space="0" w:color="auto"/>
      </w:divBdr>
    </w:div>
    <w:div w:id="675770801">
      <w:bodyDiv w:val="1"/>
      <w:marLeft w:val="0"/>
      <w:marRight w:val="0"/>
      <w:marTop w:val="0"/>
      <w:marBottom w:val="0"/>
      <w:divBdr>
        <w:top w:val="none" w:sz="0" w:space="0" w:color="auto"/>
        <w:left w:val="none" w:sz="0" w:space="0" w:color="auto"/>
        <w:bottom w:val="none" w:sz="0" w:space="0" w:color="auto"/>
        <w:right w:val="none" w:sz="0" w:space="0" w:color="auto"/>
      </w:divBdr>
    </w:div>
    <w:div w:id="720904154">
      <w:bodyDiv w:val="1"/>
      <w:marLeft w:val="0"/>
      <w:marRight w:val="0"/>
      <w:marTop w:val="0"/>
      <w:marBottom w:val="0"/>
      <w:divBdr>
        <w:top w:val="none" w:sz="0" w:space="0" w:color="auto"/>
        <w:left w:val="none" w:sz="0" w:space="0" w:color="auto"/>
        <w:bottom w:val="none" w:sz="0" w:space="0" w:color="auto"/>
        <w:right w:val="none" w:sz="0" w:space="0" w:color="auto"/>
      </w:divBdr>
      <w:divsChild>
        <w:div w:id="182090314">
          <w:marLeft w:val="0"/>
          <w:marRight w:val="0"/>
          <w:marTop w:val="0"/>
          <w:marBottom w:val="0"/>
          <w:divBdr>
            <w:top w:val="none" w:sz="0" w:space="0" w:color="auto"/>
            <w:left w:val="none" w:sz="0" w:space="0" w:color="auto"/>
            <w:bottom w:val="none" w:sz="0" w:space="0" w:color="auto"/>
            <w:right w:val="none" w:sz="0" w:space="0" w:color="auto"/>
          </w:divBdr>
        </w:div>
        <w:div w:id="114908075">
          <w:marLeft w:val="0"/>
          <w:marRight w:val="0"/>
          <w:marTop w:val="0"/>
          <w:marBottom w:val="0"/>
          <w:divBdr>
            <w:top w:val="none" w:sz="0" w:space="0" w:color="auto"/>
            <w:left w:val="none" w:sz="0" w:space="0" w:color="auto"/>
            <w:bottom w:val="none" w:sz="0" w:space="0" w:color="auto"/>
            <w:right w:val="none" w:sz="0" w:space="0" w:color="auto"/>
          </w:divBdr>
        </w:div>
        <w:div w:id="1421410939">
          <w:marLeft w:val="0"/>
          <w:marRight w:val="0"/>
          <w:marTop w:val="0"/>
          <w:marBottom w:val="0"/>
          <w:divBdr>
            <w:top w:val="none" w:sz="0" w:space="0" w:color="auto"/>
            <w:left w:val="none" w:sz="0" w:space="0" w:color="auto"/>
            <w:bottom w:val="none" w:sz="0" w:space="0" w:color="auto"/>
            <w:right w:val="none" w:sz="0" w:space="0" w:color="auto"/>
          </w:divBdr>
        </w:div>
        <w:div w:id="766272424">
          <w:marLeft w:val="0"/>
          <w:marRight w:val="0"/>
          <w:marTop w:val="0"/>
          <w:marBottom w:val="0"/>
          <w:divBdr>
            <w:top w:val="none" w:sz="0" w:space="0" w:color="auto"/>
            <w:left w:val="none" w:sz="0" w:space="0" w:color="auto"/>
            <w:bottom w:val="none" w:sz="0" w:space="0" w:color="auto"/>
            <w:right w:val="none" w:sz="0" w:space="0" w:color="auto"/>
          </w:divBdr>
        </w:div>
        <w:div w:id="1418281239">
          <w:marLeft w:val="0"/>
          <w:marRight w:val="0"/>
          <w:marTop w:val="0"/>
          <w:marBottom w:val="0"/>
          <w:divBdr>
            <w:top w:val="none" w:sz="0" w:space="0" w:color="auto"/>
            <w:left w:val="none" w:sz="0" w:space="0" w:color="auto"/>
            <w:bottom w:val="none" w:sz="0" w:space="0" w:color="auto"/>
            <w:right w:val="none" w:sz="0" w:space="0" w:color="auto"/>
          </w:divBdr>
        </w:div>
      </w:divsChild>
    </w:div>
    <w:div w:id="750665419">
      <w:bodyDiv w:val="1"/>
      <w:marLeft w:val="0"/>
      <w:marRight w:val="0"/>
      <w:marTop w:val="0"/>
      <w:marBottom w:val="0"/>
      <w:divBdr>
        <w:top w:val="none" w:sz="0" w:space="0" w:color="auto"/>
        <w:left w:val="none" w:sz="0" w:space="0" w:color="auto"/>
        <w:bottom w:val="none" w:sz="0" w:space="0" w:color="auto"/>
        <w:right w:val="none" w:sz="0" w:space="0" w:color="auto"/>
      </w:divBdr>
    </w:div>
    <w:div w:id="876085915">
      <w:bodyDiv w:val="1"/>
      <w:marLeft w:val="0"/>
      <w:marRight w:val="0"/>
      <w:marTop w:val="0"/>
      <w:marBottom w:val="0"/>
      <w:divBdr>
        <w:top w:val="none" w:sz="0" w:space="0" w:color="auto"/>
        <w:left w:val="none" w:sz="0" w:space="0" w:color="auto"/>
        <w:bottom w:val="none" w:sz="0" w:space="0" w:color="auto"/>
        <w:right w:val="none" w:sz="0" w:space="0" w:color="auto"/>
      </w:divBdr>
    </w:div>
    <w:div w:id="1202403542">
      <w:bodyDiv w:val="1"/>
      <w:marLeft w:val="0"/>
      <w:marRight w:val="0"/>
      <w:marTop w:val="0"/>
      <w:marBottom w:val="0"/>
      <w:divBdr>
        <w:top w:val="none" w:sz="0" w:space="0" w:color="auto"/>
        <w:left w:val="none" w:sz="0" w:space="0" w:color="auto"/>
        <w:bottom w:val="none" w:sz="0" w:space="0" w:color="auto"/>
        <w:right w:val="none" w:sz="0" w:space="0" w:color="auto"/>
      </w:divBdr>
    </w:div>
    <w:div w:id="1241402905">
      <w:bodyDiv w:val="1"/>
      <w:marLeft w:val="0"/>
      <w:marRight w:val="0"/>
      <w:marTop w:val="0"/>
      <w:marBottom w:val="0"/>
      <w:divBdr>
        <w:top w:val="none" w:sz="0" w:space="0" w:color="auto"/>
        <w:left w:val="none" w:sz="0" w:space="0" w:color="auto"/>
        <w:bottom w:val="none" w:sz="0" w:space="0" w:color="auto"/>
        <w:right w:val="none" w:sz="0" w:space="0" w:color="auto"/>
      </w:divBdr>
    </w:div>
    <w:div w:id="1242645041">
      <w:bodyDiv w:val="1"/>
      <w:marLeft w:val="0"/>
      <w:marRight w:val="0"/>
      <w:marTop w:val="0"/>
      <w:marBottom w:val="0"/>
      <w:divBdr>
        <w:top w:val="none" w:sz="0" w:space="0" w:color="auto"/>
        <w:left w:val="none" w:sz="0" w:space="0" w:color="auto"/>
        <w:bottom w:val="none" w:sz="0" w:space="0" w:color="auto"/>
        <w:right w:val="none" w:sz="0" w:space="0" w:color="auto"/>
      </w:divBdr>
    </w:div>
    <w:div w:id="1400253582">
      <w:bodyDiv w:val="1"/>
      <w:marLeft w:val="0"/>
      <w:marRight w:val="0"/>
      <w:marTop w:val="0"/>
      <w:marBottom w:val="0"/>
      <w:divBdr>
        <w:top w:val="none" w:sz="0" w:space="0" w:color="auto"/>
        <w:left w:val="none" w:sz="0" w:space="0" w:color="auto"/>
        <w:bottom w:val="none" w:sz="0" w:space="0" w:color="auto"/>
        <w:right w:val="none" w:sz="0" w:space="0" w:color="auto"/>
      </w:divBdr>
    </w:div>
    <w:div w:id="1562978759">
      <w:bodyDiv w:val="1"/>
      <w:marLeft w:val="0"/>
      <w:marRight w:val="0"/>
      <w:marTop w:val="0"/>
      <w:marBottom w:val="0"/>
      <w:divBdr>
        <w:top w:val="none" w:sz="0" w:space="0" w:color="auto"/>
        <w:left w:val="none" w:sz="0" w:space="0" w:color="auto"/>
        <w:bottom w:val="none" w:sz="0" w:space="0" w:color="auto"/>
        <w:right w:val="none" w:sz="0" w:space="0" w:color="auto"/>
      </w:divBdr>
    </w:div>
    <w:div w:id="1710569024">
      <w:bodyDiv w:val="1"/>
      <w:marLeft w:val="0"/>
      <w:marRight w:val="0"/>
      <w:marTop w:val="0"/>
      <w:marBottom w:val="0"/>
      <w:divBdr>
        <w:top w:val="none" w:sz="0" w:space="0" w:color="auto"/>
        <w:left w:val="none" w:sz="0" w:space="0" w:color="auto"/>
        <w:bottom w:val="none" w:sz="0" w:space="0" w:color="auto"/>
        <w:right w:val="none" w:sz="0" w:space="0" w:color="auto"/>
      </w:divBdr>
      <w:divsChild>
        <w:div w:id="277880188">
          <w:marLeft w:val="0"/>
          <w:marRight w:val="0"/>
          <w:marTop w:val="0"/>
          <w:marBottom w:val="0"/>
          <w:divBdr>
            <w:top w:val="none" w:sz="0" w:space="0" w:color="auto"/>
            <w:left w:val="none" w:sz="0" w:space="0" w:color="auto"/>
            <w:bottom w:val="none" w:sz="0" w:space="0" w:color="auto"/>
            <w:right w:val="none" w:sz="0" w:space="0" w:color="auto"/>
          </w:divBdr>
        </w:div>
        <w:div w:id="556741377">
          <w:marLeft w:val="0"/>
          <w:marRight w:val="0"/>
          <w:marTop w:val="0"/>
          <w:marBottom w:val="0"/>
          <w:divBdr>
            <w:top w:val="none" w:sz="0" w:space="0" w:color="auto"/>
            <w:left w:val="none" w:sz="0" w:space="0" w:color="auto"/>
            <w:bottom w:val="none" w:sz="0" w:space="0" w:color="auto"/>
            <w:right w:val="none" w:sz="0" w:space="0" w:color="auto"/>
          </w:divBdr>
        </w:div>
        <w:div w:id="890270344">
          <w:marLeft w:val="0"/>
          <w:marRight w:val="0"/>
          <w:marTop w:val="0"/>
          <w:marBottom w:val="0"/>
          <w:divBdr>
            <w:top w:val="none" w:sz="0" w:space="0" w:color="auto"/>
            <w:left w:val="none" w:sz="0" w:space="0" w:color="auto"/>
            <w:bottom w:val="none" w:sz="0" w:space="0" w:color="auto"/>
            <w:right w:val="none" w:sz="0" w:space="0" w:color="auto"/>
          </w:divBdr>
        </w:div>
      </w:divsChild>
    </w:div>
    <w:div w:id="1746301127">
      <w:bodyDiv w:val="1"/>
      <w:marLeft w:val="0"/>
      <w:marRight w:val="0"/>
      <w:marTop w:val="0"/>
      <w:marBottom w:val="0"/>
      <w:divBdr>
        <w:top w:val="none" w:sz="0" w:space="0" w:color="auto"/>
        <w:left w:val="none" w:sz="0" w:space="0" w:color="auto"/>
        <w:bottom w:val="none" w:sz="0" w:space="0" w:color="auto"/>
        <w:right w:val="none" w:sz="0" w:space="0" w:color="auto"/>
      </w:divBdr>
      <w:divsChild>
        <w:div w:id="2063675771">
          <w:marLeft w:val="0"/>
          <w:marRight w:val="0"/>
          <w:marTop w:val="0"/>
          <w:marBottom w:val="0"/>
          <w:divBdr>
            <w:top w:val="none" w:sz="0" w:space="0" w:color="auto"/>
            <w:left w:val="none" w:sz="0" w:space="0" w:color="auto"/>
            <w:bottom w:val="none" w:sz="0" w:space="0" w:color="auto"/>
            <w:right w:val="none" w:sz="0" w:space="0" w:color="auto"/>
          </w:divBdr>
        </w:div>
        <w:div w:id="1191844857">
          <w:marLeft w:val="0"/>
          <w:marRight w:val="0"/>
          <w:marTop w:val="0"/>
          <w:marBottom w:val="0"/>
          <w:divBdr>
            <w:top w:val="none" w:sz="0" w:space="0" w:color="auto"/>
            <w:left w:val="none" w:sz="0" w:space="0" w:color="auto"/>
            <w:bottom w:val="none" w:sz="0" w:space="0" w:color="auto"/>
            <w:right w:val="none" w:sz="0" w:space="0" w:color="auto"/>
          </w:divBdr>
        </w:div>
        <w:div w:id="801046734">
          <w:marLeft w:val="0"/>
          <w:marRight w:val="0"/>
          <w:marTop w:val="0"/>
          <w:marBottom w:val="0"/>
          <w:divBdr>
            <w:top w:val="none" w:sz="0" w:space="0" w:color="auto"/>
            <w:left w:val="none" w:sz="0" w:space="0" w:color="auto"/>
            <w:bottom w:val="none" w:sz="0" w:space="0" w:color="auto"/>
            <w:right w:val="none" w:sz="0" w:space="0" w:color="auto"/>
          </w:divBdr>
        </w:div>
        <w:div w:id="1831824885">
          <w:marLeft w:val="0"/>
          <w:marRight w:val="0"/>
          <w:marTop w:val="0"/>
          <w:marBottom w:val="0"/>
          <w:divBdr>
            <w:top w:val="none" w:sz="0" w:space="0" w:color="auto"/>
            <w:left w:val="none" w:sz="0" w:space="0" w:color="auto"/>
            <w:bottom w:val="none" w:sz="0" w:space="0" w:color="auto"/>
            <w:right w:val="none" w:sz="0" w:space="0" w:color="auto"/>
          </w:divBdr>
        </w:div>
        <w:div w:id="2080862077">
          <w:marLeft w:val="0"/>
          <w:marRight w:val="0"/>
          <w:marTop w:val="0"/>
          <w:marBottom w:val="0"/>
          <w:divBdr>
            <w:top w:val="none" w:sz="0" w:space="0" w:color="auto"/>
            <w:left w:val="none" w:sz="0" w:space="0" w:color="auto"/>
            <w:bottom w:val="none" w:sz="0" w:space="0" w:color="auto"/>
            <w:right w:val="none" w:sz="0" w:space="0" w:color="auto"/>
          </w:divBdr>
        </w:div>
        <w:div w:id="675500804">
          <w:marLeft w:val="0"/>
          <w:marRight w:val="0"/>
          <w:marTop w:val="0"/>
          <w:marBottom w:val="0"/>
          <w:divBdr>
            <w:top w:val="none" w:sz="0" w:space="0" w:color="auto"/>
            <w:left w:val="none" w:sz="0" w:space="0" w:color="auto"/>
            <w:bottom w:val="none" w:sz="0" w:space="0" w:color="auto"/>
            <w:right w:val="none" w:sz="0" w:space="0" w:color="auto"/>
          </w:divBdr>
        </w:div>
        <w:div w:id="1728798252">
          <w:marLeft w:val="0"/>
          <w:marRight w:val="0"/>
          <w:marTop w:val="0"/>
          <w:marBottom w:val="0"/>
          <w:divBdr>
            <w:top w:val="none" w:sz="0" w:space="0" w:color="auto"/>
            <w:left w:val="none" w:sz="0" w:space="0" w:color="auto"/>
            <w:bottom w:val="none" w:sz="0" w:space="0" w:color="auto"/>
            <w:right w:val="none" w:sz="0" w:space="0" w:color="auto"/>
          </w:divBdr>
        </w:div>
      </w:divsChild>
    </w:div>
    <w:div w:id="1979608336">
      <w:bodyDiv w:val="1"/>
      <w:marLeft w:val="0"/>
      <w:marRight w:val="0"/>
      <w:marTop w:val="0"/>
      <w:marBottom w:val="0"/>
      <w:divBdr>
        <w:top w:val="none" w:sz="0" w:space="0" w:color="auto"/>
        <w:left w:val="none" w:sz="0" w:space="0" w:color="auto"/>
        <w:bottom w:val="none" w:sz="0" w:space="0" w:color="auto"/>
        <w:right w:val="none" w:sz="0" w:space="0" w:color="auto"/>
      </w:divBdr>
    </w:div>
    <w:div w:id="2001882921">
      <w:bodyDiv w:val="1"/>
      <w:marLeft w:val="0"/>
      <w:marRight w:val="0"/>
      <w:marTop w:val="0"/>
      <w:marBottom w:val="0"/>
      <w:divBdr>
        <w:top w:val="none" w:sz="0" w:space="0" w:color="auto"/>
        <w:left w:val="none" w:sz="0" w:space="0" w:color="auto"/>
        <w:bottom w:val="none" w:sz="0" w:space="0" w:color="auto"/>
        <w:right w:val="none" w:sz="0" w:space="0" w:color="auto"/>
      </w:divBdr>
    </w:div>
    <w:div w:id="2101170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hyperlink" Target="http://www.crpd.gov.rs"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FA8E0F-27F8-4018-A22A-143AB5BF9C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17677</Words>
  <Characters>100760</Characters>
  <Application>Microsoft Office Word</Application>
  <DocSecurity>0</DocSecurity>
  <Lines>839</Lines>
  <Paragraphs>236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jovan.dragumilo</dc:creator>
  <cp:lastModifiedBy>Podrška KZSM</cp:lastModifiedBy>
  <cp:revision>2</cp:revision>
  <cp:lastPrinted>2023-05-05T09:00:00Z</cp:lastPrinted>
  <dcterms:created xsi:type="dcterms:W3CDTF">2023-05-09T07:13:00Z</dcterms:created>
  <dcterms:modified xsi:type="dcterms:W3CDTF">2023-05-09T07:13:00Z</dcterms:modified>
</cp:coreProperties>
</file>