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3FA" w:rsidRPr="00656217" w:rsidRDefault="00D530D6" w:rsidP="00656217">
      <w:pPr>
        <w:spacing w:after="0" w:line="240" w:lineRule="auto"/>
        <w:jc w:val="center"/>
        <w:rPr>
          <w:rFonts w:ascii="Times New Roman" w:hAnsi="Times New Roman" w:cs="Times New Roman"/>
          <w:b/>
          <w:sz w:val="24"/>
          <w:szCs w:val="24"/>
          <w:lang w:val="sr-Cyrl-CS"/>
        </w:rPr>
      </w:pPr>
      <w:r w:rsidRPr="00656217">
        <w:rPr>
          <w:rFonts w:ascii="Times New Roman" w:hAnsi="Times New Roman" w:cs="Times New Roman"/>
          <w:b/>
          <w:sz w:val="24"/>
          <w:szCs w:val="24"/>
          <w:lang w:val="sr-Cyrl-CS"/>
        </w:rPr>
        <w:t xml:space="preserve">О Б Р А З Л О Ж Е Њ Е </w:t>
      </w:r>
    </w:p>
    <w:p w:rsidR="00656217" w:rsidRPr="00656217" w:rsidRDefault="00656217" w:rsidP="00656217">
      <w:pPr>
        <w:spacing w:after="0" w:line="240" w:lineRule="auto"/>
        <w:jc w:val="center"/>
        <w:rPr>
          <w:rFonts w:ascii="Times New Roman" w:hAnsi="Times New Roman" w:cs="Times New Roman"/>
          <w:b/>
          <w:sz w:val="24"/>
          <w:szCs w:val="24"/>
          <w:lang w:val="sr-Cyrl-CS"/>
        </w:rPr>
      </w:pPr>
    </w:p>
    <w:p w:rsidR="00656217" w:rsidRPr="00656217" w:rsidRDefault="00656217" w:rsidP="00656217">
      <w:pPr>
        <w:spacing w:after="0" w:line="240" w:lineRule="auto"/>
        <w:jc w:val="center"/>
        <w:rPr>
          <w:rFonts w:ascii="Times New Roman" w:hAnsi="Times New Roman" w:cs="Times New Roman"/>
          <w:b/>
          <w:sz w:val="24"/>
          <w:szCs w:val="24"/>
          <w:lang w:val="sr-Cyrl-CS"/>
        </w:rPr>
      </w:pPr>
    </w:p>
    <w:p w:rsidR="003443FA" w:rsidRPr="00656217" w:rsidRDefault="00FC541B" w:rsidP="00656217">
      <w:pPr>
        <w:spacing w:after="0" w:line="240" w:lineRule="auto"/>
        <w:rPr>
          <w:rFonts w:ascii="Times New Roman" w:hAnsi="Times New Roman" w:cs="Times New Roman"/>
          <w:b/>
          <w:sz w:val="24"/>
          <w:szCs w:val="24"/>
          <w:lang w:val="sr-Cyrl-CS"/>
        </w:rPr>
      </w:pPr>
      <w:r w:rsidRPr="00656217">
        <w:rPr>
          <w:rFonts w:ascii="Times New Roman" w:hAnsi="Times New Roman" w:cs="Times New Roman"/>
          <w:b/>
          <w:sz w:val="24"/>
          <w:szCs w:val="24"/>
          <w:lang w:val="sr-Cyrl-CS"/>
        </w:rPr>
        <w:t xml:space="preserve">I. </w:t>
      </w:r>
      <w:r w:rsidR="003443FA" w:rsidRPr="00656217">
        <w:rPr>
          <w:rFonts w:ascii="Times New Roman" w:hAnsi="Times New Roman" w:cs="Times New Roman"/>
          <w:b/>
          <w:sz w:val="24"/>
          <w:szCs w:val="24"/>
          <w:lang w:val="sr-Cyrl-CS"/>
        </w:rPr>
        <w:t xml:space="preserve">УСТАВНИ ОСНОВ ЗА ДОНОШЕЊЕ ЗАКОНА </w:t>
      </w:r>
    </w:p>
    <w:p w:rsidR="00656217" w:rsidRPr="00656217" w:rsidRDefault="00656217" w:rsidP="00656217">
      <w:pPr>
        <w:spacing w:after="0" w:line="240" w:lineRule="auto"/>
        <w:jc w:val="center"/>
        <w:rPr>
          <w:rFonts w:ascii="Times New Roman" w:hAnsi="Times New Roman" w:cs="Times New Roman"/>
          <w:sz w:val="24"/>
          <w:szCs w:val="24"/>
          <w:lang w:val="sr-Cyrl-CS"/>
        </w:rPr>
      </w:pPr>
    </w:p>
    <w:p w:rsidR="003443FA" w:rsidRPr="00656217" w:rsidRDefault="00656217" w:rsidP="00512AA8">
      <w:pPr>
        <w:tabs>
          <w:tab w:val="left" w:pos="1134"/>
        </w:tabs>
        <w:spacing w:after="0" w:line="240" w:lineRule="auto"/>
        <w:rPr>
          <w:rFonts w:ascii="Times New Roman" w:hAnsi="Times New Roman" w:cs="Times New Roman"/>
          <w:sz w:val="24"/>
          <w:szCs w:val="24"/>
          <w:lang w:val="sr-Cyrl-CS"/>
        </w:rPr>
      </w:pPr>
      <w:r w:rsidRPr="00656217">
        <w:rPr>
          <w:rFonts w:ascii="Times New Roman" w:hAnsi="Times New Roman" w:cs="Times New Roman"/>
          <w:sz w:val="24"/>
          <w:szCs w:val="24"/>
          <w:lang w:val="sr-Cyrl-CS"/>
        </w:rPr>
        <w:tab/>
      </w:r>
      <w:r w:rsidR="003443FA" w:rsidRPr="00656217">
        <w:rPr>
          <w:rFonts w:ascii="Times New Roman" w:hAnsi="Times New Roman" w:cs="Times New Roman"/>
          <w:sz w:val="24"/>
          <w:szCs w:val="24"/>
          <w:lang w:val="sr-Cyrl-CS"/>
        </w:rPr>
        <w:t>Уставни основ за доношење овог закона садржан је у члану 97. тачка 6. Устава Републике</w:t>
      </w:r>
      <w:r w:rsidR="00512AA8">
        <w:rPr>
          <w:rFonts w:ascii="Times New Roman" w:hAnsi="Times New Roman" w:cs="Times New Roman"/>
          <w:sz w:val="24"/>
          <w:szCs w:val="24"/>
          <w:lang w:val="sr-Cyrl-CS"/>
        </w:rPr>
        <w:t xml:space="preserve"> </w:t>
      </w:r>
      <w:r w:rsidR="003443FA" w:rsidRPr="00656217">
        <w:rPr>
          <w:rFonts w:ascii="Times New Roman" w:hAnsi="Times New Roman" w:cs="Times New Roman"/>
          <w:sz w:val="24"/>
          <w:szCs w:val="24"/>
          <w:lang w:val="sr-Cyrl-CS"/>
        </w:rPr>
        <w:t>Србије којим је, поред осталог, прописано да Република Србија уређује и обезбеђује систем обављања појединих привредних и других делатности.</w:t>
      </w:r>
    </w:p>
    <w:p w:rsidR="003443FA" w:rsidRPr="00656217" w:rsidRDefault="003443FA" w:rsidP="00656217">
      <w:pPr>
        <w:tabs>
          <w:tab w:val="left" w:pos="1134"/>
        </w:tabs>
        <w:spacing w:after="0" w:line="240" w:lineRule="auto"/>
        <w:jc w:val="both"/>
        <w:rPr>
          <w:rFonts w:ascii="Times New Roman" w:hAnsi="Times New Roman" w:cs="Times New Roman"/>
          <w:sz w:val="24"/>
          <w:szCs w:val="24"/>
          <w:lang w:val="sr-Cyrl-CS"/>
        </w:rPr>
      </w:pPr>
    </w:p>
    <w:p w:rsidR="003443FA" w:rsidRPr="00656217" w:rsidRDefault="003443FA" w:rsidP="00656217">
      <w:pPr>
        <w:tabs>
          <w:tab w:val="left" w:pos="1134"/>
        </w:tabs>
        <w:spacing w:after="0" w:line="240" w:lineRule="auto"/>
        <w:rPr>
          <w:rFonts w:ascii="Times New Roman" w:hAnsi="Times New Roman" w:cs="Times New Roman"/>
          <w:sz w:val="24"/>
          <w:szCs w:val="24"/>
          <w:lang w:val="sr-Cyrl-CS"/>
        </w:rPr>
      </w:pPr>
      <w:r w:rsidRPr="00656217">
        <w:rPr>
          <w:rFonts w:ascii="Times New Roman" w:hAnsi="Times New Roman" w:cs="Times New Roman"/>
          <w:sz w:val="24"/>
          <w:szCs w:val="24"/>
          <w:lang w:val="sr-Cyrl-CS"/>
        </w:rPr>
        <w:t>I</w:t>
      </w:r>
      <w:r w:rsidRPr="00656217">
        <w:rPr>
          <w:rFonts w:ascii="Times New Roman" w:hAnsi="Times New Roman" w:cs="Times New Roman"/>
          <w:b/>
          <w:sz w:val="24"/>
          <w:szCs w:val="24"/>
          <w:lang w:val="sr-Cyrl-CS"/>
        </w:rPr>
        <w:t>I. РАЗЛОЗИ ЗА ДОНОШЕЊЕ ЗАКОНА</w:t>
      </w:r>
    </w:p>
    <w:p w:rsidR="00656217" w:rsidRPr="00656217" w:rsidRDefault="00656217" w:rsidP="00656217">
      <w:pPr>
        <w:tabs>
          <w:tab w:val="left" w:pos="1134"/>
        </w:tabs>
        <w:spacing w:after="0" w:line="240" w:lineRule="auto"/>
        <w:jc w:val="center"/>
        <w:rPr>
          <w:rFonts w:ascii="Times New Roman" w:hAnsi="Times New Roman" w:cs="Times New Roman"/>
          <w:sz w:val="24"/>
          <w:szCs w:val="24"/>
          <w:lang w:val="sr-Cyrl-CS"/>
        </w:rPr>
      </w:pPr>
    </w:p>
    <w:p w:rsidR="006D77C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sidRPr="00656217">
        <w:rPr>
          <w:rFonts w:ascii="Times New Roman" w:hAnsi="Times New Roman" w:cs="Times New Roman"/>
          <w:sz w:val="24"/>
          <w:szCs w:val="24"/>
          <w:lang w:val="sr-Cyrl-CS"/>
        </w:rPr>
        <w:tab/>
      </w:r>
      <w:r w:rsidR="003443FA" w:rsidRPr="00656217">
        <w:rPr>
          <w:rFonts w:ascii="Times New Roman" w:hAnsi="Times New Roman" w:cs="Times New Roman"/>
          <w:sz w:val="24"/>
          <w:szCs w:val="24"/>
          <w:lang w:val="sr-Cyrl-CS"/>
        </w:rPr>
        <w:t xml:space="preserve">У члану 7. Закона о министарствима („Службени гласник РС”, број </w:t>
      </w:r>
      <w:r w:rsidR="006D77CE" w:rsidRPr="00656217">
        <w:rPr>
          <w:rFonts w:ascii="Times New Roman" w:hAnsi="Times New Roman" w:cs="Times New Roman"/>
          <w:sz w:val="24"/>
          <w:szCs w:val="24"/>
          <w:lang w:val="sr-Cyrl-CS"/>
        </w:rPr>
        <w:t>128/20</w:t>
      </w:r>
      <w:r w:rsidR="003443FA" w:rsidRPr="00656217">
        <w:rPr>
          <w:rFonts w:ascii="Times New Roman" w:hAnsi="Times New Roman" w:cs="Times New Roman"/>
          <w:sz w:val="24"/>
          <w:szCs w:val="24"/>
          <w:lang w:val="sr-Cyrl-CS"/>
        </w:rPr>
        <w:t xml:space="preserve">), између осталог, прописано је да Министарство грађевинарства, саобраћаја и инфраструктуре обавља послове државне управе у области железничког саобраћаја, који се односе на: уређење и обезбеђење саобраћајног система; уређење и безбедност </w:t>
      </w:r>
      <w:proofErr w:type="spellStart"/>
      <w:r w:rsidR="003443FA" w:rsidRPr="00656217">
        <w:rPr>
          <w:rFonts w:ascii="Times New Roman" w:hAnsi="Times New Roman" w:cs="Times New Roman"/>
          <w:sz w:val="24"/>
          <w:szCs w:val="24"/>
          <w:lang w:val="sr-Cyrl-CS"/>
        </w:rPr>
        <w:t>техничко-технолошког</w:t>
      </w:r>
      <w:proofErr w:type="spellEnd"/>
      <w:r w:rsidR="003443FA" w:rsidRPr="00656217">
        <w:rPr>
          <w:rFonts w:ascii="Times New Roman" w:hAnsi="Times New Roman" w:cs="Times New Roman"/>
          <w:sz w:val="24"/>
          <w:szCs w:val="24"/>
          <w:lang w:val="sr-Cyrl-CS"/>
        </w:rPr>
        <w:t xml:space="preserve"> система саобраћаја; облигационе и </w:t>
      </w:r>
      <w:proofErr w:type="spellStart"/>
      <w:r w:rsidR="003443FA" w:rsidRPr="00656217">
        <w:rPr>
          <w:rFonts w:ascii="Times New Roman" w:hAnsi="Times New Roman" w:cs="Times New Roman"/>
          <w:sz w:val="24"/>
          <w:szCs w:val="24"/>
          <w:lang w:val="sr-Cyrl-CS"/>
        </w:rPr>
        <w:t>својинско-правне</w:t>
      </w:r>
      <w:proofErr w:type="spellEnd"/>
      <w:r w:rsidR="003443FA" w:rsidRPr="00656217">
        <w:rPr>
          <w:rFonts w:ascii="Times New Roman" w:hAnsi="Times New Roman" w:cs="Times New Roman"/>
          <w:sz w:val="24"/>
          <w:szCs w:val="24"/>
          <w:lang w:val="sr-Cyrl-CS"/>
        </w:rPr>
        <w:t xml:space="preserve"> односе; стратегију развоја саобраћаја, планове развоја и планове везане за организацију саобраћајног система и организацију превоза. </w:t>
      </w:r>
    </w:p>
    <w:p w:rsidR="00D01D29"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sidRPr="00656217">
        <w:rPr>
          <w:rFonts w:ascii="Times New Roman" w:hAnsi="Times New Roman" w:cs="Times New Roman"/>
          <w:sz w:val="24"/>
          <w:szCs w:val="24"/>
          <w:lang w:val="sr-Cyrl-CS"/>
        </w:rPr>
        <w:tab/>
      </w:r>
      <w:r w:rsidR="003443FA" w:rsidRPr="00656217">
        <w:rPr>
          <w:rFonts w:ascii="Times New Roman" w:hAnsi="Times New Roman" w:cs="Times New Roman"/>
          <w:sz w:val="24"/>
          <w:szCs w:val="24"/>
          <w:lang w:val="sr-Cyrl-CS"/>
        </w:rPr>
        <w:t xml:space="preserve">Важећи Закон </w:t>
      </w:r>
      <w:r w:rsidR="0007686A" w:rsidRPr="00656217">
        <w:rPr>
          <w:rFonts w:ascii="Times New Roman" w:hAnsi="Times New Roman" w:cs="Times New Roman"/>
          <w:sz w:val="24"/>
          <w:szCs w:val="24"/>
          <w:lang w:val="sr-Cyrl-CS"/>
        </w:rPr>
        <w:t xml:space="preserve">о </w:t>
      </w:r>
      <w:r w:rsidR="003443FA" w:rsidRPr="00656217">
        <w:rPr>
          <w:rFonts w:ascii="Times New Roman" w:hAnsi="Times New Roman" w:cs="Times New Roman"/>
          <w:sz w:val="24"/>
          <w:szCs w:val="24"/>
          <w:lang w:val="sr-Cyrl-CS"/>
        </w:rPr>
        <w:t xml:space="preserve">интероперабилности железничког </w:t>
      </w:r>
      <w:r w:rsidR="006D77CE" w:rsidRPr="00656217">
        <w:rPr>
          <w:rFonts w:ascii="Times New Roman" w:hAnsi="Times New Roman" w:cs="Times New Roman"/>
          <w:sz w:val="24"/>
          <w:szCs w:val="24"/>
          <w:lang w:val="sr-Cyrl-CS"/>
        </w:rPr>
        <w:t>система</w:t>
      </w:r>
      <w:r w:rsidR="003443FA" w:rsidRPr="00656217">
        <w:rPr>
          <w:rFonts w:ascii="Times New Roman" w:hAnsi="Times New Roman" w:cs="Times New Roman"/>
          <w:sz w:val="24"/>
          <w:szCs w:val="24"/>
          <w:lang w:val="sr-Cyrl-CS"/>
        </w:rPr>
        <w:t xml:space="preserve"> донела је На</w:t>
      </w:r>
      <w:r w:rsidR="001C02E5">
        <w:rPr>
          <w:rFonts w:ascii="Times New Roman" w:hAnsi="Times New Roman" w:cs="Times New Roman"/>
          <w:sz w:val="24"/>
          <w:szCs w:val="24"/>
          <w:lang w:val="sr-Cyrl-CS"/>
        </w:rPr>
        <w:t>родна скупштина</w:t>
      </w:r>
      <w:bookmarkStart w:id="0" w:name="_GoBack"/>
      <w:bookmarkEnd w:id="0"/>
      <w:r w:rsidR="003443FA" w:rsidRPr="00656217">
        <w:rPr>
          <w:rFonts w:ascii="Times New Roman" w:hAnsi="Times New Roman" w:cs="Times New Roman"/>
          <w:sz w:val="24"/>
          <w:szCs w:val="24"/>
          <w:lang w:val="sr-Cyrl-CS"/>
        </w:rPr>
        <w:t xml:space="preserve">, </w:t>
      </w:r>
      <w:r w:rsidR="006D77CE" w:rsidRPr="00656217">
        <w:rPr>
          <w:rFonts w:ascii="Times New Roman" w:hAnsi="Times New Roman" w:cs="Times New Roman"/>
          <w:sz w:val="24"/>
          <w:szCs w:val="24"/>
          <w:lang w:val="sr-Cyrl-CS"/>
        </w:rPr>
        <w:t>на седници одржаној дана 25. маја 2018</w:t>
      </w:r>
      <w:r w:rsidR="003443FA" w:rsidRPr="00656217">
        <w:rPr>
          <w:rFonts w:ascii="Times New Roman" w:hAnsi="Times New Roman" w:cs="Times New Roman"/>
          <w:sz w:val="24"/>
          <w:szCs w:val="24"/>
          <w:lang w:val="sr-Cyrl-CS"/>
        </w:rPr>
        <w:t>. го</w:t>
      </w:r>
      <w:r w:rsidR="006D77CE" w:rsidRPr="00656217">
        <w:rPr>
          <w:rFonts w:ascii="Times New Roman" w:hAnsi="Times New Roman" w:cs="Times New Roman"/>
          <w:sz w:val="24"/>
          <w:szCs w:val="24"/>
          <w:lang w:val="sr-Cyrl-CS"/>
        </w:rPr>
        <w:t>дине („Службени гласник РС”, број</w:t>
      </w:r>
      <w:r w:rsidR="003443FA" w:rsidRPr="00656217">
        <w:rPr>
          <w:rFonts w:ascii="Times New Roman" w:hAnsi="Times New Roman" w:cs="Times New Roman"/>
          <w:sz w:val="24"/>
          <w:szCs w:val="24"/>
          <w:lang w:val="sr-Cyrl-CS"/>
        </w:rPr>
        <w:t xml:space="preserve"> </w:t>
      </w:r>
      <w:r w:rsidR="006D77CE" w:rsidRPr="00656217">
        <w:rPr>
          <w:rFonts w:ascii="Times New Roman" w:hAnsi="Times New Roman" w:cs="Times New Roman"/>
          <w:sz w:val="24"/>
          <w:szCs w:val="24"/>
          <w:lang w:val="sr-Cyrl-CS"/>
        </w:rPr>
        <w:t>41/18</w:t>
      </w:r>
      <w:r w:rsidR="003443FA" w:rsidRPr="00656217">
        <w:rPr>
          <w:rFonts w:ascii="Times New Roman" w:hAnsi="Times New Roman" w:cs="Times New Roman"/>
          <w:sz w:val="24"/>
          <w:szCs w:val="24"/>
          <w:lang w:val="sr-Cyrl-CS"/>
        </w:rPr>
        <w:t xml:space="preserve">). </w:t>
      </w:r>
      <w:r w:rsidR="00D01D29" w:rsidRPr="00656217">
        <w:rPr>
          <w:rFonts w:ascii="Times New Roman" w:hAnsi="Times New Roman" w:cs="Times New Roman"/>
          <w:sz w:val="24"/>
          <w:szCs w:val="24"/>
          <w:lang w:val="sr-Cyrl-CS"/>
        </w:rPr>
        <w:t>Овај</w:t>
      </w:r>
      <w:r w:rsidR="003443FA" w:rsidRPr="00656217">
        <w:rPr>
          <w:rFonts w:ascii="Times New Roman" w:hAnsi="Times New Roman" w:cs="Times New Roman"/>
          <w:sz w:val="24"/>
          <w:szCs w:val="24"/>
          <w:lang w:val="sr-Cyrl-CS"/>
        </w:rPr>
        <w:t xml:space="preserve"> закон </w:t>
      </w:r>
      <w:r w:rsidR="00D01D29" w:rsidRPr="00656217">
        <w:rPr>
          <w:rFonts w:ascii="Times New Roman" w:hAnsi="Times New Roman" w:cs="Times New Roman"/>
          <w:sz w:val="24"/>
          <w:szCs w:val="24"/>
          <w:lang w:val="sr-Cyrl-CS"/>
        </w:rPr>
        <w:t xml:space="preserve">је у </w:t>
      </w:r>
      <w:r w:rsidR="003443FA" w:rsidRPr="00656217">
        <w:rPr>
          <w:rFonts w:ascii="Times New Roman" w:hAnsi="Times New Roman" w:cs="Times New Roman"/>
          <w:sz w:val="24"/>
          <w:szCs w:val="24"/>
          <w:lang w:val="sr-Cyrl-CS"/>
        </w:rPr>
        <w:t>потпуно</w:t>
      </w:r>
      <w:r w:rsidR="00D01D29" w:rsidRPr="00656217">
        <w:rPr>
          <w:rFonts w:ascii="Times New Roman" w:hAnsi="Times New Roman" w:cs="Times New Roman"/>
          <w:sz w:val="24"/>
          <w:szCs w:val="24"/>
          <w:lang w:val="sr-Cyrl-CS"/>
        </w:rPr>
        <w:t xml:space="preserve">сти </w:t>
      </w:r>
      <w:r w:rsidR="003443FA" w:rsidRPr="00656217">
        <w:rPr>
          <w:rFonts w:ascii="Times New Roman" w:hAnsi="Times New Roman" w:cs="Times New Roman"/>
          <w:sz w:val="24"/>
          <w:szCs w:val="24"/>
          <w:lang w:val="sr-Cyrl-CS"/>
        </w:rPr>
        <w:t>усклађен са Директивом Европског Парламента и Савета о интероперабилности железничког система у оквиру Заједнице од 17. јуна 2008. године (у наставку Д</w:t>
      </w:r>
      <w:r w:rsidR="00D01D29" w:rsidRPr="00656217">
        <w:rPr>
          <w:rFonts w:ascii="Times New Roman" w:hAnsi="Times New Roman" w:cs="Times New Roman"/>
          <w:sz w:val="24"/>
          <w:szCs w:val="24"/>
          <w:lang w:val="sr-Cyrl-CS"/>
        </w:rPr>
        <w:t xml:space="preserve">иректива о интероперабилности) којом се </w:t>
      </w:r>
      <w:r w:rsidR="003443FA" w:rsidRPr="00656217">
        <w:rPr>
          <w:rFonts w:ascii="Times New Roman" w:hAnsi="Times New Roman" w:cs="Times New Roman"/>
          <w:sz w:val="24"/>
          <w:szCs w:val="24"/>
          <w:lang w:val="sr-Cyrl-CS"/>
        </w:rPr>
        <w:t xml:space="preserve">утврђују услови које је потребно задовољити за постизање интероперабилности у железничком систему Европе на начин усклађен са њеним одредбама. Ови се услови односе на пројектовање, изградњу, пуштање у рад, унапређење, обнову, експлоатацију и одржавање делова овог система, као и на професионалне квалификације и здравствене и безбедносне услове за особље које учествује у експлоатацији и одржавању. Директива о интероперабилности има за циљ да постепено усклади техничке стандарде и друге процесе који регулишу набавку опреме и кретање возова на </w:t>
      </w:r>
      <w:proofErr w:type="spellStart"/>
      <w:r w:rsidR="00B64DF5" w:rsidRPr="00656217">
        <w:rPr>
          <w:rFonts w:ascii="Times New Roman" w:hAnsi="Times New Roman" w:cs="Times New Roman"/>
          <w:sz w:val="24"/>
          <w:szCs w:val="24"/>
          <w:lang w:val="sr-Cyrl-CS"/>
        </w:rPr>
        <w:t>транс</w:t>
      </w:r>
      <w:r w:rsidR="00D01D29" w:rsidRPr="00656217">
        <w:rPr>
          <w:rFonts w:ascii="Times New Roman" w:hAnsi="Times New Roman" w:cs="Times New Roman"/>
          <w:sz w:val="24"/>
          <w:szCs w:val="24"/>
          <w:lang w:val="sr-Cyrl-CS"/>
        </w:rPr>
        <w:t>европској</w:t>
      </w:r>
      <w:proofErr w:type="spellEnd"/>
      <w:r w:rsidR="00D01D29" w:rsidRPr="00656217">
        <w:rPr>
          <w:rFonts w:ascii="Times New Roman" w:hAnsi="Times New Roman" w:cs="Times New Roman"/>
          <w:sz w:val="24"/>
          <w:szCs w:val="24"/>
          <w:lang w:val="sr-Cyrl-CS"/>
        </w:rPr>
        <w:t xml:space="preserve"> мрежи. Уклањање</w:t>
      </w:r>
      <w:r w:rsidR="003443FA" w:rsidRPr="00656217">
        <w:rPr>
          <w:rFonts w:ascii="Times New Roman" w:hAnsi="Times New Roman" w:cs="Times New Roman"/>
          <w:sz w:val="24"/>
          <w:szCs w:val="24"/>
          <w:lang w:val="sr-Cyrl-CS"/>
        </w:rPr>
        <w:t xml:space="preserve"> техничких и процедуралних баријера, требало би да помогне напредак јединственог тржишта железничког сектора, смањи неефикасност, стимулише иновације и помогне у ревитализацији и побољшању конкурентности железничког транспорта. У железничком сектору, концепт интероперабилности треба да омогући континуални саобраћај возова на целој европској железничкој мрежи, за шта је потребна усклађеност карактеристика инфраструктуре и возила и ефикасно међусобно повезивање информационих и комуникационих система управљача инфраструктуре и оператора на мрежи. Поред тога, интероперабилност има велики утицај и на железничку индустрију, јер подстиче примену међусобно компатибилних компоненти и тиме ствара заједничко тржиште </w:t>
      </w:r>
      <w:proofErr w:type="spellStart"/>
      <w:r w:rsidR="003443FA" w:rsidRPr="00656217">
        <w:rPr>
          <w:rFonts w:ascii="Times New Roman" w:hAnsi="Times New Roman" w:cs="Times New Roman"/>
          <w:sz w:val="24"/>
          <w:szCs w:val="24"/>
          <w:lang w:val="sr-Cyrl-CS"/>
        </w:rPr>
        <w:t>интероперабилне</w:t>
      </w:r>
      <w:proofErr w:type="spellEnd"/>
      <w:r w:rsidR="003443FA" w:rsidRPr="00656217">
        <w:rPr>
          <w:rFonts w:ascii="Times New Roman" w:hAnsi="Times New Roman" w:cs="Times New Roman"/>
          <w:sz w:val="24"/>
          <w:szCs w:val="24"/>
          <w:lang w:val="sr-Cyrl-CS"/>
        </w:rPr>
        <w:t xml:space="preserve"> опреме. Примена Директиве би требало да помогне железничком сектору да повећа потражњу за својим услугама, повећања приходе и донесе </w:t>
      </w:r>
      <w:proofErr w:type="spellStart"/>
      <w:r w:rsidR="003443FA" w:rsidRPr="00656217">
        <w:rPr>
          <w:rFonts w:ascii="Times New Roman" w:hAnsi="Times New Roman" w:cs="Times New Roman"/>
          <w:sz w:val="24"/>
          <w:szCs w:val="24"/>
          <w:lang w:val="sr-Cyrl-CS"/>
        </w:rPr>
        <w:t>бенефите</w:t>
      </w:r>
      <w:proofErr w:type="spellEnd"/>
      <w:r w:rsidR="003443FA" w:rsidRPr="00656217">
        <w:rPr>
          <w:rFonts w:ascii="Times New Roman" w:hAnsi="Times New Roman" w:cs="Times New Roman"/>
          <w:sz w:val="24"/>
          <w:szCs w:val="24"/>
          <w:lang w:val="sr-Cyrl-CS"/>
        </w:rPr>
        <w:t xml:space="preserve"> путницима, корисницима услуга теретног саобраћаја и утиче на заштиту животне средине</w:t>
      </w:r>
      <w:r w:rsidR="00B64DF5" w:rsidRPr="00656217">
        <w:rPr>
          <w:rFonts w:ascii="Times New Roman" w:hAnsi="Times New Roman" w:cs="Times New Roman"/>
          <w:sz w:val="24"/>
          <w:szCs w:val="24"/>
          <w:lang w:val="sr-Cyrl-CS"/>
        </w:rPr>
        <w:t>.</w:t>
      </w:r>
      <w:r w:rsidR="003443FA" w:rsidRPr="00656217">
        <w:rPr>
          <w:rFonts w:ascii="Times New Roman" w:hAnsi="Times New Roman" w:cs="Times New Roman"/>
          <w:sz w:val="24"/>
          <w:szCs w:val="24"/>
          <w:lang w:val="sr-Cyrl-CS"/>
        </w:rPr>
        <w:t xml:space="preserve"> </w:t>
      </w:r>
    </w:p>
    <w:p w:rsidR="009A0E23"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sidRPr="00656217">
        <w:rPr>
          <w:rFonts w:ascii="Times New Roman" w:hAnsi="Times New Roman" w:cs="Times New Roman"/>
          <w:sz w:val="24"/>
          <w:szCs w:val="24"/>
          <w:lang w:val="sr-Cyrl-CS"/>
        </w:rPr>
        <w:tab/>
      </w:r>
      <w:r w:rsidR="003443FA" w:rsidRPr="00656217">
        <w:rPr>
          <w:rFonts w:ascii="Times New Roman" w:hAnsi="Times New Roman" w:cs="Times New Roman"/>
          <w:sz w:val="24"/>
          <w:szCs w:val="24"/>
          <w:lang w:val="sr-Cyrl-CS"/>
        </w:rPr>
        <w:t>У току примене поменутог закона уочени су проблеми који су се, пре свега, односили на неразумевање материје интер</w:t>
      </w:r>
      <w:r w:rsidR="00D01D29" w:rsidRPr="00656217">
        <w:rPr>
          <w:rFonts w:ascii="Times New Roman" w:hAnsi="Times New Roman" w:cs="Times New Roman"/>
          <w:sz w:val="24"/>
          <w:szCs w:val="24"/>
          <w:lang w:val="sr-Cyrl-CS"/>
        </w:rPr>
        <w:t xml:space="preserve">операбилности. </w:t>
      </w:r>
      <w:r w:rsidR="000A4F93" w:rsidRPr="00656217">
        <w:rPr>
          <w:rFonts w:ascii="Times New Roman" w:hAnsi="Times New Roman" w:cs="Times New Roman"/>
          <w:sz w:val="24"/>
          <w:szCs w:val="24"/>
          <w:lang w:val="sr-Cyrl-CS"/>
        </w:rPr>
        <w:t xml:space="preserve">Поред тога, донета је нова Директива Европског </w:t>
      </w:r>
      <w:r w:rsidR="00C74C96" w:rsidRPr="00656217">
        <w:rPr>
          <w:rFonts w:ascii="Times New Roman" w:hAnsi="Times New Roman" w:cs="Times New Roman"/>
          <w:sz w:val="24"/>
          <w:szCs w:val="24"/>
          <w:lang w:val="sr-Cyrl-CS"/>
        </w:rPr>
        <w:t xml:space="preserve">парламента </w:t>
      </w:r>
      <w:r w:rsidR="000A4F93" w:rsidRPr="00656217">
        <w:rPr>
          <w:rFonts w:ascii="Times New Roman" w:hAnsi="Times New Roman" w:cs="Times New Roman"/>
          <w:sz w:val="24"/>
          <w:szCs w:val="24"/>
          <w:lang w:val="sr-Cyrl-CS"/>
        </w:rPr>
        <w:t xml:space="preserve">и Савета о интероперабилности железничког система у оквиру Заједнице од 26. маја 2016. године, због чега се јавила потреба за иницирањем </w:t>
      </w:r>
      <w:r w:rsidR="000A4F93" w:rsidRPr="00656217">
        <w:rPr>
          <w:rFonts w:ascii="Times New Roman" w:hAnsi="Times New Roman" w:cs="Times New Roman"/>
          <w:sz w:val="24"/>
          <w:szCs w:val="24"/>
          <w:lang w:val="sr-Cyrl-CS"/>
        </w:rPr>
        <w:lastRenderedPageBreak/>
        <w:t xml:space="preserve">измене важећег закона. </w:t>
      </w:r>
      <w:r w:rsidR="00D01D29" w:rsidRPr="00656217">
        <w:rPr>
          <w:rFonts w:ascii="Times New Roman" w:hAnsi="Times New Roman" w:cs="Times New Roman"/>
          <w:sz w:val="24"/>
          <w:szCs w:val="24"/>
          <w:lang w:val="sr-Cyrl-CS"/>
        </w:rPr>
        <w:t>Стриктним т</w:t>
      </w:r>
      <w:r w:rsidR="003443FA" w:rsidRPr="00656217">
        <w:rPr>
          <w:rFonts w:ascii="Times New Roman" w:hAnsi="Times New Roman" w:cs="Times New Roman"/>
          <w:sz w:val="24"/>
          <w:szCs w:val="24"/>
          <w:lang w:val="sr-Cyrl-CS"/>
        </w:rPr>
        <w:t>ранспоновање</w:t>
      </w:r>
      <w:r w:rsidR="00D01D29" w:rsidRPr="00656217">
        <w:rPr>
          <w:rFonts w:ascii="Times New Roman" w:hAnsi="Times New Roman" w:cs="Times New Roman"/>
          <w:sz w:val="24"/>
          <w:szCs w:val="24"/>
          <w:lang w:val="sr-Cyrl-CS"/>
        </w:rPr>
        <w:t>м</w:t>
      </w:r>
      <w:r w:rsidR="003443FA" w:rsidRPr="00656217">
        <w:rPr>
          <w:rFonts w:ascii="Times New Roman" w:hAnsi="Times New Roman" w:cs="Times New Roman"/>
          <w:sz w:val="24"/>
          <w:szCs w:val="24"/>
          <w:lang w:val="sr-Cyrl-CS"/>
        </w:rPr>
        <w:t xml:space="preserve"> </w:t>
      </w:r>
      <w:proofErr w:type="spellStart"/>
      <w:r w:rsidR="003443FA" w:rsidRPr="00656217">
        <w:rPr>
          <w:rFonts w:ascii="Times New Roman" w:hAnsi="Times New Roman" w:cs="Times New Roman"/>
          <w:sz w:val="24"/>
          <w:szCs w:val="24"/>
          <w:lang w:val="sr-Cyrl-CS"/>
        </w:rPr>
        <w:t>Директивe</w:t>
      </w:r>
      <w:proofErr w:type="spellEnd"/>
      <w:r w:rsidR="003443FA" w:rsidRPr="00656217">
        <w:rPr>
          <w:rFonts w:ascii="Times New Roman" w:hAnsi="Times New Roman" w:cs="Times New Roman"/>
          <w:sz w:val="24"/>
          <w:szCs w:val="24"/>
          <w:lang w:val="sr-Cyrl-CS"/>
        </w:rPr>
        <w:t xml:space="preserve"> </w:t>
      </w:r>
      <w:r w:rsidR="000A4F93" w:rsidRPr="00656217">
        <w:rPr>
          <w:rFonts w:ascii="Times New Roman" w:hAnsi="Times New Roman" w:cs="Times New Roman"/>
          <w:sz w:val="24"/>
          <w:szCs w:val="24"/>
          <w:lang w:val="sr-Cyrl-CS"/>
        </w:rPr>
        <w:t>из 2016. годин</w:t>
      </w:r>
      <w:r w:rsidR="003443FA" w:rsidRPr="00656217">
        <w:rPr>
          <w:rFonts w:ascii="Times New Roman" w:hAnsi="Times New Roman" w:cs="Times New Roman"/>
          <w:sz w:val="24"/>
          <w:szCs w:val="24"/>
          <w:lang w:val="sr-Cyrl-CS"/>
        </w:rPr>
        <w:t>е у овај закон стиче се јасан увид у материју коју овај закон обрађује. Циљ транспоновања је обезбеђивање развоја и унапређивања интероперабилности на железници постепеног стварања унутрашњег тржишта опреме и услуга за изградњу, обнову, унапређење и експлоатацију железничког система, интеропераби</w:t>
      </w:r>
      <w:r w:rsidR="009A0E23" w:rsidRPr="00656217">
        <w:rPr>
          <w:rFonts w:ascii="Times New Roman" w:hAnsi="Times New Roman" w:cs="Times New Roman"/>
          <w:sz w:val="24"/>
          <w:szCs w:val="24"/>
          <w:lang w:val="sr-Cyrl-CS"/>
        </w:rPr>
        <w:t>лност железничког система и др.</w:t>
      </w:r>
      <w:r w:rsidR="003443FA" w:rsidRPr="00656217">
        <w:rPr>
          <w:rFonts w:ascii="Times New Roman" w:hAnsi="Times New Roman" w:cs="Times New Roman"/>
          <w:sz w:val="24"/>
          <w:szCs w:val="24"/>
          <w:lang w:val="sr-Cyrl-CS"/>
        </w:rPr>
        <w:t xml:space="preserve"> </w:t>
      </w:r>
    </w:p>
    <w:p w:rsidR="009A0E23"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sidRPr="00656217">
        <w:rPr>
          <w:rFonts w:ascii="Times New Roman" w:hAnsi="Times New Roman" w:cs="Times New Roman"/>
          <w:sz w:val="24"/>
          <w:szCs w:val="24"/>
          <w:lang w:val="sr-Cyrl-CS"/>
        </w:rPr>
        <w:tab/>
      </w:r>
      <w:r w:rsidR="003443FA" w:rsidRPr="00656217">
        <w:rPr>
          <w:rFonts w:ascii="Times New Roman" w:hAnsi="Times New Roman" w:cs="Times New Roman"/>
          <w:sz w:val="24"/>
          <w:szCs w:val="24"/>
          <w:lang w:val="sr-Cyrl-CS"/>
        </w:rPr>
        <w:t>Захтеви Европске уније према државама, када је у питању област интероперабилности у железничком саобраћају, а који су спроведе</w:t>
      </w:r>
      <w:r w:rsidR="009A0E23" w:rsidRPr="00656217">
        <w:rPr>
          <w:rFonts w:ascii="Times New Roman" w:hAnsi="Times New Roman" w:cs="Times New Roman"/>
          <w:sz w:val="24"/>
          <w:szCs w:val="24"/>
          <w:lang w:val="sr-Cyrl-CS"/>
        </w:rPr>
        <w:t>ни кроз овај закон односе се на</w:t>
      </w:r>
      <w:r w:rsidR="003443FA" w:rsidRPr="00656217">
        <w:rPr>
          <w:rFonts w:ascii="Times New Roman" w:hAnsi="Times New Roman" w:cs="Times New Roman"/>
          <w:sz w:val="24"/>
          <w:szCs w:val="24"/>
          <w:lang w:val="sr-Cyrl-CS"/>
        </w:rPr>
        <w:t xml:space="preserve"> </w:t>
      </w:r>
      <w:proofErr w:type="spellStart"/>
      <w:r w:rsidR="003443FA" w:rsidRPr="00656217">
        <w:rPr>
          <w:rFonts w:ascii="Times New Roman" w:hAnsi="Times New Roman" w:cs="Times New Roman"/>
          <w:sz w:val="24"/>
          <w:szCs w:val="24"/>
          <w:lang w:val="sr-Cyrl-CS"/>
        </w:rPr>
        <w:t>имплементирање</w:t>
      </w:r>
      <w:proofErr w:type="spellEnd"/>
      <w:r w:rsidR="003443FA" w:rsidRPr="00656217">
        <w:rPr>
          <w:rFonts w:ascii="Times New Roman" w:hAnsi="Times New Roman" w:cs="Times New Roman"/>
          <w:sz w:val="24"/>
          <w:szCs w:val="24"/>
          <w:lang w:val="sr-Cyrl-CS"/>
        </w:rPr>
        <w:t xml:space="preserve"> техничких с</w:t>
      </w:r>
      <w:r w:rsidR="009A0E23" w:rsidRPr="00656217">
        <w:rPr>
          <w:rFonts w:ascii="Times New Roman" w:hAnsi="Times New Roman" w:cs="Times New Roman"/>
          <w:sz w:val="24"/>
          <w:szCs w:val="24"/>
          <w:lang w:val="sr-Cyrl-CS"/>
        </w:rPr>
        <w:t xml:space="preserve">пецификација </w:t>
      </w:r>
      <w:proofErr w:type="spellStart"/>
      <w:r w:rsidR="009A0E23" w:rsidRPr="00656217">
        <w:rPr>
          <w:rFonts w:ascii="Times New Roman" w:hAnsi="Times New Roman" w:cs="Times New Roman"/>
          <w:sz w:val="24"/>
          <w:szCs w:val="24"/>
          <w:lang w:val="sr-Cyrl-CS"/>
        </w:rPr>
        <w:t>интероперабилности</w:t>
      </w:r>
      <w:proofErr w:type="spellEnd"/>
      <w:r w:rsidR="009A0E23" w:rsidRPr="00656217">
        <w:rPr>
          <w:rFonts w:ascii="Times New Roman" w:hAnsi="Times New Roman" w:cs="Times New Roman"/>
          <w:sz w:val="24"/>
          <w:szCs w:val="24"/>
          <w:lang w:val="sr-Cyrl-CS"/>
        </w:rPr>
        <w:t>, овлашћења пријављеног тела,</w:t>
      </w:r>
      <w:r w:rsidR="003443FA" w:rsidRPr="00656217">
        <w:rPr>
          <w:rFonts w:ascii="Times New Roman" w:hAnsi="Times New Roman" w:cs="Times New Roman"/>
          <w:sz w:val="24"/>
          <w:szCs w:val="24"/>
          <w:lang w:val="sr-Cyrl-CS"/>
        </w:rPr>
        <w:t xml:space="preserve"> вођење регистра за железничка возила и инфрас</w:t>
      </w:r>
      <w:r w:rsidR="009A0E23" w:rsidRPr="00656217">
        <w:rPr>
          <w:rFonts w:ascii="Times New Roman" w:hAnsi="Times New Roman" w:cs="Times New Roman"/>
          <w:sz w:val="24"/>
          <w:szCs w:val="24"/>
          <w:lang w:val="sr-Cyrl-CS"/>
        </w:rPr>
        <w:t>труктуру,</w:t>
      </w:r>
      <w:r w:rsidR="003443FA" w:rsidRPr="00656217">
        <w:rPr>
          <w:rFonts w:ascii="Times New Roman" w:hAnsi="Times New Roman" w:cs="Times New Roman"/>
          <w:sz w:val="24"/>
          <w:szCs w:val="24"/>
          <w:lang w:val="sr-Cyrl-CS"/>
        </w:rPr>
        <w:t xml:space="preserve"> дужност пријављивања националних прописа за безбедност Европској комисији и др. </w:t>
      </w:r>
    </w:p>
    <w:p w:rsidR="009A0E23"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sidRPr="00656217">
        <w:rPr>
          <w:rFonts w:ascii="Times New Roman" w:hAnsi="Times New Roman" w:cs="Times New Roman"/>
          <w:sz w:val="24"/>
          <w:szCs w:val="24"/>
          <w:lang w:val="sr-Cyrl-CS"/>
        </w:rPr>
        <w:tab/>
      </w:r>
      <w:r w:rsidR="003443FA" w:rsidRPr="00656217">
        <w:rPr>
          <w:rFonts w:ascii="Times New Roman" w:hAnsi="Times New Roman" w:cs="Times New Roman"/>
          <w:sz w:val="24"/>
          <w:szCs w:val="24"/>
          <w:lang w:val="sr-Cyrl-CS"/>
        </w:rPr>
        <w:t>Приликом израде радне верзије овог закона дефинисани су основни ц</w:t>
      </w:r>
      <w:r w:rsidR="009A0E23" w:rsidRPr="00656217">
        <w:rPr>
          <w:rFonts w:ascii="Times New Roman" w:hAnsi="Times New Roman" w:cs="Times New Roman"/>
          <w:sz w:val="24"/>
          <w:szCs w:val="24"/>
          <w:lang w:val="sr-Cyrl-CS"/>
        </w:rPr>
        <w:t>иљеви који су се желели постићи</w:t>
      </w:r>
      <w:r w:rsidR="003443FA" w:rsidRPr="00656217">
        <w:rPr>
          <w:rFonts w:ascii="Times New Roman" w:hAnsi="Times New Roman" w:cs="Times New Roman"/>
          <w:sz w:val="24"/>
          <w:szCs w:val="24"/>
          <w:lang w:val="sr-Cyrl-CS"/>
        </w:rPr>
        <w:t xml:space="preserve">, односно услови које треба да испуни систем железнице у Републици Србији да би се обезбедила интероперабилност у циљу несметаног одвијања железничког саобраћаја. Концепт железничког система на којем се заснивају решења у </w:t>
      </w:r>
      <w:r>
        <w:rPr>
          <w:rFonts w:ascii="Times New Roman" w:hAnsi="Times New Roman" w:cs="Times New Roman"/>
          <w:sz w:val="24"/>
          <w:szCs w:val="24"/>
          <w:lang w:val="sr-Cyrl-CS"/>
        </w:rPr>
        <w:t>Предлог</w:t>
      </w:r>
      <w:r w:rsidR="003443FA" w:rsidRPr="00656217">
        <w:rPr>
          <w:rFonts w:ascii="Times New Roman" w:hAnsi="Times New Roman" w:cs="Times New Roman"/>
          <w:sz w:val="24"/>
          <w:szCs w:val="24"/>
          <w:lang w:val="sr-Cyrl-CS"/>
        </w:rPr>
        <w:t>у закона о интероперабилности железничког система састоји се од дефинисања и уређивања интероперабилности за конвенционални железнички систем и желез</w:t>
      </w:r>
      <w:r w:rsidR="009A0E23" w:rsidRPr="00656217">
        <w:rPr>
          <w:rFonts w:ascii="Times New Roman" w:hAnsi="Times New Roman" w:cs="Times New Roman"/>
          <w:sz w:val="24"/>
          <w:szCs w:val="24"/>
          <w:lang w:val="sr-Cyrl-CS"/>
        </w:rPr>
        <w:t>нички систем великих брзина, структурних подсистема, чинилаца</w:t>
      </w:r>
      <w:r w:rsidR="003443FA" w:rsidRPr="00656217">
        <w:rPr>
          <w:rFonts w:ascii="Times New Roman" w:hAnsi="Times New Roman" w:cs="Times New Roman"/>
          <w:sz w:val="24"/>
          <w:szCs w:val="24"/>
          <w:lang w:val="sr-Cyrl-CS"/>
        </w:rPr>
        <w:t xml:space="preserve"> интероперабилности и елем</w:t>
      </w:r>
      <w:r w:rsidR="009A0E23" w:rsidRPr="00656217">
        <w:rPr>
          <w:rFonts w:ascii="Times New Roman" w:hAnsi="Times New Roman" w:cs="Times New Roman"/>
          <w:sz w:val="24"/>
          <w:szCs w:val="24"/>
          <w:lang w:val="sr-Cyrl-CS"/>
        </w:rPr>
        <w:t xml:space="preserve">ента структурних подсистема, </w:t>
      </w:r>
      <w:r w:rsidR="003443FA" w:rsidRPr="00656217">
        <w:rPr>
          <w:rFonts w:ascii="Times New Roman" w:hAnsi="Times New Roman" w:cs="Times New Roman"/>
          <w:sz w:val="24"/>
          <w:szCs w:val="24"/>
          <w:lang w:val="sr-Cyrl-CS"/>
        </w:rPr>
        <w:t>доношења техничких специ</w:t>
      </w:r>
      <w:r w:rsidR="009A0E23" w:rsidRPr="00656217">
        <w:rPr>
          <w:rFonts w:ascii="Times New Roman" w:hAnsi="Times New Roman" w:cs="Times New Roman"/>
          <w:sz w:val="24"/>
          <w:szCs w:val="24"/>
          <w:lang w:val="sr-Cyrl-CS"/>
        </w:rPr>
        <w:t xml:space="preserve">фикација интероперабилности, </w:t>
      </w:r>
      <w:r w:rsidR="003443FA" w:rsidRPr="00656217">
        <w:rPr>
          <w:rFonts w:ascii="Times New Roman" w:hAnsi="Times New Roman" w:cs="Times New Roman"/>
          <w:sz w:val="24"/>
          <w:szCs w:val="24"/>
          <w:lang w:val="sr-Cyrl-CS"/>
        </w:rPr>
        <w:t>оцене усаглашености и оцене погодности за употребу чинилаца интероперабилности и верификације структурних подсистема (инфраструктура, енергија), дозвола за кориш</w:t>
      </w:r>
      <w:r w:rsidR="009A0E23" w:rsidRPr="00656217">
        <w:rPr>
          <w:rFonts w:ascii="Times New Roman" w:hAnsi="Times New Roman" w:cs="Times New Roman"/>
          <w:sz w:val="24"/>
          <w:szCs w:val="24"/>
          <w:lang w:val="sr-Cyrl-CS"/>
        </w:rPr>
        <w:t>ћење структурних подсистема, као и националног регист</w:t>
      </w:r>
      <w:r w:rsidR="003443FA" w:rsidRPr="00656217">
        <w:rPr>
          <w:rFonts w:ascii="Times New Roman" w:hAnsi="Times New Roman" w:cs="Times New Roman"/>
          <w:sz w:val="24"/>
          <w:szCs w:val="24"/>
          <w:lang w:val="sr-Cyrl-CS"/>
        </w:rPr>
        <w:t>ра железничких возила, регистра одобрених типова железничких возила и регистра инфраструктуре, где је спецификац</w:t>
      </w:r>
      <w:r w:rsidR="009A0E23" w:rsidRPr="00656217">
        <w:rPr>
          <w:rFonts w:ascii="Times New Roman" w:hAnsi="Times New Roman" w:cs="Times New Roman"/>
          <w:sz w:val="24"/>
          <w:szCs w:val="24"/>
          <w:lang w:val="sr-Cyrl-CS"/>
        </w:rPr>
        <w:t>ија регистра прописана у COT</w:t>
      </w:r>
      <w:r w:rsidR="00FC541B" w:rsidRPr="00656217">
        <w:rPr>
          <w:rFonts w:ascii="Times New Roman" w:hAnsi="Times New Roman" w:cs="Times New Roman"/>
          <w:sz w:val="24"/>
          <w:szCs w:val="24"/>
          <w:lang w:val="sr-Cyrl-CS"/>
        </w:rPr>
        <w:t xml:space="preserve">IF. </w:t>
      </w:r>
    </w:p>
    <w:p w:rsidR="009A0E23"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sidRPr="00656217">
        <w:rPr>
          <w:rFonts w:ascii="Times New Roman" w:hAnsi="Times New Roman" w:cs="Times New Roman"/>
          <w:sz w:val="24"/>
          <w:szCs w:val="24"/>
          <w:lang w:val="sr-Cyrl-CS"/>
        </w:rPr>
        <w:tab/>
      </w:r>
      <w:r w:rsidR="003443FA" w:rsidRPr="00656217">
        <w:rPr>
          <w:rFonts w:ascii="Times New Roman" w:hAnsi="Times New Roman" w:cs="Times New Roman"/>
          <w:sz w:val="24"/>
          <w:szCs w:val="24"/>
          <w:lang w:val="sr-Cyrl-CS"/>
        </w:rPr>
        <w:t>Доношење овог закона, којим ће бити уређена област интероперабилности железнице утицаће н</w:t>
      </w:r>
      <w:r w:rsidR="009A0E23" w:rsidRPr="00656217">
        <w:rPr>
          <w:rFonts w:ascii="Times New Roman" w:hAnsi="Times New Roman" w:cs="Times New Roman"/>
          <w:sz w:val="24"/>
          <w:szCs w:val="24"/>
          <w:lang w:val="sr-Cyrl-CS"/>
        </w:rPr>
        <w:t>а све заинтересоване стране</w:t>
      </w:r>
      <w:r w:rsidR="003443FA" w:rsidRPr="00656217">
        <w:rPr>
          <w:rFonts w:ascii="Times New Roman" w:hAnsi="Times New Roman" w:cs="Times New Roman"/>
          <w:sz w:val="24"/>
          <w:szCs w:val="24"/>
          <w:lang w:val="sr-Cyrl-CS"/>
        </w:rPr>
        <w:t xml:space="preserve"> </w:t>
      </w:r>
      <w:r w:rsidR="009A0E23" w:rsidRPr="00656217">
        <w:rPr>
          <w:rFonts w:ascii="Times New Roman" w:hAnsi="Times New Roman" w:cs="Times New Roman"/>
          <w:sz w:val="24"/>
          <w:szCs w:val="24"/>
          <w:lang w:val="sr-Cyrl-CS"/>
        </w:rPr>
        <w:t xml:space="preserve">у процесу одвијања железничког саобраћаја, а пре свега на </w:t>
      </w:r>
      <w:r w:rsidR="003443FA" w:rsidRPr="00656217">
        <w:rPr>
          <w:rFonts w:ascii="Times New Roman" w:hAnsi="Times New Roman" w:cs="Times New Roman"/>
          <w:sz w:val="24"/>
          <w:szCs w:val="24"/>
          <w:lang w:val="sr-Cyrl-CS"/>
        </w:rPr>
        <w:t>упра</w:t>
      </w:r>
      <w:r w:rsidR="009A0E23" w:rsidRPr="00656217">
        <w:rPr>
          <w:rFonts w:ascii="Times New Roman" w:hAnsi="Times New Roman" w:cs="Times New Roman"/>
          <w:sz w:val="24"/>
          <w:szCs w:val="24"/>
          <w:lang w:val="sr-Cyrl-CS"/>
        </w:rPr>
        <w:t>вљача железничке инфраструктуре, железничке превознике,</w:t>
      </w:r>
      <w:r w:rsidR="003443FA" w:rsidRPr="00656217">
        <w:rPr>
          <w:rFonts w:ascii="Times New Roman" w:hAnsi="Times New Roman" w:cs="Times New Roman"/>
          <w:sz w:val="24"/>
          <w:szCs w:val="24"/>
          <w:lang w:val="sr-Cyrl-CS"/>
        </w:rPr>
        <w:t xml:space="preserve"> железничку инду</w:t>
      </w:r>
      <w:r w:rsidR="009A0E23" w:rsidRPr="00656217">
        <w:rPr>
          <w:rFonts w:ascii="Times New Roman" w:hAnsi="Times New Roman" w:cs="Times New Roman"/>
          <w:sz w:val="24"/>
          <w:szCs w:val="24"/>
          <w:lang w:val="sr-Cyrl-CS"/>
        </w:rPr>
        <w:t xml:space="preserve">стрију (произвођаче и извођаче), органе државне управе, </w:t>
      </w:r>
      <w:r w:rsidR="003443FA" w:rsidRPr="00656217">
        <w:rPr>
          <w:rFonts w:ascii="Times New Roman" w:hAnsi="Times New Roman" w:cs="Times New Roman"/>
          <w:sz w:val="24"/>
          <w:szCs w:val="24"/>
          <w:lang w:val="sr-Cyrl-CS"/>
        </w:rPr>
        <w:t>именова</w:t>
      </w:r>
      <w:r w:rsidR="009A0E23" w:rsidRPr="00656217">
        <w:rPr>
          <w:rFonts w:ascii="Times New Roman" w:hAnsi="Times New Roman" w:cs="Times New Roman"/>
          <w:sz w:val="24"/>
          <w:szCs w:val="24"/>
          <w:lang w:val="sr-Cyrl-CS"/>
        </w:rPr>
        <w:t xml:space="preserve">на тела за оцену усаглашености, </w:t>
      </w:r>
      <w:r w:rsidR="003443FA" w:rsidRPr="00656217">
        <w:rPr>
          <w:rFonts w:ascii="Times New Roman" w:hAnsi="Times New Roman" w:cs="Times New Roman"/>
          <w:sz w:val="24"/>
          <w:szCs w:val="24"/>
          <w:lang w:val="sr-Cyrl-CS"/>
        </w:rPr>
        <w:t xml:space="preserve">кориснике железничких услуга (грађани, привреда, шпедитери и др.), као и друге који учествују у процесу пружања услуга у железничком саобраћају. </w:t>
      </w:r>
    </w:p>
    <w:p w:rsidR="009A0E23"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3443FA" w:rsidRPr="00656217">
        <w:rPr>
          <w:rFonts w:ascii="Times New Roman" w:hAnsi="Times New Roman" w:cs="Times New Roman"/>
          <w:sz w:val="24"/>
          <w:szCs w:val="24"/>
          <w:lang w:val="sr-Cyrl-CS"/>
        </w:rPr>
        <w:t xml:space="preserve">ом закона прецизирано је доношење подзаконских аката, чиме ће се извршити целовито правно уређивање области интероперабилности у железничком саобраћају. </w:t>
      </w:r>
      <w:r w:rsidR="009A0E23" w:rsidRPr="00656217">
        <w:rPr>
          <w:rFonts w:ascii="Times New Roman" w:hAnsi="Times New Roman" w:cs="Times New Roman"/>
          <w:sz w:val="24"/>
          <w:szCs w:val="24"/>
          <w:lang w:val="sr-Cyrl-CS"/>
        </w:rPr>
        <w:t xml:space="preserve">Овим </w:t>
      </w:r>
      <w:r>
        <w:rPr>
          <w:rFonts w:ascii="Times New Roman" w:hAnsi="Times New Roman" w:cs="Times New Roman"/>
          <w:sz w:val="24"/>
          <w:szCs w:val="24"/>
          <w:lang w:val="sr-Cyrl-CS"/>
        </w:rPr>
        <w:t>Предлог</w:t>
      </w:r>
      <w:r w:rsidR="003443FA" w:rsidRPr="00656217">
        <w:rPr>
          <w:rFonts w:ascii="Times New Roman" w:hAnsi="Times New Roman" w:cs="Times New Roman"/>
          <w:sz w:val="24"/>
          <w:szCs w:val="24"/>
          <w:lang w:val="sr-Cyrl-CS"/>
        </w:rPr>
        <w:t xml:space="preserve">ом закона извршена </w:t>
      </w:r>
      <w:r w:rsidR="009A0E23" w:rsidRPr="00656217">
        <w:rPr>
          <w:rFonts w:ascii="Times New Roman" w:hAnsi="Times New Roman" w:cs="Times New Roman"/>
          <w:sz w:val="24"/>
          <w:szCs w:val="24"/>
          <w:lang w:val="sr-Cyrl-CS"/>
        </w:rPr>
        <w:t>је</w:t>
      </w:r>
      <w:r w:rsidR="003443FA" w:rsidRPr="00656217">
        <w:rPr>
          <w:rFonts w:ascii="Times New Roman" w:hAnsi="Times New Roman" w:cs="Times New Roman"/>
          <w:sz w:val="24"/>
          <w:szCs w:val="24"/>
          <w:lang w:val="sr-Cyrl-CS"/>
        </w:rPr>
        <w:t xml:space="preserve"> хармонизација са Директивом о интероперабилности чиме је отклоњена могућност неразумевања обавеза које проистичу из захтева директиве. Такође, </w:t>
      </w:r>
      <w:r>
        <w:rPr>
          <w:rFonts w:ascii="Times New Roman" w:hAnsi="Times New Roman" w:cs="Times New Roman"/>
          <w:sz w:val="24"/>
          <w:szCs w:val="24"/>
          <w:lang w:val="sr-Cyrl-CS"/>
        </w:rPr>
        <w:t>Предлог</w:t>
      </w:r>
      <w:r w:rsidR="003443FA" w:rsidRPr="00656217">
        <w:rPr>
          <w:rFonts w:ascii="Times New Roman" w:hAnsi="Times New Roman" w:cs="Times New Roman"/>
          <w:sz w:val="24"/>
          <w:szCs w:val="24"/>
          <w:lang w:val="sr-Cyrl-CS"/>
        </w:rPr>
        <w:t xml:space="preserve">ом закона предвиђене су одредбе које се односе на издавање дозвола, сертификата и овлашћења које ће издавати Дирекција за железнице у складу са прописима Европске уније и прецизирана је улога Дирекције за железнице у свим поступцима које обавља у погледу интероперабилности. Такође, овим законом дато је овлашћење Дирекцији за железнице за доношење одређених прописа од значаја за интероперабилност железничког саобраћаја. </w:t>
      </w:r>
    </w:p>
    <w:p w:rsidR="000A4F93" w:rsidRPr="00656217" w:rsidRDefault="000A4F93" w:rsidP="00656217">
      <w:pPr>
        <w:tabs>
          <w:tab w:val="left" w:pos="1134"/>
        </w:tabs>
        <w:spacing w:after="0" w:line="240" w:lineRule="auto"/>
        <w:jc w:val="center"/>
        <w:rPr>
          <w:rFonts w:ascii="Times New Roman" w:hAnsi="Times New Roman" w:cs="Times New Roman"/>
          <w:sz w:val="24"/>
          <w:szCs w:val="24"/>
          <w:lang w:val="sr-Cyrl-CS"/>
        </w:rPr>
      </w:pPr>
    </w:p>
    <w:p w:rsidR="00656217" w:rsidRPr="00656217" w:rsidRDefault="00656217" w:rsidP="00656217">
      <w:pPr>
        <w:jc w:val="both"/>
        <w:rPr>
          <w:rFonts w:ascii="Times New Roman" w:hAnsi="Times New Roman" w:cs="Times New Roman"/>
          <w:b/>
          <w:sz w:val="24"/>
          <w:szCs w:val="24"/>
          <w:lang w:val="sr-Cyrl-CS"/>
        </w:rPr>
      </w:pPr>
      <w:r w:rsidRPr="00656217">
        <w:rPr>
          <w:rFonts w:ascii="Times New Roman" w:hAnsi="Times New Roman" w:cs="Times New Roman"/>
          <w:b/>
          <w:sz w:val="24"/>
          <w:szCs w:val="24"/>
          <w:lang w:val="sr-Cyrl-CS"/>
        </w:rPr>
        <w:t>III.</w:t>
      </w:r>
      <w:r w:rsidRPr="00656217">
        <w:rPr>
          <w:rFonts w:ascii="Times New Roman" w:hAnsi="Times New Roman" w:cs="Times New Roman"/>
          <w:sz w:val="24"/>
          <w:szCs w:val="24"/>
          <w:lang w:val="sr-Cyrl-CS"/>
        </w:rPr>
        <w:t xml:space="preserve"> </w:t>
      </w:r>
      <w:r w:rsidRPr="00656217">
        <w:rPr>
          <w:rFonts w:ascii="Times New Roman" w:hAnsi="Times New Roman" w:cs="Times New Roman"/>
          <w:b/>
          <w:sz w:val="24"/>
          <w:szCs w:val="24"/>
          <w:lang w:val="sr-Cyrl-CS"/>
        </w:rPr>
        <w:t>ОБЈАШЊЕЊЕ ОСНОВНИХ ПРАВНИХ ИНСТИТУТА И ПОЈЕДИНАЧНИХ РЕШЕЊА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1.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дефинисан је предмет закона. </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2.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уведени су и дефинисани поједини изрази са њиховим значењима, употребљени у смислу овог закона. </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507A2E" w:rsidRPr="00656217">
        <w:rPr>
          <w:rFonts w:ascii="Times New Roman" w:hAnsi="Times New Roman" w:cs="Times New Roman"/>
          <w:sz w:val="24"/>
          <w:szCs w:val="24"/>
          <w:lang w:val="sr-Cyrl-CS"/>
        </w:rPr>
        <w:t xml:space="preserve">Одредбама чл. 3, 4, 5. и 6.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прописана је подела железничког система, уређена подела сваког од система (конвенционалног железничког система и железничког система великих брзина), дефинисани елементи који чине железничку мрежу, одређено која возила спадају у железничка возила, као и подела подсистема (структурни и функционални подсистеми). </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7.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прописана је примена захтева за обезбеђење интероперабилности.</w:t>
      </w:r>
    </w:p>
    <w:p w:rsidR="00507A2E" w:rsidRPr="00656217" w:rsidRDefault="00507A2E" w:rsidP="00656217">
      <w:pPr>
        <w:tabs>
          <w:tab w:val="left" w:pos="1134"/>
        </w:tabs>
        <w:spacing w:after="0" w:line="240" w:lineRule="auto"/>
        <w:jc w:val="both"/>
        <w:rPr>
          <w:rFonts w:ascii="Times New Roman" w:hAnsi="Times New Roman" w:cs="Times New Roman"/>
          <w:sz w:val="24"/>
          <w:szCs w:val="24"/>
          <w:lang w:val="sr-Cyrl-CS"/>
        </w:rPr>
      </w:pPr>
      <w:r w:rsidRPr="00656217">
        <w:rPr>
          <w:rFonts w:ascii="Times New Roman" w:hAnsi="Times New Roman" w:cs="Times New Roman"/>
          <w:sz w:val="24"/>
          <w:szCs w:val="24"/>
          <w:lang w:val="sr-Cyrl-CS"/>
        </w:rPr>
        <w:t xml:space="preserve"> </w:t>
      </w:r>
      <w:r w:rsidR="00656217">
        <w:rPr>
          <w:rFonts w:ascii="Times New Roman" w:hAnsi="Times New Roman" w:cs="Times New Roman"/>
          <w:sz w:val="24"/>
          <w:szCs w:val="24"/>
          <w:lang w:val="sr-Cyrl-CS"/>
        </w:rPr>
        <w:tab/>
      </w:r>
      <w:r w:rsidRPr="00656217">
        <w:rPr>
          <w:rFonts w:ascii="Times New Roman" w:hAnsi="Times New Roman" w:cs="Times New Roman"/>
          <w:sz w:val="24"/>
          <w:szCs w:val="24"/>
          <w:lang w:val="sr-Cyrl-CS"/>
        </w:rPr>
        <w:t xml:space="preserve">Одредбама члана 8. </w:t>
      </w:r>
      <w:r w:rsidR="00656217">
        <w:rPr>
          <w:rFonts w:ascii="Times New Roman" w:hAnsi="Times New Roman" w:cs="Times New Roman"/>
          <w:sz w:val="24"/>
          <w:szCs w:val="24"/>
          <w:lang w:val="sr-Cyrl-CS"/>
        </w:rPr>
        <w:t>Предлог</w:t>
      </w:r>
      <w:r w:rsidRPr="00656217">
        <w:rPr>
          <w:rFonts w:ascii="Times New Roman" w:hAnsi="Times New Roman" w:cs="Times New Roman"/>
          <w:sz w:val="24"/>
          <w:szCs w:val="24"/>
          <w:lang w:val="sr-Cyrl-CS"/>
        </w:rPr>
        <w:t xml:space="preserve">а закона прописани су основни и посебни захтеви интероперабилности, где је за опште захтеве прописана обавеза испуњења, док се посебни захтеви односе на поједине подсистеме. </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 9, 10. и 11.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уређен је појам Техничке спецификације интероперабилности (у даљем тексту: ТСИ), појам и област примене ТСИ и одступање од примене ТСИ. </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 12 - 15.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прописано је стављање на тржиште чинилаца интероперабилности, усаглашеност и погодност за употребу, оцењивање усаглашености и погодности за употребу чинилаца интероперабилности као и неусаглашеност чинилаца интероперабилности са основним захтевима.</w:t>
      </w:r>
    </w:p>
    <w:p w:rsidR="00CE47F6" w:rsidRPr="00656217" w:rsidRDefault="00656217" w:rsidP="00656217">
      <w:pPr>
        <w:pStyle w:val="7podnas"/>
        <w:tabs>
          <w:tab w:val="left" w:pos="1134"/>
        </w:tabs>
        <w:spacing w:before="0"/>
        <w:jc w:val="both"/>
        <w:rPr>
          <w:rFonts w:ascii="Times New Roman" w:hAnsi="Times New Roman" w:cs="Times New Roman"/>
          <w:b w:val="0"/>
          <w:sz w:val="24"/>
          <w:szCs w:val="24"/>
          <w:lang w:val="sr-Cyrl-CS"/>
        </w:rPr>
      </w:pPr>
      <w:r>
        <w:rPr>
          <w:rFonts w:ascii="Times New Roman" w:hAnsi="Times New Roman" w:cs="Times New Roman"/>
          <w:b w:val="0"/>
          <w:sz w:val="24"/>
          <w:szCs w:val="24"/>
          <w:lang w:val="sr-Cyrl-CS"/>
        </w:rPr>
        <w:tab/>
      </w:r>
      <w:r w:rsidR="00507A2E" w:rsidRPr="00656217">
        <w:rPr>
          <w:rFonts w:ascii="Times New Roman" w:hAnsi="Times New Roman" w:cs="Times New Roman"/>
          <w:b w:val="0"/>
          <w:sz w:val="24"/>
          <w:szCs w:val="24"/>
          <w:lang w:val="sr-Cyrl-CS"/>
        </w:rPr>
        <w:t>Одредбама члана 16.</w:t>
      </w:r>
      <w:r w:rsidR="00CE47F6" w:rsidRPr="00656217">
        <w:rPr>
          <w:rFonts w:ascii="Times New Roman" w:hAnsi="Times New Roman" w:cs="Times New Roman"/>
          <w:b w:val="0"/>
          <w:sz w:val="24"/>
          <w:szCs w:val="24"/>
          <w:lang w:val="sr-Cyrl-CS"/>
        </w:rPr>
        <w:t xml:space="preserve"> </w:t>
      </w:r>
      <w:r>
        <w:rPr>
          <w:rFonts w:ascii="Times New Roman" w:hAnsi="Times New Roman" w:cs="Times New Roman"/>
          <w:b w:val="0"/>
          <w:sz w:val="24"/>
          <w:szCs w:val="24"/>
          <w:lang w:val="sr-Cyrl-CS"/>
        </w:rPr>
        <w:t>Предлог</w:t>
      </w:r>
      <w:r w:rsidR="00CE47F6" w:rsidRPr="00656217">
        <w:rPr>
          <w:rFonts w:ascii="Times New Roman" w:hAnsi="Times New Roman" w:cs="Times New Roman"/>
          <w:b w:val="0"/>
          <w:sz w:val="24"/>
          <w:szCs w:val="24"/>
          <w:lang w:val="sr-Cyrl-CS"/>
        </w:rPr>
        <w:t>а закона регулисана је Усаглашеност и погодност за употребу и чинилаца интероперабилности.</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17.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прописано је да оцењивање усаглашености и погодности за употребу елемената структурних подсистема обавља именовано тело, обавезе именованог тела које се односи на обавезу вођења евиденције о издатим сертификатима, као и надлежност Дирекције до именовања тела за оцењивање усаглашености</w:t>
      </w:r>
      <w:r w:rsidR="00F36993" w:rsidRPr="00656217">
        <w:rPr>
          <w:rFonts w:ascii="Times New Roman" w:hAnsi="Times New Roman" w:cs="Times New Roman"/>
          <w:sz w:val="24"/>
          <w:szCs w:val="24"/>
          <w:lang w:val="sr-Cyrl-CS"/>
        </w:rPr>
        <w:t>.</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18.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дефинисано је слободно кретање подсистема</w:t>
      </w:r>
      <w:r w:rsidR="00F36993" w:rsidRPr="00656217">
        <w:rPr>
          <w:rFonts w:ascii="Times New Roman" w:hAnsi="Times New Roman" w:cs="Times New Roman"/>
          <w:sz w:val="24"/>
          <w:szCs w:val="24"/>
          <w:lang w:val="sr-Cyrl-CS"/>
        </w:rPr>
        <w:t>.</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19.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прописује се поступак верификације подсистема и декларацију о верификацији подсистема</w:t>
      </w:r>
      <w:r w:rsidR="00F36993" w:rsidRPr="00656217">
        <w:rPr>
          <w:rFonts w:ascii="Times New Roman" w:hAnsi="Times New Roman" w:cs="Times New Roman"/>
          <w:sz w:val="24"/>
          <w:szCs w:val="24"/>
          <w:lang w:val="sr-Cyrl-CS"/>
        </w:rPr>
        <w:t>.</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20.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прописује се поступак верификације подсистема и декларацију о верификацији подсистема на које се </w:t>
      </w:r>
      <w:proofErr w:type="spellStart"/>
      <w:r w:rsidR="00507A2E" w:rsidRPr="00656217">
        <w:rPr>
          <w:rFonts w:ascii="Times New Roman" w:hAnsi="Times New Roman" w:cs="Times New Roman"/>
          <w:sz w:val="24"/>
          <w:szCs w:val="24"/>
          <w:lang w:val="sr-Cyrl-CS"/>
        </w:rPr>
        <w:t>примењеују</w:t>
      </w:r>
      <w:proofErr w:type="spellEnd"/>
      <w:r w:rsidR="00507A2E" w:rsidRPr="00656217">
        <w:rPr>
          <w:rFonts w:ascii="Times New Roman" w:hAnsi="Times New Roman" w:cs="Times New Roman"/>
          <w:sz w:val="24"/>
          <w:szCs w:val="24"/>
          <w:lang w:val="sr-Cyrl-CS"/>
        </w:rPr>
        <w:t xml:space="preserve"> национални прописи</w:t>
      </w:r>
      <w:r w:rsidR="00F36993" w:rsidRPr="00656217">
        <w:rPr>
          <w:rFonts w:ascii="Times New Roman" w:hAnsi="Times New Roman" w:cs="Times New Roman"/>
          <w:sz w:val="24"/>
          <w:szCs w:val="24"/>
          <w:lang w:val="sr-Cyrl-CS"/>
        </w:rPr>
        <w:t>.</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21.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регулише усаглашеност са ТСИ и националним железничким техничким прописима.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22.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предвиђена је обавеза пријављивања националних прописа из области интероперабилности.</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23.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регулише поступак у случају неусклађености подсистема са основним захтевима.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 24 – 36.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регулисано је издавање дозвола за коришћење стабилних подсистема, дозвола за коришћење </w:t>
      </w:r>
      <w:proofErr w:type="spellStart"/>
      <w:r w:rsidR="00507A2E" w:rsidRPr="00656217">
        <w:rPr>
          <w:rFonts w:ascii="Times New Roman" w:hAnsi="Times New Roman" w:cs="Times New Roman"/>
          <w:sz w:val="24"/>
          <w:szCs w:val="24"/>
          <w:lang w:val="sr-Cyrl-CS"/>
        </w:rPr>
        <w:t>мобилих</w:t>
      </w:r>
      <w:proofErr w:type="spellEnd"/>
      <w:r w:rsidR="00507A2E" w:rsidRPr="00656217">
        <w:rPr>
          <w:rFonts w:ascii="Times New Roman" w:hAnsi="Times New Roman" w:cs="Times New Roman"/>
          <w:sz w:val="24"/>
          <w:szCs w:val="24"/>
          <w:lang w:val="sr-Cyrl-CS"/>
        </w:rPr>
        <w:t xml:space="preserve"> </w:t>
      </w:r>
      <w:proofErr w:type="spellStart"/>
      <w:r w:rsidR="00507A2E" w:rsidRPr="00656217">
        <w:rPr>
          <w:rFonts w:ascii="Times New Roman" w:hAnsi="Times New Roman" w:cs="Times New Roman"/>
          <w:sz w:val="24"/>
          <w:szCs w:val="24"/>
          <w:lang w:val="sr-Cyrl-CS"/>
        </w:rPr>
        <w:t>подсистема</w:t>
      </w:r>
      <w:proofErr w:type="spellEnd"/>
      <w:r w:rsidR="00507A2E" w:rsidRPr="00656217">
        <w:rPr>
          <w:rFonts w:ascii="Times New Roman" w:hAnsi="Times New Roman" w:cs="Times New Roman"/>
          <w:sz w:val="24"/>
          <w:szCs w:val="24"/>
          <w:lang w:val="sr-Cyrl-CS"/>
        </w:rPr>
        <w:t xml:space="preserve">, дозвола за тип возила,  возила која су усклађена са ТСИ, издавање додатних дозвола за коришћење за возила која су усклађена са ТСИ, издавање дозвола за коришћење подсистема који нису усклађени са ТСИ, издавање дозвола за коришћење возила која нису усклађена са ТСИ, издавање додатних дозвола за коришћење возила која нису усклађена са ТСИ, изузеци од издавања додатне дозволе за коришћење возила, издавање дозвола за коришћење возила, обавезе железничког превозника у вези са проверама које је дужан да изврши пре употребе одобрених возила, неусклађеност возила или типова возила са основним захтевима, </w:t>
      </w:r>
      <w:r w:rsidR="00507A2E" w:rsidRPr="00656217">
        <w:rPr>
          <w:rFonts w:ascii="Times New Roman" w:hAnsi="Times New Roman" w:cs="Times New Roman"/>
          <w:sz w:val="24"/>
          <w:szCs w:val="24"/>
          <w:lang w:val="sr-Cyrl-CS"/>
        </w:rPr>
        <w:lastRenderedPageBreak/>
        <w:t xml:space="preserve">одузимање и суспензија дозволе за коришћење возила и </w:t>
      </w:r>
      <w:proofErr w:type="spellStart"/>
      <w:r w:rsidR="00507A2E" w:rsidRPr="00656217">
        <w:rPr>
          <w:rFonts w:ascii="Times New Roman" w:hAnsi="Times New Roman" w:cs="Times New Roman"/>
          <w:sz w:val="24"/>
          <w:szCs w:val="24"/>
          <w:lang w:val="sr-Cyrl-CS"/>
        </w:rPr>
        <w:t>oбнављање</w:t>
      </w:r>
      <w:proofErr w:type="spellEnd"/>
      <w:r w:rsidR="00507A2E" w:rsidRPr="00656217">
        <w:rPr>
          <w:rFonts w:ascii="Times New Roman" w:hAnsi="Times New Roman" w:cs="Times New Roman"/>
          <w:sz w:val="24"/>
          <w:szCs w:val="24"/>
          <w:lang w:val="sr-Cyrl-CS"/>
        </w:rPr>
        <w:t xml:space="preserve"> или унапређење структурног подсистема.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 37- 40.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предвиђени су услови које мора да испуни пријављено тело за оцењивање усаглашености, регулисана непристрасност пријављеног теле, наведене вештине које мора имати особље одговорно за спровођење активности оцењивања усаглашености, као и одговорност пријављеног тела уколико послове повезане са оцењивањем усаглашености повери подизвођачу или огранку.</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41.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регулише могућност подносиоца захтева да користе акредитована интерна тела за оцењивање усаглашености.</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42.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регулише активности Европске </w:t>
      </w:r>
      <w:r w:rsidR="00C74C96" w:rsidRPr="00656217">
        <w:rPr>
          <w:rFonts w:ascii="Times New Roman" w:hAnsi="Times New Roman" w:cs="Times New Roman"/>
          <w:sz w:val="24"/>
          <w:szCs w:val="24"/>
          <w:lang w:val="sr-Cyrl-CS"/>
        </w:rPr>
        <w:t xml:space="preserve">комисије </w:t>
      </w:r>
      <w:r w:rsidR="00507A2E" w:rsidRPr="00656217">
        <w:rPr>
          <w:rFonts w:ascii="Times New Roman" w:hAnsi="Times New Roman" w:cs="Times New Roman"/>
          <w:sz w:val="24"/>
          <w:szCs w:val="24"/>
          <w:lang w:val="sr-Cyrl-CS"/>
        </w:rPr>
        <w:t>односно Генералног секретара OTIF-a вези да додељивањем идентификационих бројева и списка пријављених тела.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 43 – 45. и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регулише оперативне обавезе пријављеног тела, пружање информација, размену најбоље праксе и координацију пријављених тела.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46.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предвиђена је сходна примена одредаба чл. 37-41. и на именовано тело.</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 47.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прописано је вођење региста</w:t>
      </w:r>
      <w:r w:rsidR="00554F7A" w:rsidRPr="00656217">
        <w:rPr>
          <w:rFonts w:ascii="Times New Roman" w:hAnsi="Times New Roman" w:cs="Times New Roman"/>
          <w:sz w:val="24"/>
          <w:szCs w:val="24"/>
          <w:lang w:val="sr-Cyrl-CS"/>
        </w:rPr>
        <w:t>ра железничких возила.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 48.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регулише успостављање и вођење регистра одобрених типова возила.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49.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регулише регистар инфраструктуре.</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50.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прописан је инспекцијски надзор над применом овог закона и подзаконских аката донетих на основу овог закона. </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51.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прописана су права и дужности инспектора.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 52 и 53.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прописана су овлашћења инспектора и обавезе у вези са службеним оделом и службеном легитимацијом.</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54.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су регулисане дужности привредних друштава и других правних лица над којима се врши инспекцијски надзор.</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55.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регулише поступак у случају издавања усменог наређења или изрицања усмене забране од стране инспектора.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Одредбама члана 56.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предвиђена је могућност изјављивања жалбе министру против решења инспектора.</w:t>
      </w:r>
    </w:p>
    <w:p w:rsidR="00507A2E"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Одредбама чл. 57</w:t>
      </w:r>
      <w:r w:rsidR="00554F7A" w:rsidRPr="00656217">
        <w:rPr>
          <w:rFonts w:ascii="Times New Roman" w:hAnsi="Times New Roman" w:cs="Times New Roman"/>
          <w:sz w:val="24"/>
          <w:szCs w:val="24"/>
          <w:lang w:val="sr-Cyrl-CS"/>
        </w:rPr>
        <w:t>.</w:t>
      </w:r>
      <w:r w:rsidR="00507A2E" w:rsidRPr="00656217">
        <w:rPr>
          <w:rFonts w:ascii="Times New Roman" w:hAnsi="Times New Roman" w:cs="Times New Roman"/>
          <w:sz w:val="24"/>
          <w:szCs w:val="24"/>
          <w:lang w:val="sr-Cyrl-CS"/>
        </w:rPr>
        <w:t xml:space="preserve"> и 58.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установљена су </w:t>
      </w:r>
      <w:r w:rsidR="00CD6E40" w:rsidRPr="00656217">
        <w:rPr>
          <w:rFonts w:ascii="Times New Roman" w:hAnsi="Times New Roman" w:cs="Times New Roman"/>
          <w:sz w:val="24"/>
          <w:szCs w:val="24"/>
          <w:lang w:val="sr-Cyrl-CS"/>
        </w:rPr>
        <w:t>кажњиви прекршаји</w:t>
      </w:r>
      <w:r w:rsidR="00507A2E" w:rsidRPr="00656217">
        <w:rPr>
          <w:rFonts w:ascii="Times New Roman" w:hAnsi="Times New Roman" w:cs="Times New Roman"/>
          <w:sz w:val="24"/>
          <w:szCs w:val="24"/>
          <w:lang w:val="sr-Cyrl-CS"/>
        </w:rPr>
        <w:t xml:space="preserve">, сходно диспозицијама прописаним у закону и одређене висине новчаних казни сходно закону којим су уређени прекршаји. </w:t>
      </w:r>
    </w:p>
    <w:p w:rsidR="00C74C96" w:rsidRDefault="00C74C96"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Одредбом члана 59. Предлога закона прописано је </w:t>
      </w:r>
      <w:r w:rsidR="005C0F88">
        <w:rPr>
          <w:rFonts w:ascii="Times New Roman" w:hAnsi="Times New Roman" w:cs="Times New Roman"/>
          <w:sz w:val="24"/>
          <w:szCs w:val="24"/>
          <w:lang w:val="sr-Cyrl-CS"/>
        </w:rPr>
        <w:t xml:space="preserve">да ће Дирекција  обављати послове тела </w:t>
      </w:r>
      <w:r w:rsidRPr="008941CB">
        <w:rPr>
          <w:rFonts w:ascii="Times New Roman" w:hAnsi="Times New Roman" w:cs="Times New Roman"/>
          <w:sz w:val="24"/>
          <w:szCs w:val="24"/>
          <w:lang w:val="sr-Cyrl-CS"/>
        </w:rPr>
        <w:t>за оцењивање усаглашености</w:t>
      </w:r>
      <w:r>
        <w:rPr>
          <w:rFonts w:ascii="Times New Roman" w:hAnsi="Times New Roman" w:cs="Times New Roman"/>
          <w:sz w:val="24"/>
          <w:szCs w:val="24"/>
          <w:lang w:val="sr-Cyrl-CS"/>
        </w:rPr>
        <w:t>.</w:t>
      </w:r>
    </w:p>
    <w:p w:rsidR="00C74C96" w:rsidRDefault="00C74C96"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Одредбом члана 60. Предлога закона прописано је</w:t>
      </w:r>
      <w:r w:rsidR="0093192F">
        <w:rPr>
          <w:rFonts w:ascii="Times New Roman" w:hAnsi="Times New Roman" w:cs="Times New Roman"/>
          <w:sz w:val="24"/>
          <w:szCs w:val="24"/>
          <w:lang w:val="sr-Cyrl-CS"/>
        </w:rPr>
        <w:t xml:space="preserve"> да се </w:t>
      </w:r>
      <w:r w:rsidR="0093192F" w:rsidRPr="008941CB">
        <w:rPr>
          <w:rFonts w:ascii="Times New Roman" w:hAnsi="Times New Roman" w:cs="Times New Roman"/>
          <w:sz w:val="24"/>
          <w:szCs w:val="24"/>
          <w:lang w:val="sr-Cyrl-CS"/>
        </w:rPr>
        <w:t>додатн</w:t>
      </w:r>
      <w:r w:rsidR="0093192F">
        <w:rPr>
          <w:rFonts w:ascii="Times New Roman" w:hAnsi="Times New Roman" w:cs="Times New Roman"/>
          <w:sz w:val="24"/>
          <w:szCs w:val="24"/>
          <w:lang w:val="sr-Cyrl-CS"/>
        </w:rPr>
        <w:t>е</w:t>
      </w:r>
      <w:r w:rsidR="0093192F" w:rsidRPr="008941CB">
        <w:rPr>
          <w:rFonts w:ascii="Times New Roman" w:hAnsi="Times New Roman" w:cs="Times New Roman"/>
          <w:sz w:val="24"/>
          <w:szCs w:val="24"/>
          <w:lang w:val="sr-Cyrl-CS"/>
        </w:rPr>
        <w:t xml:space="preserve"> дозвол</w:t>
      </w:r>
      <w:r w:rsidR="0093192F">
        <w:rPr>
          <w:rFonts w:ascii="Times New Roman" w:hAnsi="Times New Roman" w:cs="Times New Roman"/>
          <w:sz w:val="24"/>
          <w:szCs w:val="24"/>
          <w:lang w:val="sr-Cyrl-CS"/>
        </w:rPr>
        <w:t>е</w:t>
      </w:r>
      <w:r w:rsidR="0093192F" w:rsidRPr="008941CB">
        <w:rPr>
          <w:rFonts w:ascii="Times New Roman" w:hAnsi="Times New Roman" w:cs="Times New Roman"/>
          <w:sz w:val="24"/>
          <w:szCs w:val="24"/>
          <w:lang w:val="sr-Cyrl-CS"/>
        </w:rPr>
        <w:t xml:space="preserve"> за коришћење возила не издај</w:t>
      </w:r>
      <w:r w:rsidR="0093192F">
        <w:rPr>
          <w:rFonts w:ascii="Times New Roman" w:hAnsi="Times New Roman" w:cs="Times New Roman"/>
          <w:sz w:val="24"/>
          <w:szCs w:val="24"/>
          <w:lang w:val="sr-Cyrl-CS"/>
        </w:rPr>
        <w:t xml:space="preserve">у </w:t>
      </w:r>
      <w:r w:rsidR="0093192F" w:rsidRPr="008941CB">
        <w:rPr>
          <w:rFonts w:ascii="Times New Roman" w:hAnsi="Times New Roman" w:cs="Times New Roman"/>
          <w:sz w:val="24"/>
          <w:szCs w:val="24"/>
          <w:lang w:val="sr-Cyrl-CS"/>
        </w:rPr>
        <w:t>за возила која су одобрена за саобраћај и обележена у складу са споразумима између железничких превозника из Републике Србије и железничких превозника из других држава закључених пре 5. децембра 2013. године</w:t>
      </w:r>
      <w:r w:rsidR="0093192F">
        <w:rPr>
          <w:rFonts w:ascii="Times New Roman" w:hAnsi="Times New Roman" w:cs="Times New Roman"/>
          <w:sz w:val="24"/>
          <w:szCs w:val="24"/>
          <w:lang w:val="sr-Cyrl-CS"/>
        </w:rPr>
        <w:t>.</w:t>
      </w:r>
      <w:r w:rsidRPr="008941CB">
        <w:rPr>
          <w:rFonts w:ascii="Times New Roman" w:hAnsi="Times New Roman" w:cs="Times New Roman"/>
          <w:sz w:val="24"/>
          <w:szCs w:val="24"/>
          <w:lang w:val="sr-Cyrl-CS"/>
        </w:rPr>
        <w:t xml:space="preserve"> </w:t>
      </w:r>
    </w:p>
    <w:p w:rsidR="00C74C96" w:rsidRPr="00656217" w:rsidRDefault="00C74C96" w:rsidP="00656217">
      <w:pPr>
        <w:tabs>
          <w:tab w:val="left" w:pos="1134"/>
        </w:tabs>
        <w:spacing w:after="0" w:line="240" w:lineRule="auto"/>
        <w:jc w:val="both"/>
        <w:rPr>
          <w:rFonts w:ascii="Times New Roman" w:hAnsi="Times New Roman" w:cs="Times New Roman"/>
          <w:sz w:val="24"/>
          <w:szCs w:val="24"/>
          <w:lang w:val="sr-Cyrl-CS"/>
        </w:rPr>
      </w:pPr>
    </w:p>
    <w:p w:rsidR="00507A2E"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507A2E" w:rsidRPr="00656217">
        <w:rPr>
          <w:rFonts w:ascii="Times New Roman" w:hAnsi="Times New Roman" w:cs="Times New Roman"/>
          <w:sz w:val="24"/>
          <w:szCs w:val="24"/>
          <w:lang w:val="sr-Cyrl-CS"/>
        </w:rPr>
        <w:t>Од</w:t>
      </w:r>
      <w:r w:rsidR="008174AC" w:rsidRPr="00656217">
        <w:rPr>
          <w:rFonts w:ascii="Times New Roman" w:hAnsi="Times New Roman" w:cs="Times New Roman"/>
          <w:sz w:val="24"/>
          <w:szCs w:val="24"/>
          <w:lang w:val="sr-Cyrl-CS"/>
        </w:rPr>
        <w:t xml:space="preserve">редбом члана </w:t>
      </w:r>
      <w:r w:rsidR="00C74C96">
        <w:rPr>
          <w:rFonts w:ascii="Times New Roman" w:hAnsi="Times New Roman" w:cs="Times New Roman"/>
          <w:sz w:val="24"/>
          <w:szCs w:val="24"/>
          <w:lang w:val="sr-Cyrl-CS"/>
        </w:rPr>
        <w:t>61</w:t>
      </w:r>
      <w:r w:rsidR="008174AC" w:rsidRPr="0065621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Предлог</w:t>
      </w:r>
      <w:r w:rsidR="008174AC" w:rsidRPr="00656217">
        <w:rPr>
          <w:rFonts w:ascii="Times New Roman" w:hAnsi="Times New Roman" w:cs="Times New Roman"/>
          <w:sz w:val="24"/>
          <w:szCs w:val="24"/>
          <w:lang w:val="sr-Cyrl-CS"/>
        </w:rPr>
        <w:t xml:space="preserve">а закона је прописано да ће се </w:t>
      </w:r>
      <w:r w:rsidR="00507A2E" w:rsidRPr="00656217">
        <w:rPr>
          <w:rFonts w:ascii="Times New Roman" w:hAnsi="Times New Roman" w:cs="Times New Roman"/>
          <w:sz w:val="24"/>
          <w:szCs w:val="24"/>
          <w:lang w:val="sr-Cyrl-CS"/>
        </w:rPr>
        <w:t>прописи за извршавање овог закона бити донети у року од две године од дана ступања на снагу овог закона и наведени који ће се прописи примењивати до њиховог доношења.</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Одредбом члана </w:t>
      </w:r>
      <w:r w:rsidR="00C74C96">
        <w:rPr>
          <w:rFonts w:ascii="Times New Roman" w:hAnsi="Times New Roman" w:cs="Times New Roman"/>
          <w:sz w:val="24"/>
          <w:szCs w:val="24"/>
          <w:lang w:val="sr-Cyrl-CS"/>
        </w:rPr>
        <w:t>62</w:t>
      </w:r>
      <w:r w:rsidR="00507A2E" w:rsidRPr="0065621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предвиђено је да до објављивања </w:t>
      </w:r>
      <w:proofErr w:type="spellStart"/>
      <w:r w:rsidR="00507A2E" w:rsidRPr="00656217">
        <w:rPr>
          <w:rFonts w:ascii="Times New Roman" w:hAnsi="Times New Roman" w:cs="Times New Roman"/>
          <w:sz w:val="24"/>
          <w:szCs w:val="24"/>
          <w:lang w:val="sr-Cyrl-CS"/>
        </w:rPr>
        <w:t>ТСИ-ја</w:t>
      </w:r>
      <w:proofErr w:type="spellEnd"/>
      <w:r w:rsidR="00507A2E" w:rsidRPr="00656217">
        <w:rPr>
          <w:rFonts w:ascii="Times New Roman" w:hAnsi="Times New Roman" w:cs="Times New Roman"/>
          <w:sz w:val="24"/>
          <w:szCs w:val="24"/>
          <w:lang w:val="sr-Cyrl-CS"/>
        </w:rPr>
        <w:t xml:space="preserve"> из члана 9. став 4. овог закона у „Службеном гласнику Републике Србије” важиће </w:t>
      </w:r>
      <w:proofErr w:type="spellStart"/>
      <w:r w:rsidR="00507A2E" w:rsidRPr="00656217">
        <w:rPr>
          <w:rFonts w:ascii="Times New Roman" w:hAnsi="Times New Roman" w:cs="Times New Roman"/>
          <w:sz w:val="24"/>
          <w:szCs w:val="24"/>
          <w:lang w:val="sr-Cyrl-CS"/>
        </w:rPr>
        <w:t>ТСИ-ји</w:t>
      </w:r>
      <w:proofErr w:type="spellEnd"/>
      <w:r w:rsidR="00507A2E" w:rsidRPr="00656217">
        <w:rPr>
          <w:rFonts w:ascii="Times New Roman" w:hAnsi="Times New Roman" w:cs="Times New Roman"/>
          <w:sz w:val="24"/>
          <w:szCs w:val="24"/>
          <w:lang w:val="sr-Cyrl-CS"/>
        </w:rPr>
        <w:t xml:space="preserve"> које је објавила Дирекција на својој интернет страници.</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Одредбом члана </w:t>
      </w:r>
      <w:r w:rsidR="00C74C96">
        <w:rPr>
          <w:rFonts w:ascii="Times New Roman" w:hAnsi="Times New Roman" w:cs="Times New Roman"/>
          <w:sz w:val="24"/>
          <w:szCs w:val="24"/>
          <w:lang w:val="sr-Cyrl-CS"/>
        </w:rPr>
        <w:t>63</w:t>
      </w:r>
      <w:r w:rsidR="00507A2E" w:rsidRPr="0065621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је предвиђено да дозволе за коришћење возила које су издате до ступања на снагу закона – остају на снази.</w:t>
      </w:r>
    </w:p>
    <w:p w:rsidR="00507A2E"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Одредбом члана </w:t>
      </w:r>
      <w:r w:rsidR="00C74C96">
        <w:rPr>
          <w:rFonts w:ascii="Times New Roman" w:hAnsi="Times New Roman" w:cs="Times New Roman"/>
          <w:sz w:val="24"/>
          <w:szCs w:val="24"/>
          <w:lang w:val="sr-Cyrl-CS"/>
        </w:rPr>
        <w:t>64</w:t>
      </w:r>
      <w:r w:rsidR="00507A2E" w:rsidRPr="0065621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 xml:space="preserve">а закона је предвиђено је да поступци који су покренути пре ступања на снагу овог закона буду окончани по прописима који су важили до дана ступања на снагу овог закона. </w:t>
      </w:r>
    </w:p>
    <w:p w:rsidR="00C74C96" w:rsidRPr="00656217" w:rsidRDefault="0093192F"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Одредбом члана 65. Предлога закона прописано је да </w:t>
      </w:r>
      <w:r w:rsidRPr="008941CB">
        <w:rPr>
          <w:rFonts w:ascii="Times New Roman" w:hAnsi="Times New Roman" w:cs="Times New Roman"/>
          <w:sz w:val="24"/>
          <w:szCs w:val="24"/>
          <w:lang w:val="sr-Cyrl-CS"/>
        </w:rPr>
        <w:t>до дана приступања Републике Србије Европској унији захтев за одступање</w:t>
      </w:r>
      <w:r w:rsidR="005C0F88">
        <w:rPr>
          <w:rFonts w:ascii="Times New Roman" w:hAnsi="Times New Roman" w:cs="Times New Roman"/>
          <w:sz w:val="24"/>
          <w:szCs w:val="24"/>
          <w:lang w:val="sr-Cyrl-CS"/>
        </w:rPr>
        <w:t xml:space="preserve"> од ТСИ,</w:t>
      </w:r>
      <w:r w:rsidRPr="008941CB">
        <w:rPr>
          <w:rFonts w:ascii="Times New Roman" w:hAnsi="Times New Roman" w:cs="Times New Roman"/>
          <w:sz w:val="24"/>
          <w:szCs w:val="24"/>
          <w:lang w:val="sr-Cyrl-CS"/>
        </w:rPr>
        <w:t xml:space="preserve"> наручилац или његов овлашћени заступник подноси Министарству</w:t>
      </w:r>
      <w:r>
        <w:rPr>
          <w:rFonts w:ascii="Times New Roman" w:hAnsi="Times New Roman" w:cs="Times New Roman"/>
          <w:sz w:val="24"/>
          <w:szCs w:val="24"/>
          <w:lang w:val="sr-Cyrl-CS"/>
        </w:rPr>
        <w:t>.</w:t>
      </w:r>
    </w:p>
    <w:p w:rsidR="00507A2E"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Одредбом члана </w:t>
      </w:r>
      <w:r w:rsidR="00C74C96">
        <w:rPr>
          <w:rFonts w:ascii="Times New Roman" w:hAnsi="Times New Roman" w:cs="Times New Roman"/>
          <w:sz w:val="24"/>
          <w:szCs w:val="24"/>
          <w:lang w:val="sr-Cyrl-CS"/>
        </w:rPr>
        <w:t>66</w:t>
      </w:r>
      <w:r w:rsidR="00507A2E" w:rsidRPr="0065621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је прописано да даном ступања на снагу овог закона престаје да важи Закон о интероперабилности железничког</w:t>
      </w:r>
      <w:r w:rsidR="00623AB1" w:rsidRPr="00656217">
        <w:rPr>
          <w:rFonts w:ascii="Times New Roman" w:hAnsi="Times New Roman" w:cs="Times New Roman"/>
          <w:sz w:val="24"/>
          <w:szCs w:val="24"/>
          <w:lang w:val="sr-Cyrl-CS"/>
        </w:rPr>
        <w:t xml:space="preserve"> система („Службени гласник РС“,</w:t>
      </w:r>
      <w:r w:rsidR="00507A2E" w:rsidRPr="00656217">
        <w:rPr>
          <w:rFonts w:ascii="Times New Roman" w:hAnsi="Times New Roman" w:cs="Times New Roman"/>
          <w:sz w:val="24"/>
          <w:szCs w:val="24"/>
          <w:lang w:val="sr-Cyrl-CS"/>
        </w:rPr>
        <w:t xml:space="preserve"> број 41/18)</w:t>
      </w:r>
      <w:r w:rsidR="00623AB1" w:rsidRPr="00656217">
        <w:rPr>
          <w:rFonts w:ascii="Times New Roman" w:hAnsi="Times New Roman" w:cs="Times New Roman"/>
          <w:sz w:val="24"/>
          <w:szCs w:val="24"/>
          <w:lang w:val="sr-Cyrl-CS"/>
        </w:rPr>
        <w:t>.</w:t>
      </w:r>
    </w:p>
    <w:p w:rsidR="003443FA" w:rsidRPr="00656217"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07A2E" w:rsidRPr="00656217">
        <w:rPr>
          <w:rFonts w:ascii="Times New Roman" w:hAnsi="Times New Roman" w:cs="Times New Roman"/>
          <w:sz w:val="24"/>
          <w:szCs w:val="24"/>
          <w:lang w:val="sr-Cyrl-CS"/>
        </w:rPr>
        <w:t xml:space="preserve">Одредбом члана </w:t>
      </w:r>
      <w:r w:rsidR="00C74C96">
        <w:rPr>
          <w:rFonts w:ascii="Times New Roman" w:hAnsi="Times New Roman" w:cs="Times New Roman"/>
          <w:sz w:val="24"/>
          <w:szCs w:val="24"/>
          <w:lang w:val="sr-Cyrl-CS"/>
        </w:rPr>
        <w:t>67</w:t>
      </w:r>
      <w:r w:rsidR="00507A2E" w:rsidRPr="0065621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Предлог</w:t>
      </w:r>
      <w:r w:rsidR="00507A2E" w:rsidRPr="00656217">
        <w:rPr>
          <w:rFonts w:ascii="Times New Roman" w:hAnsi="Times New Roman" w:cs="Times New Roman"/>
          <w:sz w:val="24"/>
          <w:szCs w:val="24"/>
          <w:lang w:val="sr-Cyrl-CS"/>
        </w:rPr>
        <w:t>а закона регулисано је ступање на снагу предметног закона.</w:t>
      </w:r>
    </w:p>
    <w:p w:rsidR="008174AC" w:rsidRPr="00656217" w:rsidRDefault="008174AC" w:rsidP="00656217">
      <w:pPr>
        <w:tabs>
          <w:tab w:val="left" w:pos="1134"/>
        </w:tabs>
        <w:spacing w:after="0" w:line="240" w:lineRule="auto"/>
        <w:jc w:val="both"/>
        <w:rPr>
          <w:rFonts w:ascii="Times New Roman" w:hAnsi="Times New Roman" w:cs="Times New Roman"/>
          <w:sz w:val="24"/>
          <w:szCs w:val="24"/>
          <w:lang w:val="sr-Cyrl-CS"/>
        </w:rPr>
      </w:pPr>
    </w:p>
    <w:p w:rsidR="00507A2E" w:rsidRDefault="003443FA" w:rsidP="00656217">
      <w:pPr>
        <w:tabs>
          <w:tab w:val="left" w:pos="1134"/>
        </w:tabs>
        <w:spacing w:after="0" w:line="240" w:lineRule="auto"/>
        <w:rPr>
          <w:rFonts w:ascii="Times New Roman" w:hAnsi="Times New Roman" w:cs="Times New Roman"/>
          <w:b/>
          <w:sz w:val="24"/>
          <w:szCs w:val="24"/>
          <w:lang w:val="sr-Cyrl-CS"/>
        </w:rPr>
      </w:pPr>
      <w:r w:rsidRPr="00656217">
        <w:rPr>
          <w:rFonts w:ascii="Times New Roman" w:hAnsi="Times New Roman" w:cs="Times New Roman"/>
          <w:b/>
          <w:sz w:val="24"/>
          <w:szCs w:val="24"/>
          <w:lang w:val="sr-Cyrl-CS"/>
        </w:rPr>
        <w:t>IV. ПРОЦЕНА ФИНАНСИЈСКИХ СРЕДСТАВА ПОТРЕБНИХ ЗА СПРОВОЂЕЊЕ ЗАКОНА</w:t>
      </w:r>
    </w:p>
    <w:p w:rsidR="00656217" w:rsidRPr="00656217" w:rsidRDefault="00656217" w:rsidP="00656217">
      <w:pPr>
        <w:tabs>
          <w:tab w:val="left" w:pos="1134"/>
        </w:tabs>
        <w:spacing w:after="0" w:line="240" w:lineRule="auto"/>
        <w:rPr>
          <w:rFonts w:ascii="Times New Roman" w:hAnsi="Times New Roman" w:cs="Times New Roman"/>
          <w:b/>
          <w:sz w:val="24"/>
          <w:szCs w:val="24"/>
          <w:lang w:val="sr-Cyrl-CS"/>
        </w:rPr>
      </w:pPr>
    </w:p>
    <w:p w:rsidR="00E415D5" w:rsidRDefault="00656217" w:rsidP="00656217">
      <w:pPr>
        <w:tabs>
          <w:tab w:val="left" w:pos="1134"/>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443FA" w:rsidRPr="00656217">
        <w:rPr>
          <w:rFonts w:ascii="Times New Roman" w:hAnsi="Times New Roman" w:cs="Times New Roman"/>
          <w:sz w:val="24"/>
          <w:szCs w:val="24"/>
          <w:lang w:val="sr-Cyrl-CS"/>
        </w:rPr>
        <w:t xml:space="preserve">За спровођење овог закона није потребно обезбедити додатна средства у буџету Републике Србије. </w:t>
      </w:r>
    </w:p>
    <w:p w:rsidR="00656217" w:rsidRDefault="00656217" w:rsidP="00656217">
      <w:pPr>
        <w:tabs>
          <w:tab w:val="left" w:pos="1134"/>
        </w:tabs>
        <w:spacing w:after="0" w:line="240" w:lineRule="auto"/>
        <w:jc w:val="both"/>
        <w:rPr>
          <w:rFonts w:ascii="Times New Roman" w:hAnsi="Times New Roman" w:cs="Times New Roman"/>
          <w:sz w:val="24"/>
          <w:szCs w:val="24"/>
          <w:lang w:val="sr-Cyrl-CS"/>
        </w:rPr>
      </w:pPr>
    </w:p>
    <w:p w:rsidR="00656217" w:rsidRPr="00656217" w:rsidRDefault="00656217" w:rsidP="00656217">
      <w:pPr>
        <w:tabs>
          <w:tab w:val="left" w:pos="1134"/>
        </w:tabs>
        <w:spacing w:after="0" w:line="240" w:lineRule="auto"/>
        <w:jc w:val="both"/>
        <w:rPr>
          <w:rFonts w:ascii="Times New Roman" w:hAnsi="Times New Roman" w:cs="Times New Roman"/>
          <w:sz w:val="24"/>
          <w:szCs w:val="24"/>
          <w:lang w:val="sr-Cyrl-CS"/>
        </w:rPr>
      </w:pPr>
    </w:p>
    <w:sectPr w:rsidR="00656217" w:rsidRPr="00656217" w:rsidSect="00656217">
      <w:foot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3DE" w:rsidRDefault="003673DE" w:rsidP="00656217">
      <w:pPr>
        <w:spacing w:after="0" w:line="240" w:lineRule="auto"/>
      </w:pPr>
      <w:r>
        <w:separator/>
      </w:r>
    </w:p>
  </w:endnote>
  <w:endnote w:type="continuationSeparator" w:id="0">
    <w:p w:rsidR="003673DE" w:rsidRDefault="003673DE" w:rsidP="00656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0489902"/>
      <w:docPartObj>
        <w:docPartGallery w:val="Page Numbers (Bottom of Page)"/>
        <w:docPartUnique/>
      </w:docPartObj>
    </w:sdtPr>
    <w:sdtEndPr>
      <w:rPr>
        <w:noProof/>
      </w:rPr>
    </w:sdtEndPr>
    <w:sdtContent>
      <w:p w:rsidR="00656217" w:rsidRDefault="00656217">
        <w:pPr>
          <w:pStyle w:val="Footer"/>
          <w:jc w:val="right"/>
        </w:pPr>
        <w:r>
          <w:fldChar w:fldCharType="begin"/>
        </w:r>
        <w:r>
          <w:instrText xml:space="preserve"> PAGE   \* MERGEFORMAT </w:instrText>
        </w:r>
        <w:r>
          <w:fldChar w:fldCharType="separate"/>
        </w:r>
        <w:r w:rsidR="001C02E5">
          <w:rPr>
            <w:noProof/>
          </w:rPr>
          <w:t>5</w:t>
        </w:r>
        <w:r>
          <w:rPr>
            <w:noProof/>
          </w:rPr>
          <w:fldChar w:fldCharType="end"/>
        </w:r>
      </w:p>
    </w:sdtContent>
  </w:sdt>
  <w:p w:rsidR="00656217" w:rsidRDefault="006562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3DE" w:rsidRDefault="003673DE" w:rsidP="00656217">
      <w:pPr>
        <w:spacing w:after="0" w:line="240" w:lineRule="auto"/>
      </w:pPr>
      <w:r>
        <w:separator/>
      </w:r>
    </w:p>
  </w:footnote>
  <w:footnote w:type="continuationSeparator" w:id="0">
    <w:p w:rsidR="003673DE" w:rsidRDefault="003673DE" w:rsidP="006562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3FA"/>
    <w:rsid w:val="000677B9"/>
    <w:rsid w:val="0007686A"/>
    <w:rsid w:val="000A4F93"/>
    <w:rsid w:val="00101FF0"/>
    <w:rsid w:val="001C02E5"/>
    <w:rsid w:val="00256022"/>
    <w:rsid w:val="00312C6E"/>
    <w:rsid w:val="003443FA"/>
    <w:rsid w:val="003673DE"/>
    <w:rsid w:val="00422D6F"/>
    <w:rsid w:val="00507A2E"/>
    <w:rsid w:val="00512AA8"/>
    <w:rsid w:val="00554F7A"/>
    <w:rsid w:val="005C0F88"/>
    <w:rsid w:val="006030BA"/>
    <w:rsid w:val="00623AB1"/>
    <w:rsid w:val="00656217"/>
    <w:rsid w:val="006725E7"/>
    <w:rsid w:val="006D77CE"/>
    <w:rsid w:val="008174AC"/>
    <w:rsid w:val="0093192F"/>
    <w:rsid w:val="00940CFC"/>
    <w:rsid w:val="009A0E23"/>
    <w:rsid w:val="00A229DE"/>
    <w:rsid w:val="00A3781C"/>
    <w:rsid w:val="00AE6221"/>
    <w:rsid w:val="00AF2EBF"/>
    <w:rsid w:val="00B030E5"/>
    <w:rsid w:val="00B03983"/>
    <w:rsid w:val="00B64DF5"/>
    <w:rsid w:val="00C51757"/>
    <w:rsid w:val="00C74C96"/>
    <w:rsid w:val="00CD6E40"/>
    <w:rsid w:val="00CE47F6"/>
    <w:rsid w:val="00D01D29"/>
    <w:rsid w:val="00D530D6"/>
    <w:rsid w:val="00DB33E3"/>
    <w:rsid w:val="00E1724B"/>
    <w:rsid w:val="00E2102D"/>
    <w:rsid w:val="00EB6296"/>
    <w:rsid w:val="00F36993"/>
    <w:rsid w:val="00FB0D31"/>
    <w:rsid w:val="00FC5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AC133"/>
  <w15:chartTrackingRefBased/>
  <w15:docId w15:val="{F5E9D267-50F3-4FA7-94A7-843A4FF5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7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7F6"/>
    <w:rPr>
      <w:rFonts w:ascii="Segoe UI" w:hAnsi="Segoe UI" w:cs="Segoe UI"/>
      <w:sz w:val="18"/>
      <w:szCs w:val="18"/>
    </w:rPr>
  </w:style>
  <w:style w:type="paragraph" w:customStyle="1" w:styleId="7podnas">
    <w:name w:val="_7podnas"/>
    <w:basedOn w:val="Normal"/>
    <w:rsid w:val="00CE47F6"/>
    <w:pPr>
      <w:shd w:val="clear" w:color="auto" w:fill="FFFFFF"/>
      <w:spacing w:before="60" w:after="0" w:line="240" w:lineRule="auto"/>
      <w:jc w:val="center"/>
    </w:pPr>
    <w:rPr>
      <w:rFonts w:ascii="Arial" w:eastAsiaTheme="minorEastAsia" w:hAnsi="Arial" w:cs="Arial"/>
      <w:b/>
      <w:bCs/>
      <w:sz w:val="27"/>
      <w:szCs w:val="27"/>
    </w:rPr>
  </w:style>
  <w:style w:type="paragraph" w:styleId="Header">
    <w:name w:val="header"/>
    <w:basedOn w:val="Normal"/>
    <w:link w:val="HeaderChar"/>
    <w:uiPriority w:val="99"/>
    <w:unhideWhenUsed/>
    <w:rsid w:val="006562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6217"/>
  </w:style>
  <w:style w:type="paragraph" w:styleId="Footer">
    <w:name w:val="footer"/>
    <w:basedOn w:val="Normal"/>
    <w:link w:val="FooterChar"/>
    <w:uiPriority w:val="99"/>
    <w:unhideWhenUsed/>
    <w:rsid w:val="006562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6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2026</Words>
  <Characters>11553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Isailović</dc:creator>
  <cp:keywords/>
  <dc:description/>
  <cp:lastModifiedBy>Snezana Marinovic</cp:lastModifiedBy>
  <cp:revision>10</cp:revision>
  <cp:lastPrinted>2023-05-05T13:00:00Z</cp:lastPrinted>
  <dcterms:created xsi:type="dcterms:W3CDTF">2023-02-17T11:13:00Z</dcterms:created>
  <dcterms:modified xsi:type="dcterms:W3CDTF">2023-05-05T13:00:00Z</dcterms:modified>
</cp:coreProperties>
</file>