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68780" w14:textId="77777777" w:rsidR="00243FB3" w:rsidRDefault="00243FB3" w:rsidP="00243F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 Б Р А З Л О Ж Е Њ Е</w:t>
      </w:r>
    </w:p>
    <w:p w14:paraId="4768F37F" w14:textId="77777777" w:rsidR="00243FB3" w:rsidRDefault="00243FB3" w:rsidP="00243F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52193E" w14:textId="77777777" w:rsidR="00243FB3" w:rsidRDefault="00243FB3" w:rsidP="00243F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9F2BA7" w14:textId="77777777" w:rsidR="00243FB3" w:rsidRDefault="00243FB3" w:rsidP="00243FB3">
      <w:pPr>
        <w:pStyle w:val="ListParagraph"/>
        <w:numPr>
          <w:ilvl w:val="0"/>
          <w:numId w:val="1"/>
        </w:numPr>
        <w:spacing w:after="0" w:line="240" w:lineRule="auto"/>
        <w:ind w:left="993" w:hanging="273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УСТАВНИ ОСНОВ ЗА ДОНОШЕЊЕ ЗАКОНА</w:t>
      </w:r>
    </w:p>
    <w:p w14:paraId="5D5A6E1F" w14:textId="77777777" w:rsidR="00243FB3" w:rsidRDefault="00243FB3" w:rsidP="00243F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13F8DE6" w14:textId="77777777" w:rsidR="00243FB3" w:rsidRDefault="00243FB3" w:rsidP="00243F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Уставни основ за доношење Закона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 уређењу судова </w:t>
      </w:r>
      <w:r>
        <w:rPr>
          <w:rFonts w:ascii="Times New Roman" w:hAnsi="Times New Roman" w:cs="Times New Roman"/>
          <w:sz w:val="24"/>
          <w:szCs w:val="24"/>
        </w:rPr>
        <w:t>садржан је у члану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143. став 1. </w:t>
      </w:r>
      <w:r>
        <w:rPr>
          <w:rFonts w:ascii="Times New Roman" w:hAnsi="Times New Roman" w:cs="Times New Roman"/>
          <w:sz w:val="24"/>
          <w:szCs w:val="24"/>
        </w:rPr>
        <w:t xml:space="preserve"> Устава Републике Србије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(„Службени гласник РСˮ, бр. 98/06 и </w:t>
      </w:r>
      <w:r w:rsidR="00FA739B">
        <w:rPr>
          <w:rFonts w:ascii="Times New Roman" w:hAnsi="Times New Roman" w:cs="Times New Roman"/>
          <w:sz w:val="24"/>
          <w:szCs w:val="24"/>
          <w:lang w:val="sr-Cyrl-RS"/>
        </w:rPr>
        <w:t>16</w:t>
      </w:r>
      <w:r>
        <w:rPr>
          <w:rFonts w:ascii="Times New Roman" w:hAnsi="Times New Roman" w:cs="Times New Roman"/>
          <w:sz w:val="24"/>
          <w:szCs w:val="24"/>
          <w:lang w:val="sr-Cyrl-RS"/>
        </w:rPr>
        <w:t>/2</w:t>
      </w:r>
      <w:r w:rsidR="00FA739B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), којим је утврђено да се оснивање, укидање, врсте, надлежност, подручја и седишта судова, састав суда и поступак пред судовима уређују законом.</w:t>
      </w:r>
    </w:p>
    <w:p w14:paraId="2E33AD50" w14:textId="77777777" w:rsidR="00243FB3" w:rsidRDefault="00243FB3" w:rsidP="00243F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8C9A2D" w14:textId="77777777" w:rsidR="00243FB3" w:rsidRDefault="00243FB3" w:rsidP="00243FB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II. </w:t>
      </w:r>
      <w:r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РАЗЛОЗИ ЗА ДОНОШЕЊЕ ЗАКОНА</w:t>
      </w:r>
    </w:p>
    <w:p w14:paraId="20036819" w14:textId="77777777" w:rsidR="00243FB3" w:rsidRDefault="00243FB3" w:rsidP="00243F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DBD3FF4" w14:textId="77777777" w:rsidR="00243FB3" w:rsidRDefault="00243FB3" w:rsidP="00243F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Актом о промени Устава Републике Србије, који је проглашен, после одржаног рефорендума, одлуком Народне Скупштине од 9. фебруара 2022. године, усвојени су Амандмани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>
        <w:rPr>
          <w:rFonts w:ascii="Times New Roman" w:hAnsi="Times New Roman" w:cs="Times New Roman"/>
          <w:sz w:val="24"/>
          <w:szCs w:val="24"/>
          <w:lang w:val="sr-Cyrl-RS"/>
        </w:rPr>
        <w:t>до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XXIX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 Устав Републике Србије, којима се мењају одредбе Устава које се односе на организацију и уређење правосудних органа. </w:t>
      </w:r>
    </w:p>
    <w:p w14:paraId="204B4850" w14:textId="77777777" w:rsidR="00243FB3" w:rsidRDefault="00243FB3" w:rsidP="00243F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Уставним законом за спровођење Акта о промени Устава Републике Србије, који је проглашен истовремено са Актом о промени Устава Републике Србије, у члану 2. став 1. прописано је да ће се, између осталог, Закон о уређењу судова ускладити са Амандманима, у року од годину дана од дана ступања на снагу амандмана.</w:t>
      </w:r>
    </w:p>
    <w:p w14:paraId="0321E248" w14:textId="77777777" w:rsidR="00243FB3" w:rsidRDefault="00243FB3" w:rsidP="00243F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 наведених разлога приступило се изради текста Предлога закона 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уређењу судова (у даљем тексту: Предлог закона). Поред примарног циља, а то је усклађивање Закона о уређењу судова са Амандманима, приликом израде Предлога закона посебно се водило рачуна о обавезама Републике Србије у процесу придруживања Европској Унији, садржаним у Акционом плану за Поглавље 23 </w:t>
      </w:r>
      <w:r>
        <w:rPr>
          <w:rFonts w:ascii="Times New Roman" w:hAnsi="Times New Roman" w:cs="Times New Roman"/>
          <w:sz w:val="24"/>
          <w:szCs w:val="24"/>
        </w:rPr>
        <w:t>који је Влада Републике Србије усвојила 27. априла 2016. године и који је ревидиран 10. јула 2020.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>. Те обавезе се пре свега односе на јачање владавине права кроз успостављање и јачање независности судства, у складу са европским стандардима.</w:t>
      </w:r>
    </w:p>
    <w:p w14:paraId="45F2A6FE" w14:textId="77777777" w:rsidR="00243FB3" w:rsidRDefault="00243FB3" w:rsidP="00243F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Ради реализације тог циља успостављена је сарадња са  </w:t>
      </w:r>
      <w:r>
        <w:rPr>
          <w:rFonts w:ascii="Times New Roman" w:hAnsi="Times New Roman" w:cs="Times New Roman"/>
          <w:sz w:val="24"/>
          <w:szCs w:val="24"/>
        </w:rPr>
        <w:t>Европск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комисиј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за демократију путем права, чији је незваничан назив Венецијанска комисија</w:t>
      </w:r>
      <w:r>
        <w:rPr>
          <w:rFonts w:ascii="Times New Roman" w:hAnsi="Times New Roman" w:cs="Times New Roman"/>
          <w:sz w:val="24"/>
          <w:szCs w:val="24"/>
          <w:lang w:val="sr-Cyrl-RS"/>
        </w:rPr>
        <w:t>. Ова Комисија</w:t>
      </w:r>
      <w:r>
        <w:rPr>
          <w:rFonts w:ascii="Times New Roman" w:hAnsi="Times New Roman" w:cs="Times New Roman"/>
          <w:sz w:val="24"/>
          <w:szCs w:val="24"/>
        </w:rPr>
        <w:t xml:space="preserve"> је саветодавно тело Савета Европе</w:t>
      </w:r>
      <w:r>
        <w:rPr>
          <w:rFonts w:ascii="Times New Roman" w:hAnsi="Times New Roman" w:cs="Times New Roman"/>
          <w:sz w:val="24"/>
          <w:szCs w:val="24"/>
          <w:lang w:val="sr-Cyrl-RS"/>
        </w:rPr>
        <w:t>, чији је Република Србија пуноправни члан. З</w:t>
      </w:r>
      <w:r>
        <w:rPr>
          <w:rFonts w:ascii="Times New Roman" w:hAnsi="Times New Roman" w:cs="Times New Roman"/>
          <w:sz w:val="24"/>
          <w:szCs w:val="24"/>
        </w:rPr>
        <w:t>адатак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ове комисије</w:t>
      </w:r>
      <w:r>
        <w:rPr>
          <w:rFonts w:ascii="Times New Roman" w:hAnsi="Times New Roman" w:cs="Times New Roman"/>
          <w:sz w:val="24"/>
          <w:szCs w:val="24"/>
        </w:rPr>
        <w:t xml:space="preserve"> је да пружи правне савете државама које желе да ускладе своје правне и институционалне структуре са европским стандардима и међународним искуством у области демократије, људских права и владавине права.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Треба истаћи и </w:t>
      </w:r>
      <w:r>
        <w:rPr>
          <w:rFonts w:ascii="Times New Roman" w:hAnsi="Times New Roman" w:cs="Times New Roman"/>
          <w:sz w:val="24"/>
          <w:szCs w:val="24"/>
        </w:rPr>
        <w:t>став Европске комисије да је Венецијанска комисија релевантни ауторитет по питању проглашења и промовисања стандарда у области владавине права, те да ће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>
        <w:rPr>
          <w:rFonts w:ascii="Times New Roman" w:hAnsi="Times New Roman" w:cs="Times New Roman"/>
          <w:sz w:val="24"/>
          <w:szCs w:val="24"/>
        </w:rPr>
        <w:t xml:space="preserve"> напредак Републике Србије у реформи правосуђа ценити у односу на оцену Венецијанске комисије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>
        <w:rPr>
          <w:rFonts w:ascii="Times New Roman" w:hAnsi="Times New Roman" w:cs="Times New Roman"/>
          <w:sz w:val="24"/>
          <w:szCs w:val="24"/>
        </w:rPr>
        <w:t>о том питању.</w:t>
      </w:r>
    </w:p>
    <w:p w14:paraId="08FD3905" w14:textId="77777777" w:rsidR="00243FB3" w:rsidRDefault="00243FB3" w:rsidP="00243F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Венецијанска комисија је на пленарној седници одржаној 21. и 22. октобра 2022. усвојила мишљење о првој верзији Предлога закона о уређењу судова. Препоруке садржане у том извештају уграђене су у овом тексту Предлога закона о уређењу судова.</w:t>
      </w:r>
    </w:p>
    <w:p w14:paraId="758117A8" w14:textId="77777777" w:rsidR="00243FB3" w:rsidRDefault="00243FB3" w:rsidP="00243F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Посебно треба истаћи да је израда Предлога закона протекла у транспарентном и инклузивном процесу. Радна група Министарства правде, која је радила на изради Предлога закона била је састављена од судија, чланова Високог савета судства, представника судијских струковних удружења, адвокатуре и академске заједнице, као и представника Републичког секретаријата за законодавство и Министарства правде. У процесу израде закона обављене су најшире консултације. Пре почетка рада радне групе обављене су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консултације са Врховним касационим судом и Високим саветом судства. Прва радна верзија Предлога закона која је упућена на мишљење Венецијанској комисији објављена је и на интернет страници Министарства правде са позивом свим заинтересованим странама да дају своје примедбе. Такође о тој верзији Предлога закона обављене су и посебне консултације на већем броју округлих столова који су одржани широм Србије, како онима у организацији Министарства правде, тако и онима који су организовани од стране струковних удружења. Посебан округли сто одржан је са организацијама цивилног друштва. Помоћ Министарству правде у организацији целокупног процеса израде Предлога закона пружио је пројекат Савета Европе. </w:t>
      </w:r>
    </w:p>
    <w:p w14:paraId="747573A0" w14:textId="77777777" w:rsidR="00243FB3" w:rsidRDefault="00243FB3" w:rsidP="00243F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E1BB08" w14:textId="77777777" w:rsidR="00243FB3" w:rsidRDefault="00243FB3" w:rsidP="00243FB3">
      <w:pPr>
        <w:tabs>
          <w:tab w:val="left" w:pos="63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>III.</w:t>
      </w:r>
      <w:r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ОБЈАШЊЕЊЕ ОСНОВНИХ ПРАВНИХ ИНСТИТУТА И ПОЈЕДИНАЧНИХ РЕШЕЊА</w:t>
      </w:r>
    </w:p>
    <w:p w14:paraId="66D11020" w14:textId="77777777" w:rsidR="00243FB3" w:rsidRDefault="00243FB3" w:rsidP="00243F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D647CE1" w14:textId="77777777" w:rsidR="00243FB3" w:rsidRDefault="00243FB3" w:rsidP="00243FB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У основним одредбама Предлога закона уређују се фактички начела судске власти и њеног операционализовања кроз судове као државне органе са јасно опредељеном улогом и местом у систему поделе власти.</w:t>
      </w:r>
    </w:p>
    <w:p w14:paraId="1317BB1A" w14:textId="77777777" w:rsidR="00243FB3" w:rsidRDefault="00243FB3" w:rsidP="00243F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члану 1. уређен је предмет Предлога закона, што у важећем закону није случај, те наведено представља унапређење методологије израде закона у нормативно-техничком смислу. Због тога, прописано је да се о</w:t>
      </w:r>
      <w:r>
        <w:rPr>
          <w:rFonts w:ascii="Times New Roman" w:eastAsia="Times New Roman" w:hAnsi="Times New Roman" w:cs="Times New Roman"/>
          <w:sz w:val="24"/>
          <w:szCs w:val="24"/>
        </w:rPr>
        <w:t>вим законом уређују оснивање, укидање, врсте, делокруг и стварна надлежност суда, унутрашње уређење суда, судска управа, судско особље, правосудна управа, обезбеђење суда и средства за рад судова.</w:t>
      </w:r>
    </w:p>
    <w:p w14:paraId="10719590" w14:textId="77777777" w:rsidR="00243FB3" w:rsidRDefault="00243FB3" w:rsidP="00243FB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Члановима 2. до 7. Предлога закона уређено је питање судске власти, оснивања и организације судова, дефинисана независност судске власти, одређана судска надлежност, доношење судских одлука и распоређивање предмета судијама.</w:t>
      </w:r>
    </w:p>
    <w:p w14:paraId="708362DE" w14:textId="77777777" w:rsidR="00243FB3" w:rsidRDefault="00243FB3" w:rsidP="00243F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Такође, нормирана су посебна правила у вези са забраном непримереног утицаја на суд. Наиме, </w:t>
      </w:r>
      <w:r>
        <w:rPr>
          <w:rFonts w:ascii="Times New Roman" w:eastAsia="Times New Roman" w:hAnsi="Times New Roman" w:cs="Times New Roman"/>
          <w:sz w:val="24"/>
          <w:szCs w:val="24"/>
        </w:rPr>
        <w:t>забрањен је непримерени утицај на судију у вршењу судијске функције,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а р</w:t>
      </w:r>
      <w:r>
        <w:rPr>
          <w:rFonts w:ascii="Times New Roman" w:eastAsia="Times New Roman" w:hAnsi="Times New Roman" w:cs="Times New Roman"/>
          <w:sz w:val="24"/>
          <w:szCs w:val="24"/>
        </w:rPr>
        <w:t>ади очувања ауторитета и непристрасности суда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нарочито сваки облик претње и принуде према судији, коришћење јавног положаја, медија и јавног иступања, којима се утиче на ток и исход судског поступка. Забрањен је и сваки други непримерени утицај на суд, као и притисак на учесника у судском поступку.</w:t>
      </w:r>
    </w:p>
    <w:p w14:paraId="7B74C945" w14:textId="77777777" w:rsidR="00243FB3" w:rsidRDefault="00243FB3" w:rsidP="00243F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Истовремено је прецизирано да се п</w:t>
      </w:r>
      <w:r>
        <w:rPr>
          <w:rFonts w:ascii="Times New Roman" w:hAnsi="Times New Roman" w:cs="Times New Roman"/>
          <w:sz w:val="24"/>
          <w:szCs w:val="24"/>
        </w:rPr>
        <w:t>од непримереним утицајем не може сматрати коришћење законом прописаних права учесника у судском поступку, извештавање о раду суда и коментарисање судских поступака који су у току или судских одлука, у складу са прописима који уређују јавно информисање, као ни стручно анализирање судских поступака и судских одлука.</w:t>
      </w:r>
    </w:p>
    <w:p w14:paraId="4A5A4830" w14:textId="77777777" w:rsidR="00243FB3" w:rsidRDefault="00243FB3" w:rsidP="00243FB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Глава </w:t>
      </w:r>
      <w:r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II.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 </w:t>
      </w:r>
      <w:r>
        <w:rPr>
          <w:rFonts w:ascii="Times New Roman" w:eastAsia="Calibri" w:hAnsi="Times New Roman" w:cs="Times New Roman"/>
          <w:sz w:val="24"/>
          <w:szCs w:val="24"/>
          <w:lang w:val="sr-Latn-RS"/>
        </w:rPr>
        <w:t>III.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Предлога закона (чл. 14. до 34) -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Спољашње уређење судова и надлежност судова, готово су неизмењене у односу на важеће законско решење, те су задржане врсте судова опште и посебне надлежности, са истоветним подручним простирањем уз једино терминолошко усклађивање у домену назива Врховног касационог суда у Врховни суд.</w:t>
      </w:r>
    </w:p>
    <w:p w14:paraId="0490377A" w14:textId="77777777" w:rsidR="00243FB3" w:rsidRDefault="00243FB3" w:rsidP="00243F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Део Предлога закона који се односи на унутрашње уређење суда (чл. 35. до 58) уредио је другачија правила у вези са годишњим распоредом послова. Утврђивање годишњег распореда је и даље у искључивој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надлежности председника суда уз прибављено мишљење судије, с том разликом што се распоред саопштава уместо до 1. децембра текуће године до 1. новембра. Новина је и прописано правно средство које стоји на располагању судији на утврђени годишњи распоред. Наиме, судија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може изјавити приговор на годишњи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распоред и промену годишњег распореда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 Орган надлежан за одлучивање о приговору је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Висок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савет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судства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Рок за изјављивање је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три дана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и почиње да тече од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од дана саопштавања распореда на седници свих судија.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Председник суда може корективно деловати поводом изјављеног приговора с обзиром да се ово правно средство Високом савету судства изјављује преко њега. Новину представља и то што је предвиђена дужност председника суда да, 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ко не усвоји приговор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да приговор, са образложењем распореда послова, достави Високом савету судства у року од три дана од дана пријема приговора.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Ако председник суда не поступи по овој одредби у прописаном року, овакво непоступање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сматра се дисциплинским прекршајем.</w:t>
      </w:r>
    </w:p>
    <w:p w14:paraId="2BACF539" w14:textId="77777777" w:rsidR="00243FB3" w:rsidRDefault="00243FB3" w:rsidP="00243FB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Устројена је и дужност Високог савета судства да одлуку поводом изјављеног приговора донесе у року од 30 дана.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Ако Високи савет судства не одлучи о приговору у прописаном року, сматра се да је приговор усвојен.</w:t>
      </w:r>
    </w:p>
    <w:p w14:paraId="25486480" w14:textId="77777777" w:rsidR="00243FB3" w:rsidRDefault="00243FB3" w:rsidP="00243F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Члановима 37. до 43. Предлога закона уређена су питања која се односе на судско одељење и седницу свих судија. У том смислу, прописано је образовање судског одељења, делокруг судског одељења, сазивање седнице и руковођење седницом судског одељења, одељење судске праксе, посебна одељење која се могу образовати у појединим судовима, заједничка седница одељења, као и седница свих судија.</w:t>
      </w:r>
    </w:p>
    <w:p w14:paraId="65443F57" w14:textId="77777777" w:rsidR="00243FB3" w:rsidRDefault="00243FB3" w:rsidP="00243F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Унутрашње уређење Врховног суда ближе је уређено чл. 44. до 51. Предлога закона. У том делу Предлога закона предвиђено је да Врховни суд може имати одељења у складу са Пословником о раду Врховног суда, делокруг седнице одељења Врховног суда, поступање у случају настанка несагласности у примени прописа или у случају одступања од правног схватања прихваћеног у пракси или од правног схватања које су прихватила сва већа и одређен делокруг Опште седнице Врховног суда. Надаље, дефинисан је посебан кворум за одлучивање на општој седници Врховног суда по питању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именовањ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судија Уставног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суда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мишљења Високом савету судства о кандидату за председника Врховног суда. У конкретном случају ради се о апсолутној већини. </w:t>
      </w:r>
    </w:p>
    <w:p w14:paraId="063ED955" w14:textId="77777777" w:rsidR="00243FB3" w:rsidRDefault="00243FB3" w:rsidP="00243F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Састав и одлучивање Опште седнице Врховног суда, као и сазивање и руковођење Општом седницом уређени су чл. 47. и 48. Предлога закона. </w:t>
      </w:r>
    </w:p>
    <w:p w14:paraId="3424347F" w14:textId="77777777" w:rsidR="00243FB3" w:rsidRDefault="00243FB3" w:rsidP="00243F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Врховни суд има Секретаријат, који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помаже председнику суда у судској управи, обавља административне послове за Општу седницу и врши друге послове који су му Пословником о раду Врховног суда стављени у делокруг.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Секретаријатом руководи секретар Врховног суда,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који има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статус државног службеника на положају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, 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кога на предлог председника Врховног суда поставља Општа седница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(чл. 49. и 50)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14:paraId="6BFEC2D4" w14:textId="77777777" w:rsidR="00243FB3" w:rsidRDefault="00243FB3" w:rsidP="00243F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Врховни суд доноси Пословник о раду Врховног суда којим се детаљније прописује унутрашње уређење и рад суда.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Овај пословник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објављује се у „Службеном гласнику Републике Србије”</w:t>
      </w:r>
    </w:p>
    <w:p w14:paraId="27851EED" w14:textId="77777777" w:rsidR="00243FB3" w:rsidRDefault="00243FB3" w:rsidP="00243F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Одредбом члана 52. Предлога закона прецизније је уређен круг послова који чине судску управу. Новине представљају одредбе о могућности образовања посебне службе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за пружање подршке и помоћи оштећенима и сведоцима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 Наиме, у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судској управи вишег суда, као и другог суда који одреди Високи савет судства, организује се служба за пружање подршке и помоћи оштећенима и сведоцима.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Поред тога, 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онтакт тачка за информисање оштећених и сведока именује се у основном суду и у другом суду који одреди Високи савет судства.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Рад ове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службе и поступање контакт тачке за информисање оштећених и сведока детаљније се уређује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посебним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актом Високог савета судстава.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Образовање овакве службе проистиче из обавеза предвиђених из Националне стратегије за остваривање права жртава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lastRenderedPageBreak/>
        <w:t>и сведока кривичних дела у Републици Србији за период 2020. до 2025. године, као и пратећег акционог плана.</w:t>
      </w:r>
    </w:p>
    <w:p w14:paraId="390030C1" w14:textId="77777777" w:rsidR="00243FB3" w:rsidRDefault="00243FB3" w:rsidP="00243F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Чланом 55. Предлога закона уређена су овлашћења председника непосредно вишег суда у надзору судске управе нижег суда.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Овлашћења председника непосредно вишег суда су јасније постављена одредбама овог члана Предлога закона, уз негативно одређење према питањима која се не могу сматрати подобним за остваривање права надзора у том смислу. У том смислу, п</w:t>
      </w:r>
      <w:r>
        <w:rPr>
          <w:rFonts w:ascii="Times New Roman" w:hAnsi="Times New Roman" w:cs="Times New Roman"/>
          <w:sz w:val="24"/>
          <w:szCs w:val="24"/>
          <w:lang w:val="sr-Cyrl-RS"/>
        </w:rPr>
        <w:t>редвиђено је да п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редседник непосредно вишег суда има право да надзире судску управу нижег суда, као и да при нечињењу председника нижег суда донесе акте из његовог делокруга, затим да може тражити од нижег суда обавештење о примени прописа који уређују судску управу, као и друге податке о раду судске управе тог суда и раду тог суда, односно да  може наложити непосредан увид у рад нижег суда,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Треба напоменути да 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овлашћења председника непосредно вишег суда односе искључиво на контролу послова судске управе садржаних у члану 52. Предлога закона, као што су на пример (вођење евиденција и статистика, позивање и распоређивање судија поротника, разматрање притужби и представки, поступање по захтевима за давање информација од јавног значаја, финансијско и материјално пословање суда, благовремена наплата судских такси итд.). Тиме је и одређен обим овог надзора који не дозвољава мешање у рад судија надзираног нижег суда у конкретним судским предметима. У случају изостављања оваквих овлашћења остало би неуређено ко би поступао у случају да председник нижег суда не врши своје дужности у пословима судске управе прописане законом. Једина врста надзора над пословима судске управе јесте надзор од стране председника непосредно вишег суда. Међутим, и овде је прописано значајно ограничење у смислу да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председник непосредно вишег суда приликом надзора рада судске управе нижег суда, не може предузимати радње које му законом или другим прописом нису поверене, нити на било који начин угрозити независност и рад надзираног суда.</w:t>
      </w:r>
    </w:p>
    <w:p w14:paraId="575B40F7" w14:textId="77777777" w:rsidR="00243FB3" w:rsidRDefault="00243FB3" w:rsidP="00243F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Поступак по притужби је детаљно уређен у члану 56. Предлога закона, док чл. 57. и 58. Предлога закона уређују послове управитеља суда и секретара суда.</w:t>
      </w:r>
    </w:p>
    <w:p w14:paraId="62D8304D" w14:textId="77777777" w:rsidR="00243FB3" w:rsidRDefault="00243FB3" w:rsidP="00243FB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Део Предлога закона посвећен судском особљу (Глава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V.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– чл. 59. до 72) је незнатно у пар сегмената ревидиран у односу на важеће законско решење које ће иначе опстати у систему до доношења новог прописа који ће на јединствен начин уредити положај запослених у правосуђу. Доношење новог правног оквира у том смислу предвиђено је Стратегијом људских ресурса у правосуђу и пратећим Акционим планом, актима усвојеним од стране Владе („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Службени гласник РС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ˮ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број 133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/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21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).</w:t>
      </w:r>
    </w:p>
    <w:p w14:paraId="1AC1DB62" w14:textId="77777777" w:rsidR="00243FB3" w:rsidRDefault="00243FB3" w:rsidP="00243F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Суштинске измена у односу на садашње законско решење се односе на одредбе о надлежностима у обављању послова правосудне управе чији је добар део, сада поред изворног носиоца Министарства правде пренет на Високи савет судства (Глава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VI.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– чл. 73. до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80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). У том смислу су битно ревидирани:</w:t>
      </w:r>
    </w:p>
    <w:p w14:paraId="1A09F72D" w14:textId="77777777" w:rsidR="00243FB3" w:rsidRDefault="00243FB3" w:rsidP="00243F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-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послови правосудне управе који су у надлежности Високог савета судства у смислу ширења надлежности у погледу праћења рада судова у сврху јачања квалитета и ефикасности, доношења подзаконских аката (да се озакони фактичка надлежност), учествовање у изради подзаконских аката у надлежности Министарства правде (институционално инволвирање правосудног тела кроз сарадњу), давање мишљења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на правилник о унутрашњој организацији и систематизацији радних места у суду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обавештавање јавности о раду судова;</w:t>
      </w:r>
    </w:p>
    <w:p w14:paraId="0B5C3226" w14:textId="77777777" w:rsidR="007A448F" w:rsidRDefault="007A448F" w:rsidP="00243F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AFC8324" w14:textId="77777777" w:rsidR="00243FB3" w:rsidRDefault="00243FB3" w:rsidP="00243FB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 xml:space="preserve">   - правосудне управе који су у надлежности Министарства правде у смислу елиминисања надлежности надзора над финанијским и материјалим пословањем Високог савета судства – главна новина је да ово правосудно тело постаје аутономно, а да Министарство правде више није легитимисано да надзире како оно троши средства за чије предлагање и извршавање је надлежно;</w:t>
      </w:r>
    </w:p>
    <w:p w14:paraId="743FE3C7" w14:textId="77777777" w:rsidR="00243FB3" w:rsidRDefault="00243FB3" w:rsidP="00243F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- послови надзора над применом Судског пословника и надлежност за доношење. Уместо досадашњег решења према којем министар правде доноси Судски пословник у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 претходно прибављено мишљење председника Врховног касационог суда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RS"/>
        </w:rPr>
        <w:t>, радна група се определила за варијанту заједничког доношења од стране министра и Високог савета судства. Министарство правде према овом Предлогу закона није више искључиво надлежно за надзор над применом Судског пословника, већ оно задржава надлежност у погледу питања која смо нашли оправданим као што је поступање у предметима у прописаним роковима и у вези са системом за аутоматско вођење предмета. Нека питања су покривена конкурентним надзором Високог савета судства и Министарства правде као што је вођење статистика и извештаја о раду судова. За Министарство правде је ово питање веома значајно из разлога потребе праћења примене прописа и евентуалних интервенција, у складу са нормативним надлежностима за припреме прописа тог министарства.</w:t>
      </w:r>
    </w:p>
    <w:p w14:paraId="5212321E" w14:textId="77777777" w:rsidR="00243FB3" w:rsidRDefault="00243FB3" w:rsidP="00243F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RS"/>
        </w:rPr>
      </w:pPr>
    </w:p>
    <w:p w14:paraId="1F19873C" w14:textId="77777777" w:rsidR="00243FB3" w:rsidRDefault="00243FB3" w:rsidP="00243FB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RS"/>
        </w:rPr>
        <w:t>Поред тога, Дефинисане су врсте надзора, облици (теренски и канцеларијски), као и надзорна овлашћења, што до сада није био случај. Тачније, прописан је поступак надзора и садржина записника о извршеном надзору, као и последице непоступања по мерама за отклањање уочених недостатака.</w:t>
      </w:r>
    </w:p>
    <w:p w14:paraId="3165D693" w14:textId="77777777" w:rsidR="00243FB3" w:rsidRDefault="00243FB3" w:rsidP="00243F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RS"/>
        </w:rPr>
        <w:t xml:space="preserve">Главом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VII.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Предлога закона (чл. 81. до 85) уређена су питања обезбеђења суда. Послове обезбеђења суда обавља правосудна стража која је наоружана и униформисана, а стара се о сигурности људи и имовине, реду и миру и несметаном спровођењу службених радњи у згради правосудних органа. Прописана су њена овлашћења, њено уређење као и сарадња органа унутрашњих послова у случају да је правосудној стражи потребна помоћ.</w:t>
      </w:r>
    </w:p>
    <w:p w14:paraId="2AE58DB6" w14:textId="77777777" w:rsidR="00243FB3" w:rsidRDefault="00243FB3" w:rsidP="00243F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RS"/>
        </w:rPr>
        <w:t xml:space="preserve">Главом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VIII.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Предлога закона (чл. 86. до 90) уређена су питања везана за средства за рад судова. Значајне новине представљају одредбе о предлагању и извршењу буџетских средстава. Предвиђено је да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обим и структуру буџетских средстава за рад судова предлажу Високи савет судства и министарство надлежно за правосуђе.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Високи савет судства предлаже обим и структуру буџетских средстава неопходних за текуће расходе судова, осим расхода за судско особље и врши расподелу ових средстава судовима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, а м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инистарство надлежно за правосуђе предлаже обим и структуру буџетских средстава неопходних за текуће расходе за судско особље, одржавање опреме и објеката судова, расходе за инвестициона и капитална улагања за судове, уређење и развој правосудног информационог система и врши расподелу ових средстава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437A3D75" w14:textId="77777777" w:rsidR="00243FB3" w:rsidRDefault="00243FB3" w:rsidP="00243F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Надзор над трошењем буџетских средстава опредељених за рад судова спроводе Високи савет судства и министарство надлежно за правосуђе, као и министарство надлежно за финансије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(члан 88).</w:t>
      </w:r>
    </w:p>
    <w:p w14:paraId="43949023" w14:textId="77777777" w:rsidR="00243FB3" w:rsidRDefault="00243FB3" w:rsidP="00243F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Прелазним и завршним одредбама Предлога закона (чл. 91. до 97) регулисан је статус започетих поступака који извиру из примене важећег закона, наставак рада судова, наставак рада Врховног касационог суда као и рокови за доношење подзаконских аката. Предвиђено је да ће се п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одзаконски акти прописани овим законом донети се у року од једне године од дана конституисања Високог савета судства.</w:t>
      </w:r>
    </w:p>
    <w:p w14:paraId="356A785D" w14:textId="77777777" w:rsidR="00243FB3" w:rsidRDefault="00243FB3" w:rsidP="00243F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Као што је речено, одредбе </w:t>
      </w:r>
      <w:r>
        <w:rPr>
          <w:rFonts w:ascii="Times New Roman" w:hAnsi="Times New Roman" w:cs="Times New Roman"/>
          <w:sz w:val="24"/>
          <w:szCs w:val="24"/>
        </w:rPr>
        <w:t>овог закона којим се уређује положај судског особља важић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до ступања на снагу посебног закона који уређује положај судског особља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09865F8" w14:textId="77777777" w:rsidR="00243FB3" w:rsidRDefault="00243FB3" w:rsidP="00243F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ab/>
        <w:t xml:space="preserve">Чланови 96. и 97. Предлога закона уређују престанак важења ранијег закона и ступање закона на снагу. Предвиђено је да </w:t>
      </w:r>
      <w:r>
        <w:rPr>
          <w:rFonts w:ascii="Times New Roman" w:hAnsi="Times New Roman" w:cs="Times New Roman"/>
          <w:sz w:val="24"/>
          <w:szCs w:val="24"/>
        </w:rPr>
        <w:t xml:space="preserve">овај закон ступа на снагу </w:t>
      </w:r>
      <w:r>
        <w:rPr>
          <w:rFonts w:ascii="Times New Roman" w:hAnsi="Times New Roman" w:cs="Times New Roman"/>
          <w:sz w:val="24"/>
          <w:szCs w:val="24"/>
          <w:lang w:val="sr-Cyrl-RS"/>
        </w:rPr>
        <w:t>даном објављивања</w:t>
      </w:r>
      <w:r>
        <w:rPr>
          <w:rFonts w:ascii="Times New Roman" w:hAnsi="Times New Roman" w:cs="Times New Roman"/>
          <w:sz w:val="24"/>
          <w:szCs w:val="24"/>
        </w:rPr>
        <w:t xml:space="preserve"> у „Службеном гласнику Републике Србије</w:t>
      </w:r>
      <w:r>
        <w:rPr>
          <w:rFonts w:ascii="Times New Roman" w:hAnsi="Times New Roman" w:cs="Times New Roman"/>
          <w:bCs/>
          <w:sz w:val="24"/>
          <w:szCs w:val="24"/>
        </w:rPr>
        <w:t>”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а примењује се од дана конституисања </w:t>
      </w:r>
      <w:r>
        <w:rPr>
          <w:rFonts w:ascii="Times New Roman" w:hAnsi="Times New Roman" w:cs="Times New Roman"/>
          <w:sz w:val="24"/>
          <w:szCs w:val="24"/>
          <w:lang w:val="sr-Cyrl-RS"/>
        </w:rPr>
        <w:t>Високог савета судства.</w:t>
      </w:r>
    </w:p>
    <w:p w14:paraId="018CC14D" w14:textId="77777777" w:rsidR="00243FB3" w:rsidRDefault="00243FB3" w:rsidP="00243F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0FE05129" w14:textId="77777777" w:rsidR="00243FB3" w:rsidRDefault="00243FB3" w:rsidP="00243FB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 ПРОЦЕНА ФИНАНСИЈСКИХ СРЕДСТАВА ПОТРЕБНИХ ЗА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СПРОВОЂЕЊЕ ЗАКОНА</w:t>
      </w:r>
    </w:p>
    <w:p w14:paraId="2B964F7D" w14:textId="77777777" w:rsidR="00243FB3" w:rsidRDefault="00243FB3" w:rsidP="00243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74393A" w14:textId="77777777" w:rsidR="00243FB3" w:rsidRDefault="00243FB3" w:rsidP="00243FB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За спровођење овог закона није потребно обезбедити финансијска средства у буџету Републике Србије. </w:t>
      </w:r>
    </w:p>
    <w:p w14:paraId="45C43ADA" w14:textId="77777777" w:rsidR="00243FB3" w:rsidRDefault="00243FB3" w:rsidP="00243FB3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4129803" w14:textId="77777777" w:rsidR="007A448F" w:rsidRDefault="007A448F" w:rsidP="007A448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V.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РАЗЛОЗИ ЗА СТУПАЊЕ НА СНАГУ ЗАКОНА ПРЕ ОСМОГ ДАНА ОД ДАНА ОБЈАВЉИВАЊА У „СЛУЖБЕНОМ ГЛАСНИКУ РЕПУБЛИКЕ СРБИЈЕˮ</w:t>
      </w:r>
    </w:p>
    <w:p w14:paraId="285E6443" w14:textId="77777777" w:rsidR="007A448F" w:rsidRDefault="007A448F" w:rsidP="007A44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8392885" w14:textId="77777777" w:rsidR="007A448F" w:rsidRDefault="007A448F" w:rsidP="007A448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Потребно је да овај закон ступи на снагу даном објављивања</w:t>
      </w:r>
      <w:r>
        <w:rPr>
          <w:rFonts w:ascii="Times New Roman" w:hAnsi="Times New Roman" w:cs="Times New Roman"/>
          <w:sz w:val="24"/>
          <w:szCs w:val="24"/>
        </w:rPr>
        <w:t xml:space="preserve"> у „Службеном гласнику Републике Србије</w:t>
      </w:r>
      <w:r>
        <w:rPr>
          <w:rFonts w:ascii="Times New Roman" w:hAnsi="Times New Roman" w:cs="Times New Roman"/>
          <w:bCs/>
          <w:sz w:val="24"/>
          <w:szCs w:val="24"/>
        </w:rPr>
        <w:t>”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ради испуњења обавеза и поступања у роковима који су прописани Уставним законом за спровођење Акта о промени Устава Републике Србије.</w:t>
      </w:r>
    </w:p>
    <w:p w14:paraId="53D44969" w14:textId="77777777" w:rsidR="00243FB3" w:rsidRDefault="00243FB3" w:rsidP="00243FB3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2112BD8" w14:textId="77777777" w:rsidR="00300D8F" w:rsidRDefault="00300D8F"/>
    <w:sectPr w:rsidR="00300D8F" w:rsidSect="00243FB3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3539D" w14:textId="77777777" w:rsidR="004D5F1B" w:rsidRDefault="004D5F1B" w:rsidP="00243FB3">
      <w:pPr>
        <w:spacing w:after="0" w:line="240" w:lineRule="auto"/>
      </w:pPr>
      <w:r>
        <w:separator/>
      </w:r>
    </w:p>
  </w:endnote>
  <w:endnote w:type="continuationSeparator" w:id="0">
    <w:p w14:paraId="40695640" w14:textId="77777777" w:rsidR="004D5F1B" w:rsidRDefault="004D5F1B" w:rsidP="00243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65D25" w14:textId="77777777" w:rsidR="004D5F1B" w:rsidRDefault="004D5F1B" w:rsidP="00243FB3">
      <w:pPr>
        <w:spacing w:after="0" w:line="240" w:lineRule="auto"/>
      </w:pPr>
      <w:r>
        <w:separator/>
      </w:r>
    </w:p>
  </w:footnote>
  <w:footnote w:type="continuationSeparator" w:id="0">
    <w:p w14:paraId="10C4F171" w14:textId="77777777" w:rsidR="004D5F1B" w:rsidRDefault="004D5F1B" w:rsidP="00243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631050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8C45FE6" w14:textId="77777777" w:rsidR="00243FB3" w:rsidRDefault="00243FB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739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09FE268" w14:textId="77777777" w:rsidR="00243FB3" w:rsidRDefault="00243F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50480"/>
    <w:multiLevelType w:val="hybridMultilevel"/>
    <w:tmpl w:val="2558EFEA"/>
    <w:lvl w:ilvl="0" w:tplc="14B6DF2C">
      <w:start w:val="1"/>
      <w:numFmt w:val="upperRoman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8068995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D6F"/>
    <w:rsid w:val="00243FB3"/>
    <w:rsid w:val="00300D8F"/>
    <w:rsid w:val="004B4581"/>
    <w:rsid w:val="004D5F1B"/>
    <w:rsid w:val="007A448F"/>
    <w:rsid w:val="00A25D6F"/>
    <w:rsid w:val="00FA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2AA28"/>
  <w15:chartTrackingRefBased/>
  <w15:docId w15:val="{5825E7AF-8688-4F62-BBFE-287B5A2E9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FB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3F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3F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FB3"/>
  </w:style>
  <w:style w:type="paragraph" w:styleId="Footer">
    <w:name w:val="footer"/>
    <w:basedOn w:val="Normal"/>
    <w:link w:val="FooterChar"/>
    <w:uiPriority w:val="99"/>
    <w:unhideWhenUsed/>
    <w:rsid w:val="00243F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FB3"/>
  </w:style>
  <w:style w:type="paragraph" w:styleId="BalloonText">
    <w:name w:val="Balloon Text"/>
    <w:basedOn w:val="Normal"/>
    <w:link w:val="BalloonTextChar"/>
    <w:uiPriority w:val="99"/>
    <w:semiHidden/>
    <w:unhideWhenUsed/>
    <w:rsid w:val="007A4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4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8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2623</Words>
  <Characters>14956</Characters>
  <Application>Microsoft Office Word</Application>
  <DocSecurity>0</DocSecurity>
  <Lines>124</Lines>
  <Paragraphs>35</Paragraphs>
  <ScaleCrop>false</ScaleCrop>
  <Company/>
  <LinksUpToDate>false</LinksUpToDate>
  <CharactersWithSpaces>17544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Vojinović</cp:lastModifiedBy>
  <cp:revision>2</cp:revision>
  <cp:lastPrinted>2023-01-17T11:17:00Z</cp:lastPrinted>
  <dcterms:created xsi:type="dcterms:W3CDTF">2023-01-18T14:53:00Z</dcterms:created>
  <dcterms:modified xsi:type="dcterms:W3CDTF">2023-01-18T14:53:00Z</dcterms:modified>
</cp:coreProperties>
</file>