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B3C03" w14:textId="77777777" w:rsidR="00E84328" w:rsidRDefault="00E84328" w:rsidP="00E84328">
      <w:pPr>
        <w:tabs>
          <w:tab w:val="left" w:pos="855"/>
        </w:tabs>
        <w:jc w:val="both"/>
        <w:rPr>
          <w:lang w:val="sr-Cyrl-RS"/>
        </w:rPr>
      </w:pPr>
    </w:p>
    <w:p w14:paraId="444A1A21" w14:textId="77777777" w:rsidR="00E84328" w:rsidRDefault="00E84328" w:rsidP="00E84328">
      <w:pPr>
        <w:jc w:val="center"/>
        <w:rPr>
          <w:b/>
          <w:lang w:val="sr-Cyrl-CS"/>
        </w:rPr>
      </w:pPr>
      <w:r w:rsidRPr="005D08C7">
        <w:rPr>
          <w:b/>
          <w:lang w:val="sr-Cyrl-CS"/>
        </w:rPr>
        <w:t>О Б Р А З Л О Ж Е Њ Е</w:t>
      </w:r>
    </w:p>
    <w:p w14:paraId="69D93210" w14:textId="77777777" w:rsidR="00E84328" w:rsidRDefault="00E84328" w:rsidP="00E84328">
      <w:pPr>
        <w:rPr>
          <w:b/>
          <w:lang w:val="sr-Cyrl-CS"/>
        </w:rPr>
      </w:pPr>
    </w:p>
    <w:p w14:paraId="4C6273FE" w14:textId="77777777" w:rsidR="00E84328" w:rsidRPr="004A5ED1" w:rsidRDefault="00E84328" w:rsidP="00E84328">
      <w:pPr>
        <w:rPr>
          <w:b/>
          <w:lang w:val="sr-Latn-RS"/>
        </w:rPr>
      </w:pPr>
    </w:p>
    <w:p w14:paraId="7808AB7D" w14:textId="77777777" w:rsidR="00E84328" w:rsidRDefault="00E84328" w:rsidP="00E84328">
      <w:pPr>
        <w:rPr>
          <w:b/>
          <w:lang w:val="sr-Cyrl-CS"/>
        </w:rPr>
      </w:pPr>
    </w:p>
    <w:p w14:paraId="7FA7E0E7" w14:textId="77777777" w:rsidR="00E84328" w:rsidRPr="00170C32" w:rsidRDefault="00E84328" w:rsidP="00E84328">
      <w:pPr>
        <w:rPr>
          <w:b/>
          <w:lang w:val="sr-Cyrl-CS"/>
        </w:rPr>
      </w:pPr>
      <w:r w:rsidRPr="00505335">
        <w:rPr>
          <w:lang w:val="ru-RU"/>
        </w:rPr>
        <w:tab/>
      </w:r>
      <w:r w:rsidRPr="00170C32">
        <w:rPr>
          <w:b/>
        </w:rPr>
        <w:t>I</w:t>
      </w:r>
      <w:r w:rsidRPr="00170C32">
        <w:rPr>
          <w:b/>
          <w:lang w:val="ru-RU"/>
        </w:rPr>
        <w:t xml:space="preserve">. </w:t>
      </w:r>
      <w:r w:rsidRPr="00170C32">
        <w:rPr>
          <w:b/>
          <w:lang w:val="sr-Cyrl-CS"/>
        </w:rPr>
        <w:t>УСТАВНИ ОСНОВ ЗА ДОНОШЕЊЕ ЗАКОНА</w:t>
      </w:r>
    </w:p>
    <w:p w14:paraId="666BFFEB" w14:textId="77777777" w:rsidR="00E84328" w:rsidRPr="00170C32" w:rsidRDefault="00E84328" w:rsidP="00E84328">
      <w:r w:rsidRPr="00170C32">
        <w:tab/>
      </w:r>
    </w:p>
    <w:p w14:paraId="5845B9E7" w14:textId="77777777" w:rsidR="00E84328" w:rsidRPr="00170C32" w:rsidRDefault="00E84328" w:rsidP="00E84328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0C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0C32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доношење Закона 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изменама Закона о организацији и надлежности државних органа у поступку за ратне злочине </w:t>
      </w:r>
      <w:r w:rsidRPr="00170C32">
        <w:rPr>
          <w:rFonts w:ascii="Times New Roman" w:hAnsi="Times New Roman" w:cs="Times New Roman"/>
          <w:sz w:val="24"/>
          <w:szCs w:val="24"/>
          <w:lang w:val="sr-Cyrl-CS"/>
        </w:rPr>
        <w:t>садржан је у члану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97.</w:t>
      </w:r>
      <w:r w:rsidRPr="00170C3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тачка 16) </w:t>
      </w:r>
      <w:r w:rsidRPr="00170C32">
        <w:rPr>
          <w:rFonts w:ascii="Times New Roman" w:hAnsi="Times New Roman" w:cs="Times New Roman"/>
          <w:sz w:val="24"/>
          <w:szCs w:val="24"/>
          <w:lang w:val="sr-Cyrl-CS"/>
        </w:rPr>
        <w:t>Устава Републике Србије („Служб</w:t>
      </w:r>
      <w:r>
        <w:rPr>
          <w:rFonts w:ascii="Times New Roman" w:hAnsi="Times New Roman" w:cs="Times New Roman"/>
          <w:sz w:val="24"/>
          <w:szCs w:val="24"/>
          <w:lang w:val="sr-Cyrl-CS"/>
        </w:rPr>
        <w:t>ени гласник РС”, бр. 98/06 и 16/22</w:t>
      </w:r>
      <w:r w:rsidRPr="00170C32">
        <w:rPr>
          <w:rFonts w:ascii="Times New Roman" w:hAnsi="Times New Roman" w:cs="Times New Roman"/>
          <w:sz w:val="24"/>
          <w:szCs w:val="24"/>
          <w:lang w:val="sr-Cyrl-CS"/>
        </w:rPr>
        <w:t xml:space="preserve"> - у даљем тексту: Устав),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 прописује да Република Србија уређује и обезбеђује организацију, надлежност и рад републичких органа; члану 143. став 1. који одређује да се оснивање, укидање, врста, надлежност, подручја и седишта судова, састав суда и поступак пред судовима уре</w:t>
      </w:r>
      <w:r w:rsidR="001D52D5">
        <w:rPr>
          <w:rFonts w:ascii="Times New Roman" w:hAnsi="Times New Roman" w:cs="Times New Roman"/>
          <w:sz w:val="24"/>
          <w:szCs w:val="24"/>
          <w:lang w:val="sr-Cyrl-CS"/>
        </w:rPr>
        <w:t>ђују законом и члану 155. став 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170C32">
        <w:rPr>
          <w:rFonts w:ascii="Times New Roman" w:hAnsi="Times New Roman" w:cs="Times New Roman"/>
          <w:sz w:val="24"/>
          <w:szCs w:val="24"/>
          <w:lang w:val="sr-Cyrl-CS"/>
        </w:rPr>
        <w:t>који прописује да се оснивање, организација и надлежност јавног тужилаштва уређују законом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5F9C377" w14:textId="77777777" w:rsidR="00E84328" w:rsidRPr="00170C32" w:rsidRDefault="00E84328" w:rsidP="00E84328">
      <w:pPr>
        <w:jc w:val="both"/>
        <w:rPr>
          <w:lang w:val="sr-Cyrl-CS"/>
        </w:rPr>
      </w:pPr>
    </w:p>
    <w:p w14:paraId="59CC58F6" w14:textId="77777777" w:rsidR="00E84328" w:rsidRPr="00170C32" w:rsidRDefault="00E84328" w:rsidP="00E84328">
      <w:pPr>
        <w:jc w:val="both"/>
        <w:rPr>
          <w:b/>
          <w:lang w:val="sr-Cyrl-CS"/>
        </w:rPr>
      </w:pPr>
      <w:r w:rsidRPr="00170C32">
        <w:rPr>
          <w:lang w:val="sr-Cyrl-CS"/>
        </w:rPr>
        <w:tab/>
        <w:t xml:space="preserve"> </w:t>
      </w:r>
      <w:r w:rsidRPr="00170C32">
        <w:rPr>
          <w:b/>
        </w:rPr>
        <w:t xml:space="preserve">II. </w:t>
      </w:r>
      <w:r w:rsidRPr="00170C32">
        <w:rPr>
          <w:b/>
          <w:lang w:val="sr-Cyrl-CS"/>
        </w:rPr>
        <w:t>РАЗЛОЗИ ЗА ДОНОШЕЊЕ ЗАКОНА</w:t>
      </w:r>
    </w:p>
    <w:p w14:paraId="0F7DC012" w14:textId="77777777" w:rsidR="00E84328" w:rsidRPr="00170C32" w:rsidRDefault="00E84328" w:rsidP="00E84328">
      <w:pPr>
        <w:jc w:val="both"/>
        <w:rPr>
          <w:lang w:val="sr-Cyrl-CS"/>
        </w:rPr>
      </w:pPr>
    </w:p>
    <w:p w14:paraId="663E18D3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  <w:r w:rsidRPr="00170C32">
        <w:rPr>
          <w:color w:val="333333"/>
          <w:shd w:val="clear" w:color="auto" w:fill="FFFFFF"/>
          <w:lang w:val="sr-Cyrl-RS"/>
        </w:rPr>
        <w:tab/>
      </w:r>
      <w:r w:rsidRPr="00170C32">
        <w:rPr>
          <w:b/>
          <w:i/>
          <w:shd w:val="clear" w:color="auto" w:fill="FFFFFF"/>
          <w:lang w:val="sr-Cyrl-RS"/>
        </w:rPr>
        <w:t>Проблеми које закон треба да реши</w:t>
      </w:r>
    </w:p>
    <w:p w14:paraId="774B4FE2" w14:textId="77777777" w:rsidR="00E84328" w:rsidRPr="00170C32" w:rsidRDefault="00E84328" w:rsidP="00E84328">
      <w:pPr>
        <w:jc w:val="both"/>
        <w:rPr>
          <w:b/>
          <w:i/>
          <w:color w:val="333333"/>
          <w:shd w:val="clear" w:color="auto" w:fill="FFFFFF"/>
          <w:lang w:val="sr-Cyrl-RS"/>
        </w:rPr>
      </w:pPr>
    </w:p>
    <w:p w14:paraId="1F448D43" w14:textId="77777777" w:rsidR="00E84328" w:rsidRPr="00170C32" w:rsidRDefault="00E84328" w:rsidP="00E84328">
      <w:pPr>
        <w:jc w:val="both"/>
        <w:rPr>
          <w:shd w:val="clear" w:color="auto" w:fill="FFFFFF"/>
          <w:lang w:val="sr-Cyrl-RS"/>
        </w:rPr>
      </w:pPr>
      <w:r w:rsidRPr="00170C32">
        <w:rPr>
          <w:b/>
          <w:i/>
          <w:color w:val="333333"/>
          <w:shd w:val="clear" w:color="auto" w:fill="FFFFFF"/>
          <w:lang w:val="sr-Cyrl-RS"/>
        </w:rPr>
        <w:tab/>
      </w:r>
      <w:r w:rsidRPr="00170C32">
        <w:rPr>
          <w:shd w:val="clear" w:color="auto" w:fill="FFFFFF"/>
          <w:lang w:val="sr-Cyrl-RS"/>
        </w:rPr>
        <w:t xml:space="preserve">Актом о промени Устава створене су нормативне претпоставке за другачије законско уређивање положаја носилаца </w:t>
      </w:r>
      <w:r>
        <w:rPr>
          <w:shd w:val="clear" w:color="auto" w:fill="FFFFFF"/>
          <w:lang w:val="sr-Cyrl-RS"/>
        </w:rPr>
        <w:t xml:space="preserve">судијске и </w:t>
      </w:r>
      <w:r w:rsidRPr="00170C32">
        <w:rPr>
          <w:shd w:val="clear" w:color="auto" w:fill="FFFFFF"/>
          <w:lang w:val="sr-Cyrl-RS"/>
        </w:rPr>
        <w:t xml:space="preserve">јавнотужилачке функције, услова и поступка на њихов избор, престанак њихове функције, њихову одговорност, положај, као и организацију и начин рада. </w:t>
      </w:r>
      <w:r>
        <w:rPr>
          <w:shd w:val="clear" w:color="auto" w:fill="FFFFFF"/>
          <w:lang w:val="sr-Cyrl-RS"/>
        </w:rPr>
        <w:t xml:space="preserve">Истовремено измењен је и назив највишег суда и највишег јавног тужилаштва у Републици Србији. </w:t>
      </w:r>
    </w:p>
    <w:p w14:paraId="23EBF611" w14:textId="77777777" w:rsidR="00E84328" w:rsidRPr="00170C32" w:rsidRDefault="00E84328" w:rsidP="00E84328">
      <w:pPr>
        <w:jc w:val="both"/>
        <w:rPr>
          <w:shd w:val="clear" w:color="auto" w:fill="FFFFFF"/>
          <w:lang w:val="sr-Cyrl-RS"/>
        </w:rPr>
      </w:pPr>
    </w:p>
    <w:p w14:paraId="2E4BC2E4" w14:textId="77777777" w:rsidR="00E84328" w:rsidRDefault="00E84328" w:rsidP="00E84328">
      <w:pPr>
        <w:ind w:firstLine="720"/>
        <w:jc w:val="both"/>
        <w:rPr>
          <w:lang w:val="sr-Cyrl-RS"/>
        </w:rPr>
      </w:pPr>
      <w:r w:rsidRPr="00170C32">
        <w:rPr>
          <w:shd w:val="clear" w:color="auto" w:fill="FFFFFF"/>
          <w:lang w:val="sr-Cyrl-RS"/>
        </w:rPr>
        <w:t xml:space="preserve">Како су ова питања </w:t>
      </w:r>
      <w:r>
        <w:rPr>
          <w:shd w:val="clear" w:color="auto" w:fill="FFFFFF"/>
          <w:lang w:val="sr-Cyrl-RS"/>
        </w:rPr>
        <w:t>другачије решена у односу на дос</w:t>
      </w:r>
      <w:r w:rsidRPr="00170C32">
        <w:rPr>
          <w:shd w:val="clear" w:color="auto" w:fill="FFFFFF"/>
          <w:lang w:val="sr-Cyrl-RS"/>
        </w:rPr>
        <w:t>адашња уставна решења, неопходно је донети нов</w:t>
      </w:r>
      <w:r>
        <w:rPr>
          <w:shd w:val="clear" w:color="auto" w:fill="FFFFFF"/>
          <w:lang w:val="sr-Cyrl-RS"/>
        </w:rPr>
        <w:t>е</w:t>
      </w:r>
      <w:r w:rsidRPr="00170C32">
        <w:rPr>
          <w:shd w:val="clear" w:color="auto" w:fill="FFFFFF"/>
          <w:lang w:val="sr-Cyrl-RS"/>
        </w:rPr>
        <w:t xml:space="preserve"> закон</w:t>
      </w:r>
      <w:r>
        <w:rPr>
          <w:shd w:val="clear" w:color="auto" w:fill="FFFFFF"/>
          <w:lang w:val="sr-Cyrl-RS"/>
        </w:rPr>
        <w:t>е</w:t>
      </w:r>
      <w:r w:rsidRPr="00170C32">
        <w:rPr>
          <w:shd w:val="clear" w:color="auto" w:fill="FFFFFF"/>
          <w:lang w:val="sr-Cyrl-RS"/>
        </w:rPr>
        <w:t xml:space="preserve"> који ће бити усклађен</w:t>
      </w:r>
      <w:r>
        <w:rPr>
          <w:shd w:val="clear" w:color="auto" w:fill="FFFFFF"/>
          <w:lang w:val="sr-Cyrl-RS"/>
        </w:rPr>
        <w:t>и</w:t>
      </w:r>
      <w:r w:rsidRPr="00170C32">
        <w:rPr>
          <w:shd w:val="clear" w:color="auto" w:fill="FFFFFF"/>
          <w:lang w:val="sr-Cyrl-RS"/>
        </w:rPr>
        <w:t xml:space="preserve"> са уставним измена, а којим ће се прецизно уредити </w:t>
      </w:r>
      <w:r w:rsidRPr="00170C32">
        <w:t xml:space="preserve">организација и надлежност </w:t>
      </w:r>
      <w:r>
        <w:rPr>
          <w:lang w:val="sr-Cyrl-RS"/>
        </w:rPr>
        <w:t xml:space="preserve">судова и </w:t>
      </w:r>
      <w:r w:rsidRPr="00170C32">
        <w:t>јавног тужилаштва, услови, поступак за из</w:t>
      </w:r>
      <w:r>
        <w:t>бор и престанак функције носи</w:t>
      </w:r>
      <w:r>
        <w:rPr>
          <w:lang w:val="sr-Cyrl-RS"/>
        </w:rPr>
        <w:t>лаца</w:t>
      </w:r>
      <w:r w:rsidRPr="00170C32">
        <w:t xml:space="preserve"> </w:t>
      </w:r>
      <w:r>
        <w:rPr>
          <w:lang w:val="sr-Cyrl-RS"/>
        </w:rPr>
        <w:t xml:space="preserve">судијске и </w:t>
      </w:r>
      <w:r w:rsidRPr="00170C32">
        <w:t>јавнотужила</w:t>
      </w:r>
      <w:r>
        <w:t xml:space="preserve">чке функције, права и дужности </w:t>
      </w:r>
      <w:r w:rsidRPr="00170C32">
        <w:t xml:space="preserve">носиоца </w:t>
      </w:r>
      <w:r>
        <w:rPr>
          <w:lang w:val="sr-Cyrl-RS"/>
        </w:rPr>
        <w:t xml:space="preserve">судијске и </w:t>
      </w:r>
      <w:r w:rsidRPr="00170C32">
        <w:t xml:space="preserve">јавнотужилачке функције, вредновање </w:t>
      </w:r>
      <w:r w:rsidRPr="00170C32">
        <w:rPr>
          <w:lang w:val="sr-Cyrl-RS"/>
        </w:rPr>
        <w:t>њиховог рада</w:t>
      </w:r>
      <w:r w:rsidRPr="00170C32">
        <w:t xml:space="preserve">, дисциплинска одговорност, обављање послова управе у јавном тужилаштву и правосудне управе, обезбеђивање средстава за рад </w:t>
      </w:r>
      <w:r>
        <w:rPr>
          <w:lang w:val="sr-Cyrl-RS"/>
        </w:rPr>
        <w:t xml:space="preserve">судова и </w:t>
      </w:r>
      <w:r w:rsidRPr="00170C32">
        <w:t xml:space="preserve">јавног тужилаштва и </w:t>
      </w:r>
      <w:r w:rsidRPr="00170C32">
        <w:rPr>
          <w:lang w:val="sr-Cyrl-RS"/>
        </w:rPr>
        <w:t xml:space="preserve">сва </w:t>
      </w:r>
      <w:r w:rsidRPr="00170C32">
        <w:t xml:space="preserve">друга питања од значаја за рад </w:t>
      </w:r>
      <w:r>
        <w:rPr>
          <w:lang w:val="sr-Cyrl-RS"/>
        </w:rPr>
        <w:t xml:space="preserve">суда и </w:t>
      </w:r>
      <w:r w:rsidRPr="00170C32">
        <w:t>јавног тужилаштва.</w:t>
      </w:r>
    </w:p>
    <w:p w14:paraId="2B808111" w14:textId="77777777" w:rsidR="00E84328" w:rsidRDefault="00E84328" w:rsidP="00E84328">
      <w:pPr>
        <w:ind w:firstLine="720"/>
        <w:jc w:val="both"/>
        <w:rPr>
          <w:lang w:val="sr-Cyrl-RS"/>
        </w:rPr>
      </w:pPr>
    </w:p>
    <w:p w14:paraId="7BE433A7" w14:textId="77777777" w:rsidR="00E84328" w:rsidRDefault="00E84328" w:rsidP="00E84328">
      <w:pPr>
        <w:ind w:firstLine="720"/>
        <w:jc w:val="both"/>
        <w:rPr>
          <w:lang w:val="sr-Cyrl-CS"/>
        </w:rPr>
      </w:pPr>
      <w:r w:rsidRPr="00170C32">
        <w:rPr>
          <w:shd w:val="clear" w:color="auto" w:fill="FFFFFF"/>
          <w:lang w:val="sr-Cyrl-RS"/>
        </w:rPr>
        <w:t xml:space="preserve">Чланом 2. став 1. Уставног закона за спровођење Акта о промени Устава Републике Србије </w:t>
      </w:r>
      <w:r w:rsidRPr="00170C32">
        <w:rPr>
          <w:lang w:val="sr-Cyrl-CS"/>
        </w:rPr>
        <w:t xml:space="preserve">(„Службени гласник РС”, број 115/21 - у даљем тексту: Амандмани), прописано је, између осталог, да ће се </w:t>
      </w:r>
      <w:r>
        <w:rPr>
          <w:lang w:val="sr-Cyrl-CS"/>
        </w:rPr>
        <w:t xml:space="preserve">Закон о судијама, Закон о уређењу судова и </w:t>
      </w:r>
      <w:r w:rsidRPr="00170C32">
        <w:rPr>
          <w:lang w:val="sr-Cyrl-CS"/>
        </w:rPr>
        <w:t xml:space="preserve">Закон о јавном тужилаштву ускладити са Амандманима у року од годину дана од дана ступања на снагу Амандмана, </w:t>
      </w:r>
      <w:r>
        <w:rPr>
          <w:lang w:val="sr-Cyrl-CS"/>
        </w:rPr>
        <w:t>а ставом 2. истог члана да ће се одредбе других закона ускладити у року од две године.</w:t>
      </w:r>
    </w:p>
    <w:p w14:paraId="7C9E7CA2" w14:textId="77777777" w:rsidR="00D47656" w:rsidRDefault="00D47656" w:rsidP="00E84328">
      <w:pPr>
        <w:ind w:firstLine="720"/>
        <w:jc w:val="both"/>
        <w:rPr>
          <w:lang w:val="sr-Cyrl-CS"/>
        </w:rPr>
      </w:pPr>
    </w:p>
    <w:p w14:paraId="67205380" w14:textId="77777777" w:rsidR="00E84328" w:rsidRPr="00103E21" w:rsidRDefault="00E84328" w:rsidP="00E84328">
      <w:pPr>
        <w:ind w:firstLine="720"/>
        <w:jc w:val="both"/>
        <w:rPr>
          <w:lang w:val="sr-Cyrl-RS"/>
        </w:rPr>
      </w:pPr>
      <w:r>
        <w:rPr>
          <w:lang w:val="sr-Cyrl-CS"/>
        </w:rPr>
        <w:t xml:space="preserve">Како су припремљени текстови закона који уређују </w:t>
      </w:r>
      <w:r>
        <w:rPr>
          <w:shd w:val="clear" w:color="auto" w:fill="FFFFFF"/>
          <w:lang w:val="sr-Cyrl-RS"/>
        </w:rPr>
        <w:t>положај</w:t>
      </w:r>
      <w:r w:rsidRPr="00170C32">
        <w:rPr>
          <w:shd w:val="clear" w:color="auto" w:fill="FFFFFF"/>
          <w:lang w:val="sr-Cyrl-RS"/>
        </w:rPr>
        <w:t xml:space="preserve"> носилаца </w:t>
      </w:r>
      <w:r>
        <w:rPr>
          <w:shd w:val="clear" w:color="auto" w:fill="FFFFFF"/>
          <w:lang w:val="sr-Cyrl-RS"/>
        </w:rPr>
        <w:t>судијске и јавнотужилачке функције, услове и поступке</w:t>
      </w:r>
      <w:r w:rsidRPr="00170C32">
        <w:rPr>
          <w:shd w:val="clear" w:color="auto" w:fill="FFFFFF"/>
          <w:lang w:val="sr-Cyrl-RS"/>
        </w:rPr>
        <w:t xml:space="preserve"> на њихов избор, положај, као и организацију и начин рада</w:t>
      </w:r>
      <w:r>
        <w:rPr>
          <w:shd w:val="clear" w:color="auto" w:fill="FFFFFF"/>
          <w:lang w:val="sr-Cyrl-RS"/>
        </w:rPr>
        <w:t xml:space="preserve">, истовремено је потребно изменити и одредбе других закона којима су ова </w:t>
      </w:r>
      <w:r>
        <w:rPr>
          <w:shd w:val="clear" w:color="auto" w:fill="FFFFFF"/>
          <w:lang w:val="sr-Cyrl-RS"/>
        </w:rPr>
        <w:lastRenderedPageBreak/>
        <w:t>питања такође посебно уређена, како би се обезбедило да сва ова питања буду јединствено уређена у различитим законима и да сви ти закони истовремено ступе на снагу.</w:t>
      </w:r>
    </w:p>
    <w:p w14:paraId="5E30510E" w14:textId="77777777" w:rsidR="00E84328" w:rsidRDefault="00E84328" w:rsidP="00E84328">
      <w:pPr>
        <w:jc w:val="both"/>
        <w:rPr>
          <w:b/>
          <w:i/>
          <w:color w:val="333333"/>
          <w:shd w:val="clear" w:color="auto" w:fill="FFFFFF"/>
          <w:lang w:val="sr-Cyrl-RS"/>
        </w:rPr>
      </w:pPr>
    </w:p>
    <w:p w14:paraId="7EA27414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  <w:r w:rsidRPr="00170C32">
        <w:rPr>
          <w:b/>
          <w:i/>
          <w:color w:val="333333"/>
          <w:shd w:val="clear" w:color="auto" w:fill="FFFFFF"/>
          <w:lang w:val="sr-Cyrl-RS"/>
        </w:rPr>
        <w:tab/>
      </w:r>
      <w:r w:rsidRPr="00170C32">
        <w:rPr>
          <w:b/>
          <w:i/>
          <w:shd w:val="clear" w:color="auto" w:fill="FFFFFF"/>
          <w:lang w:val="sr-Cyrl-RS"/>
        </w:rPr>
        <w:t>Циљеви који се законом постижу</w:t>
      </w:r>
    </w:p>
    <w:p w14:paraId="394C15FB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</w:p>
    <w:p w14:paraId="36F41B9F" w14:textId="77777777" w:rsidR="00E84328" w:rsidRPr="00170C32" w:rsidRDefault="00E84328" w:rsidP="00E84328">
      <w:pPr>
        <w:ind w:firstLine="720"/>
        <w:jc w:val="both"/>
        <w:rPr>
          <w:rFonts w:cs="Arial"/>
          <w:noProof/>
          <w:lang w:val="sr-Cyrl-RS"/>
        </w:rPr>
      </w:pPr>
      <w:r>
        <w:rPr>
          <w:rFonts w:cs="Arial"/>
          <w:noProof/>
          <w:lang w:val="sr-Cyrl-RS"/>
        </w:rPr>
        <w:t>Потреба за изменама</w:t>
      </w:r>
      <w:r w:rsidRPr="00170C32">
        <w:rPr>
          <w:rFonts w:cs="Arial"/>
          <w:noProof/>
          <w:lang w:val="sr-Cyrl-RS"/>
        </w:rPr>
        <w:t xml:space="preserve"> Закона о </w:t>
      </w:r>
      <w:r>
        <w:rPr>
          <w:lang w:val="sr-Cyrl-RS"/>
        </w:rPr>
        <w:t>организацији и надлежности државних органа у поступку за ратне злочине</w:t>
      </w:r>
      <w:r w:rsidRPr="00170C32">
        <w:rPr>
          <w:rFonts w:cs="Arial"/>
          <w:noProof/>
          <w:lang w:val="sr-Cyrl-RS"/>
        </w:rPr>
        <w:t xml:space="preserve"> последица је ојачавања самосталности носилаца </w:t>
      </w:r>
      <w:r>
        <w:rPr>
          <w:rFonts w:cs="Arial"/>
          <w:noProof/>
          <w:lang w:val="sr-Cyrl-RS"/>
        </w:rPr>
        <w:t xml:space="preserve">судијске и </w:t>
      </w:r>
      <w:r w:rsidRPr="00170C32">
        <w:rPr>
          <w:rFonts w:cs="Arial"/>
          <w:noProof/>
          <w:lang w:val="sr-Cyrl-RS"/>
        </w:rPr>
        <w:t>јавнотужилачке функције, као и сталн</w:t>
      </w:r>
      <w:r>
        <w:rPr>
          <w:rFonts w:cs="Arial"/>
          <w:noProof/>
          <w:lang w:val="sr-Latn-RS"/>
        </w:rPr>
        <w:t>o</w:t>
      </w:r>
      <w:r w:rsidRPr="00170C32">
        <w:rPr>
          <w:rFonts w:cs="Arial"/>
          <w:noProof/>
          <w:lang w:val="sr-Cyrl-RS"/>
        </w:rPr>
        <w:t xml:space="preserve">сти њихове функције. Законом се ближе уређују сва питања која су од значаја за статус носилаца </w:t>
      </w:r>
      <w:r>
        <w:rPr>
          <w:rFonts w:cs="Arial"/>
          <w:noProof/>
          <w:lang w:val="sr-Cyrl-RS"/>
        </w:rPr>
        <w:t xml:space="preserve">судијске и </w:t>
      </w:r>
      <w:r w:rsidRPr="00170C32">
        <w:rPr>
          <w:rFonts w:cs="Arial"/>
          <w:noProof/>
          <w:lang w:val="sr-Cyrl-RS"/>
        </w:rPr>
        <w:t xml:space="preserve">јавнотужилачке функције, као и сва важна питања која се односе на организацију и рад </w:t>
      </w:r>
      <w:r>
        <w:rPr>
          <w:rFonts w:cs="Arial"/>
          <w:noProof/>
          <w:lang w:val="sr-Cyrl-RS"/>
        </w:rPr>
        <w:t>суда и јавног</w:t>
      </w:r>
      <w:r w:rsidRPr="00170C32">
        <w:rPr>
          <w:rFonts w:cs="Arial"/>
          <w:noProof/>
          <w:lang w:val="sr-Cyrl-RS"/>
        </w:rPr>
        <w:t xml:space="preserve"> тужилаштава.</w:t>
      </w:r>
    </w:p>
    <w:p w14:paraId="4DD469A5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</w:p>
    <w:p w14:paraId="68E5B256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  <w:r w:rsidRPr="00170C32">
        <w:rPr>
          <w:b/>
          <w:i/>
          <w:shd w:val="clear" w:color="auto" w:fill="FFFFFF"/>
          <w:lang w:val="sr-Cyrl-RS"/>
        </w:rPr>
        <w:tab/>
        <w:t>Разматране могућности да се проблем реши и без доношења закона</w:t>
      </w:r>
    </w:p>
    <w:p w14:paraId="4EF76D73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</w:p>
    <w:p w14:paraId="052EB750" w14:textId="77777777" w:rsidR="00E84328" w:rsidRPr="00170C32" w:rsidRDefault="00E84328" w:rsidP="00E84328">
      <w:pPr>
        <w:jc w:val="both"/>
        <w:rPr>
          <w:lang w:val="sr-Cyrl-CS"/>
        </w:rPr>
      </w:pPr>
      <w:r w:rsidRPr="00170C32">
        <w:rPr>
          <w:shd w:val="clear" w:color="auto" w:fill="FFFFFF"/>
          <w:lang w:val="sr-Cyrl-RS"/>
        </w:rPr>
        <w:tab/>
      </w:r>
      <w:r>
        <w:rPr>
          <w:shd w:val="clear" w:color="auto" w:fill="FFFFFF"/>
          <w:lang w:val="sr-Cyrl-RS"/>
        </w:rPr>
        <w:t>Као што је речено, ч</w:t>
      </w:r>
      <w:r w:rsidRPr="00170C32">
        <w:rPr>
          <w:shd w:val="clear" w:color="auto" w:fill="FFFFFF"/>
          <w:lang w:val="sr-Cyrl-RS"/>
        </w:rPr>
        <w:t xml:space="preserve">ланом 2. став 1. Уставног закона за спровођење Акта о промени Устава Републике Србије </w:t>
      </w:r>
      <w:r w:rsidRPr="00170C32">
        <w:rPr>
          <w:lang w:val="sr-Cyrl-CS"/>
        </w:rPr>
        <w:t xml:space="preserve">прописано је, између осталог, да ће се </w:t>
      </w:r>
      <w:r>
        <w:rPr>
          <w:lang w:val="sr-Cyrl-CS"/>
        </w:rPr>
        <w:t xml:space="preserve">Закон о судијама, Закон о уређењу судова и </w:t>
      </w:r>
      <w:r w:rsidRPr="00170C32">
        <w:rPr>
          <w:lang w:val="sr-Cyrl-CS"/>
        </w:rPr>
        <w:t xml:space="preserve">Закон о јавном тужилаштву ускладити са Амандманима у року од годину дана од </w:t>
      </w:r>
      <w:r>
        <w:rPr>
          <w:lang w:val="sr-Cyrl-CS"/>
        </w:rPr>
        <w:t>дана ступања на снагу Амандмана, а одредбе других закона који такође уређују положај носилаца судијске и јавнотужилачке функције, односно рад судова и јавних тужилаштава у року од две године.</w:t>
      </w:r>
      <w:r w:rsidRPr="00170C32">
        <w:rPr>
          <w:lang w:val="sr-Cyrl-CS"/>
        </w:rPr>
        <w:t xml:space="preserve"> С обзиром  </w:t>
      </w:r>
      <w:r>
        <w:rPr>
          <w:lang w:val="sr-Cyrl-CS"/>
        </w:rPr>
        <w:t xml:space="preserve">на </w:t>
      </w:r>
      <w:r w:rsidRPr="00170C32">
        <w:rPr>
          <w:lang w:val="sr-Cyrl-CS"/>
        </w:rPr>
        <w:t xml:space="preserve">изричиту обавезу Уставног </w:t>
      </w:r>
      <w:r>
        <w:rPr>
          <w:lang w:val="sr-Cyrl-CS"/>
        </w:rPr>
        <w:t>закона, потребно усклађивање се</w:t>
      </w:r>
      <w:r w:rsidRPr="00170C32">
        <w:rPr>
          <w:lang w:val="sr-Cyrl-CS"/>
        </w:rPr>
        <w:t xml:space="preserve"> може решити искључиво доношењем закона. </w:t>
      </w:r>
    </w:p>
    <w:p w14:paraId="6C3B2611" w14:textId="77777777" w:rsidR="00E84328" w:rsidRPr="00170C32" w:rsidRDefault="00E84328" w:rsidP="00E84328">
      <w:pPr>
        <w:jc w:val="both"/>
        <w:rPr>
          <w:lang w:val="sr-Cyrl-CS"/>
        </w:rPr>
      </w:pPr>
    </w:p>
    <w:p w14:paraId="3430483F" w14:textId="77777777" w:rsidR="00E84328" w:rsidRPr="00170C32" w:rsidRDefault="00E84328" w:rsidP="00E84328">
      <w:pPr>
        <w:ind w:firstLine="720"/>
        <w:jc w:val="both"/>
        <w:rPr>
          <w:lang w:val="sr-Cyrl-RS"/>
        </w:rPr>
      </w:pPr>
      <w:r w:rsidRPr="00170C32">
        <w:rPr>
          <w:lang w:val="sr-Cyrl-CS"/>
        </w:rPr>
        <w:t xml:space="preserve">Имајући у виду да је Акт о промени Устава донео значајне измене везане </w:t>
      </w:r>
      <w:r>
        <w:rPr>
          <w:lang w:val="sr-Cyrl-CS"/>
        </w:rPr>
        <w:t xml:space="preserve">пре свега </w:t>
      </w:r>
      <w:r w:rsidRPr="00170C32">
        <w:rPr>
          <w:lang w:val="sr-Cyrl-CS"/>
        </w:rPr>
        <w:t xml:space="preserve">за статус носилаца јавнотужилачке функције (сталност функције, услови и поступак за избор, другачији називи носилаца јавнотужилаче функције, другачија хијарархијска овлашћења, дисциплинска одговорност, обезбеђивање средстава за рад јавних </w:t>
      </w:r>
      <w:r>
        <w:rPr>
          <w:lang w:val="sr-Cyrl-CS"/>
        </w:rPr>
        <w:t>тужилаштва и слично), један број</w:t>
      </w:r>
      <w:r w:rsidRPr="00170C32">
        <w:rPr>
          <w:lang w:val="sr-Cyrl-CS"/>
        </w:rPr>
        <w:t xml:space="preserve"> одредаба важећег </w:t>
      </w:r>
      <w:r>
        <w:t>Закон</w:t>
      </w:r>
      <w:r>
        <w:rPr>
          <w:lang w:val="sr-Cyrl-RS"/>
        </w:rPr>
        <w:t>а</w:t>
      </w:r>
      <w:r w:rsidRPr="00854398">
        <w:t xml:space="preserve"> о организацији и надлежности државних органа у поступку за ратне злочине („Службени гласник РС”, бр. 67/03, 135/04, 61/05, 101/</w:t>
      </w:r>
      <w:r>
        <w:t>07, 104/09, 101/11 – др. Закон,</w:t>
      </w:r>
      <w:r w:rsidRPr="00854398">
        <w:t xml:space="preserve"> 6/15</w:t>
      </w:r>
      <w:r>
        <w:rPr>
          <w:lang w:val="sr-Cyrl-RS"/>
        </w:rPr>
        <w:t xml:space="preserve"> и 87/18 – др. закон</w:t>
      </w:r>
      <w:r w:rsidRPr="00854398">
        <w:t>)</w:t>
      </w:r>
      <w:r w:rsidRPr="00170C32">
        <w:rPr>
          <w:lang w:val="sr-Cyrl-RS"/>
        </w:rPr>
        <w:t xml:space="preserve"> је неопходно изменити. </w:t>
      </w:r>
      <w:r>
        <w:rPr>
          <w:lang w:val="sr-Cyrl-RS"/>
        </w:rPr>
        <w:t xml:space="preserve">Поред тога, неопходно је обезбедити међусобну усклађеност овог закона са законима који уређују положај носилаца судијске и јавнотужилачке функције, као и рад и организацију суда и јавног тужилаштва. </w:t>
      </w:r>
      <w:r w:rsidRPr="00170C32">
        <w:rPr>
          <w:lang w:val="sr-Cyrl-RS"/>
        </w:rPr>
        <w:t xml:space="preserve">Обим ових измена би се односио </w:t>
      </w:r>
      <w:r>
        <w:rPr>
          <w:lang w:val="sr-Cyrl-RS"/>
        </w:rPr>
        <w:t>н</w:t>
      </w:r>
      <w:r w:rsidRPr="00170C32">
        <w:rPr>
          <w:lang w:val="sr-Cyrl-RS"/>
        </w:rPr>
        <w:t xml:space="preserve">а </w:t>
      </w:r>
      <w:r>
        <w:rPr>
          <w:lang w:val="sr-Cyrl-RS"/>
        </w:rPr>
        <w:t xml:space="preserve">мање </w:t>
      </w:r>
      <w:r w:rsidRPr="00170C32">
        <w:rPr>
          <w:lang w:val="sr-Cyrl-RS"/>
        </w:rPr>
        <w:t xml:space="preserve">од </w:t>
      </w:r>
      <w:r>
        <w:rPr>
          <w:lang w:val="sr-Cyrl-RS"/>
        </w:rPr>
        <w:t>половине чланова важећег закона</w:t>
      </w:r>
      <w:r w:rsidRPr="00170C32">
        <w:rPr>
          <w:lang w:val="sr-Cyrl-RS"/>
        </w:rPr>
        <w:t xml:space="preserve">, због чега је, у складу са чланом 47. став 2. Јединствених методолошких правила за израду прописа </w:t>
      </w:r>
      <w:r w:rsidRPr="00170C32">
        <w:rPr>
          <w:lang w:val="sr-Cyrl-CS"/>
        </w:rPr>
        <w:t>(„Службени гласник РС”, број 21/10), неопх</w:t>
      </w:r>
      <w:r>
        <w:rPr>
          <w:lang w:val="sr-Cyrl-CS"/>
        </w:rPr>
        <w:t>одно</w:t>
      </w:r>
      <w:r w:rsidRPr="00170C32">
        <w:rPr>
          <w:lang w:val="sr-Cyrl-CS"/>
        </w:rPr>
        <w:t xml:space="preserve"> </w:t>
      </w:r>
      <w:r>
        <w:rPr>
          <w:lang w:val="sr-Cyrl-CS"/>
        </w:rPr>
        <w:t xml:space="preserve">изменити постојећи </w:t>
      </w:r>
      <w:r>
        <w:t>Закон</w:t>
      </w:r>
      <w:r w:rsidRPr="00854398">
        <w:t xml:space="preserve"> о организацији и надлежности државних органа у поступку за ратне злочине</w:t>
      </w:r>
      <w:r w:rsidRPr="00170C32">
        <w:rPr>
          <w:lang w:val="sr-Cyrl-CS"/>
        </w:rPr>
        <w:t>.</w:t>
      </w:r>
    </w:p>
    <w:p w14:paraId="3B506C48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</w:p>
    <w:p w14:paraId="1756E65E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  <w:r w:rsidRPr="00170C32">
        <w:rPr>
          <w:b/>
          <w:i/>
          <w:shd w:val="clear" w:color="auto" w:fill="FFFFFF"/>
          <w:lang w:val="sr-Cyrl-RS"/>
        </w:rPr>
        <w:tab/>
        <w:t>Зашто је доношење закона најбољи начин за решавање проблема</w:t>
      </w:r>
    </w:p>
    <w:p w14:paraId="7BD06050" w14:textId="77777777" w:rsidR="00E84328" w:rsidRPr="00170C32" w:rsidRDefault="00E84328" w:rsidP="00E84328">
      <w:pPr>
        <w:jc w:val="both"/>
        <w:rPr>
          <w:b/>
          <w:i/>
          <w:shd w:val="clear" w:color="auto" w:fill="FFFFFF"/>
          <w:lang w:val="sr-Cyrl-RS"/>
        </w:rPr>
      </w:pPr>
    </w:p>
    <w:p w14:paraId="040BD7CD" w14:textId="77777777" w:rsidR="00E84328" w:rsidRPr="00170C32" w:rsidRDefault="00E84328" w:rsidP="00E84328">
      <w:pPr>
        <w:jc w:val="both"/>
        <w:rPr>
          <w:shd w:val="clear" w:color="auto" w:fill="FFFFFF"/>
          <w:lang w:val="sr-Cyrl-RS"/>
        </w:rPr>
      </w:pPr>
      <w:r w:rsidRPr="00170C32">
        <w:rPr>
          <w:shd w:val="clear" w:color="auto" w:fill="FFFFFF"/>
          <w:lang w:val="sr-Cyrl-RS"/>
        </w:rPr>
        <w:tab/>
        <w:t>Из н</w:t>
      </w:r>
      <w:r>
        <w:rPr>
          <w:shd w:val="clear" w:color="auto" w:fill="FFFFFF"/>
          <w:lang w:val="sr-Cyrl-RS"/>
        </w:rPr>
        <w:t>аведених разлога, доношење</w:t>
      </w:r>
      <w:r w:rsidRPr="00170C32">
        <w:rPr>
          <w:shd w:val="clear" w:color="auto" w:fill="FFFFFF"/>
          <w:lang w:val="sr-Cyrl-RS"/>
        </w:rPr>
        <w:t xml:space="preserve"> закона </w:t>
      </w:r>
      <w:r>
        <w:rPr>
          <w:shd w:val="clear" w:color="auto" w:fill="FFFFFF"/>
          <w:lang w:val="sr-Cyrl-RS"/>
        </w:rPr>
        <w:t xml:space="preserve">којим ће се изменити постојећи </w:t>
      </w:r>
      <w:r>
        <w:t>Закон</w:t>
      </w:r>
      <w:r w:rsidRPr="00854398">
        <w:t xml:space="preserve"> о организацији и надлежности државних органа у поступку за ратне злочине</w:t>
      </w:r>
      <w:r>
        <w:rPr>
          <w:lang w:val="sr-Cyrl-RS"/>
        </w:rPr>
        <w:t>,</w:t>
      </w:r>
      <w:r w:rsidRPr="00170C32">
        <w:rPr>
          <w:shd w:val="clear" w:color="auto" w:fill="FFFFFF"/>
          <w:lang w:val="sr-Cyrl-RS"/>
        </w:rPr>
        <w:t xml:space="preserve"> који ће </w:t>
      </w:r>
      <w:r>
        <w:rPr>
          <w:shd w:val="clear" w:color="auto" w:fill="FFFFFF"/>
          <w:lang w:val="sr-Cyrl-RS"/>
        </w:rPr>
        <w:t>се усагласити са Амандманима и других законима који уређују</w:t>
      </w:r>
      <w:r w:rsidRPr="00170C32">
        <w:rPr>
          <w:shd w:val="clear" w:color="auto" w:fill="FFFFFF"/>
          <w:lang w:val="sr-Cyrl-RS"/>
        </w:rPr>
        <w:t xml:space="preserve"> положај носилаца </w:t>
      </w:r>
      <w:r>
        <w:rPr>
          <w:shd w:val="clear" w:color="auto" w:fill="FFFFFF"/>
          <w:lang w:val="sr-Cyrl-RS"/>
        </w:rPr>
        <w:t xml:space="preserve">судијске и </w:t>
      </w:r>
      <w:r w:rsidRPr="00170C32">
        <w:rPr>
          <w:shd w:val="clear" w:color="auto" w:fill="FFFFFF"/>
          <w:lang w:val="sr-Cyrl-RS"/>
        </w:rPr>
        <w:t xml:space="preserve">јавнотужилачке функције, као и друга најзначајнија питања за рад јавних </w:t>
      </w:r>
      <w:r>
        <w:rPr>
          <w:shd w:val="clear" w:color="auto" w:fill="FFFFFF"/>
          <w:lang w:val="sr-Cyrl-RS"/>
        </w:rPr>
        <w:t xml:space="preserve">судова и јавних </w:t>
      </w:r>
      <w:r w:rsidRPr="00170C32">
        <w:rPr>
          <w:shd w:val="clear" w:color="auto" w:fill="FFFFFF"/>
          <w:lang w:val="sr-Cyrl-RS"/>
        </w:rPr>
        <w:t>тужилаштава</w:t>
      </w:r>
      <w:r>
        <w:rPr>
          <w:shd w:val="clear" w:color="auto" w:fill="FFFFFF"/>
          <w:lang w:val="sr-Cyrl-RS"/>
        </w:rPr>
        <w:t>,</w:t>
      </w:r>
      <w:r w:rsidRPr="00170C32">
        <w:rPr>
          <w:shd w:val="clear" w:color="auto" w:fill="FFFFFF"/>
          <w:lang w:val="sr-Cyrl-RS"/>
        </w:rPr>
        <w:t xml:space="preserve"> је једино могуће решење. </w:t>
      </w:r>
    </w:p>
    <w:p w14:paraId="556274F7" w14:textId="77777777" w:rsidR="00E84328" w:rsidRDefault="00E84328" w:rsidP="00E84328">
      <w:pPr>
        <w:jc w:val="both"/>
        <w:rPr>
          <w:lang w:val="sr-Cyrl-RS"/>
        </w:rPr>
      </w:pPr>
    </w:p>
    <w:p w14:paraId="3D2E08FD" w14:textId="77777777" w:rsidR="00D47656" w:rsidRPr="00170C32" w:rsidRDefault="00D47656" w:rsidP="00E84328">
      <w:pPr>
        <w:jc w:val="both"/>
        <w:rPr>
          <w:lang w:val="sr-Cyrl-RS"/>
        </w:rPr>
      </w:pPr>
    </w:p>
    <w:p w14:paraId="2A1BA2E9" w14:textId="77777777" w:rsidR="00E84328" w:rsidRPr="00170C32" w:rsidRDefault="00E84328" w:rsidP="00E84328">
      <w:pPr>
        <w:jc w:val="both"/>
        <w:rPr>
          <w:lang w:val="sr-Cyrl-CS"/>
        </w:rPr>
      </w:pPr>
    </w:p>
    <w:p w14:paraId="014585B0" w14:textId="77777777" w:rsidR="00E84328" w:rsidRPr="00170C32" w:rsidRDefault="00E84328" w:rsidP="00E84328">
      <w:pPr>
        <w:jc w:val="both"/>
        <w:rPr>
          <w:b/>
          <w:lang w:val="sr-Cyrl-CS"/>
        </w:rPr>
      </w:pPr>
      <w:r w:rsidRPr="00170C32">
        <w:rPr>
          <w:lang w:val="sr-Cyrl-CS"/>
        </w:rPr>
        <w:lastRenderedPageBreak/>
        <w:tab/>
      </w:r>
      <w:r w:rsidRPr="00170C32">
        <w:rPr>
          <w:b/>
        </w:rPr>
        <w:t xml:space="preserve">III. </w:t>
      </w:r>
      <w:r w:rsidRPr="00170C32">
        <w:rPr>
          <w:b/>
          <w:lang w:val="sr-Cyrl-CS"/>
        </w:rPr>
        <w:t>ОБЈАШЊЕЊЕ ОСНОВНИХ ПРАВНИХ ИНСТИТУТА И ПОЈЕДИНАЧНИХ РЕШЕЊА</w:t>
      </w:r>
    </w:p>
    <w:p w14:paraId="63265786" w14:textId="77777777" w:rsidR="00E84328" w:rsidRPr="00170C32" w:rsidRDefault="00E84328" w:rsidP="00E84328">
      <w:pPr>
        <w:jc w:val="both"/>
        <w:rPr>
          <w:lang w:val="sr-Cyrl-CS"/>
        </w:rPr>
      </w:pPr>
    </w:p>
    <w:p w14:paraId="50F89E6D" w14:textId="77777777" w:rsidR="00E84328" w:rsidRPr="00170C32" w:rsidRDefault="00E84328" w:rsidP="00E84328">
      <w:pPr>
        <w:ind w:firstLine="709"/>
        <w:jc w:val="both"/>
        <w:rPr>
          <w:color w:val="000000"/>
        </w:rPr>
      </w:pPr>
      <w:r>
        <w:rPr>
          <w:lang w:val="sr-Cyrl-RS"/>
        </w:rPr>
        <w:t xml:space="preserve">Чланом 1. </w:t>
      </w:r>
      <w:r w:rsidRPr="00170C32">
        <w:rPr>
          <w:lang w:val="sr-Cyrl-CS"/>
        </w:rPr>
        <w:t>Закон</w:t>
      </w:r>
      <w:r>
        <w:rPr>
          <w:lang w:val="sr-Cyrl-CS"/>
        </w:rPr>
        <w:t>а</w:t>
      </w:r>
      <w:r w:rsidRPr="00170C32">
        <w:rPr>
          <w:lang w:val="sr-Cyrl-CS"/>
        </w:rPr>
        <w:t xml:space="preserve"> </w:t>
      </w:r>
      <w:r>
        <w:rPr>
          <w:lang w:val="sr-Cyrl-CS"/>
        </w:rPr>
        <w:t>мења се члан 4. Закона о</w:t>
      </w:r>
      <w:r w:rsidRPr="00854398">
        <w:t xml:space="preserve"> организацији и надлежности државних органа у поступку за ратне злочине</w:t>
      </w:r>
      <w:r>
        <w:rPr>
          <w:lang w:val="sr-Cyrl-RS"/>
        </w:rPr>
        <w:t>, на тај начин што се досадашњи назив тужилаштва посебне надлежности (Тужилаштво за ратне злочине), као и носиоца јавнотужилачке функције који руководи радог тог јавног тужилаштва усклађује са Амандманима</w:t>
      </w:r>
      <w:r w:rsidRPr="00170C32">
        <w:rPr>
          <w:lang w:val="sr-Cyrl-CS"/>
        </w:rPr>
        <w:t xml:space="preserve"> </w:t>
      </w:r>
      <w:r>
        <w:rPr>
          <w:lang w:val="sr-Cyrl-CS"/>
        </w:rPr>
        <w:t>и решењима из новог Закона о јавном тужилаштву</w:t>
      </w:r>
      <w:r w:rsidRPr="00170C32">
        <w:rPr>
          <w:lang w:val="sr-Cyrl-RS"/>
        </w:rPr>
        <w:t>.</w:t>
      </w:r>
      <w:r w:rsidRPr="00170C32">
        <w:t xml:space="preserve"> </w:t>
      </w:r>
    </w:p>
    <w:p w14:paraId="6CE28C5E" w14:textId="77777777" w:rsidR="00E84328" w:rsidRPr="00170C32" w:rsidRDefault="00E84328" w:rsidP="00E84328">
      <w:pPr>
        <w:jc w:val="both"/>
        <w:rPr>
          <w:lang w:val="sr-Cyrl-CS"/>
        </w:rPr>
      </w:pPr>
    </w:p>
    <w:p w14:paraId="4A2FEB02" w14:textId="77777777" w:rsidR="00E84328" w:rsidRDefault="00E84328" w:rsidP="00E84328">
      <w:pPr>
        <w:jc w:val="both"/>
        <w:rPr>
          <w:lang w:val="sr-Cyrl-RS"/>
        </w:rPr>
      </w:pPr>
      <w:r w:rsidRPr="00170C32">
        <w:rPr>
          <w:lang w:val="sr-Cyrl-CS"/>
        </w:rPr>
        <w:tab/>
      </w:r>
      <w:r>
        <w:rPr>
          <w:lang w:val="sr-Cyrl-CS"/>
        </w:rPr>
        <w:t>Чланом 2. Закона у потпуности је измењен члан 5. Закона о</w:t>
      </w:r>
      <w:r w:rsidRPr="00854398">
        <w:t xml:space="preserve"> организацији и надлежности државних органа у поступку за ратне злочине</w:t>
      </w:r>
      <w:r>
        <w:rPr>
          <w:lang w:val="sr-Cyrl-RS"/>
        </w:rPr>
        <w:t xml:space="preserve">. Чланом 4. став 3. </w:t>
      </w:r>
      <w:r>
        <w:rPr>
          <w:lang w:val="sr-Cyrl-CS"/>
        </w:rPr>
        <w:t>Закона о</w:t>
      </w:r>
      <w:r w:rsidRPr="00854398">
        <w:t xml:space="preserve"> организацији и надлежности државних органа у поступку за ратне злочине</w:t>
      </w:r>
      <w:r>
        <w:rPr>
          <w:lang w:val="sr-Cyrl-RS"/>
        </w:rPr>
        <w:t xml:space="preserve"> је прописана општа одредба да се на Јавно тужилаштво за ратне злочине примењују одредбе закона којим се уређује јавно тужилаштво (осим ако овим законом није другачије одређено), а с обзиром да је досадашњи члан 5. истог закона уређивао избор Тужиоца за ратне злочине и претанак његове функције, као и упућивање заменика јавних тужилаца у Тужилаштво за ратне злочине, наведени члан је неопходно потпуно изменити, с обзиром да су сада Амандманима и новим Законом о јавном тужилаштву избор, престанак функције и упућивање суштински другачије прописани.</w:t>
      </w:r>
    </w:p>
    <w:p w14:paraId="2B57851E" w14:textId="77777777" w:rsidR="00E84328" w:rsidRDefault="00E84328" w:rsidP="00E84328">
      <w:pPr>
        <w:jc w:val="both"/>
        <w:rPr>
          <w:lang w:val="sr-Cyrl-RS"/>
        </w:rPr>
      </w:pPr>
    </w:p>
    <w:p w14:paraId="579A9E1F" w14:textId="77777777" w:rsidR="00E84328" w:rsidRDefault="00E84328" w:rsidP="00E84328">
      <w:pPr>
        <w:jc w:val="both"/>
        <w:rPr>
          <w:lang w:val="sr-Cyrl-RS"/>
        </w:rPr>
      </w:pPr>
      <w:r>
        <w:rPr>
          <w:lang w:val="sr-Cyrl-RS"/>
        </w:rPr>
        <w:tab/>
        <w:t xml:space="preserve">Члановима 3. и 4. Закона измењени су досадашњи чл. 10. и 10а </w:t>
      </w:r>
      <w:r>
        <w:rPr>
          <w:lang w:val="sr-Cyrl-CS"/>
        </w:rPr>
        <w:t>Закона о</w:t>
      </w:r>
      <w:r w:rsidRPr="00854398">
        <w:t xml:space="preserve"> организацији и надлежности државних органа у поступку за ратне злочине</w:t>
      </w:r>
      <w:r>
        <w:rPr>
          <w:lang w:val="sr-Cyrl-RS"/>
        </w:rPr>
        <w:t xml:space="preserve">. Наведени чланови одређују надлежност суда у првом и другом степену у поступцима за ратне злочине, руковођење, постављање руководиоца, као и посебно потребно радно искуство за судије у тим поступцима. Како су Амандманима и новим Законом о уређењу судова и Законом у судијама ова питања другачије уређена, неопходно је у потпуности изменити и одредбе члана 10. и 10а  </w:t>
      </w:r>
      <w:r>
        <w:rPr>
          <w:lang w:val="sr-Cyrl-CS"/>
        </w:rPr>
        <w:t>Закона о</w:t>
      </w:r>
      <w:r w:rsidRPr="00854398">
        <w:t xml:space="preserve"> организацији и надлежности државних органа у поступку за ратне злочине</w:t>
      </w:r>
      <w:r>
        <w:rPr>
          <w:lang w:val="sr-Cyrl-RS"/>
        </w:rPr>
        <w:t>.</w:t>
      </w:r>
    </w:p>
    <w:p w14:paraId="61B0FD60" w14:textId="77777777" w:rsidR="00E84328" w:rsidRDefault="00E84328" w:rsidP="00E84328">
      <w:pPr>
        <w:jc w:val="both"/>
        <w:rPr>
          <w:lang w:val="sr-Cyrl-RS"/>
        </w:rPr>
      </w:pPr>
    </w:p>
    <w:p w14:paraId="5DF53E37" w14:textId="77777777" w:rsidR="00E84328" w:rsidRDefault="00E84328" w:rsidP="00E84328">
      <w:pPr>
        <w:jc w:val="both"/>
        <w:rPr>
          <w:lang w:val="sr-Cyrl-RS"/>
        </w:rPr>
      </w:pPr>
      <w:r>
        <w:rPr>
          <w:lang w:val="sr-Cyrl-RS"/>
        </w:rPr>
        <w:tab/>
        <w:t xml:space="preserve">Члановима 5. до 7. Закона врши се усклађивање осталих одредби </w:t>
      </w:r>
      <w:r>
        <w:rPr>
          <w:lang w:val="sr-Cyrl-CS"/>
        </w:rPr>
        <w:t>Закона о</w:t>
      </w:r>
      <w:r w:rsidRPr="00854398">
        <w:t xml:space="preserve"> организацији и надлежности државних органа у поступку за ратне злочине</w:t>
      </w:r>
      <w:r>
        <w:rPr>
          <w:lang w:val="sr-Cyrl-RS"/>
        </w:rPr>
        <w:t xml:space="preserve"> у вези са изменом назива досадашњег Тужилаштва за ратне злочине, као и носиоца јавнотужилачке функције који руководи радом тог јавног тужилаштва. И овде је реч о  усклађивању </w:t>
      </w:r>
      <w:r>
        <w:rPr>
          <w:lang w:val="sr-Cyrl-CS"/>
        </w:rPr>
        <w:t>Закона о</w:t>
      </w:r>
      <w:r w:rsidRPr="00854398">
        <w:t xml:space="preserve"> организацији и надлежности државних органа у поступку за ратне злочине</w:t>
      </w:r>
      <w:r>
        <w:rPr>
          <w:lang w:val="sr-Cyrl-RS"/>
        </w:rPr>
        <w:t xml:space="preserve"> са Амандманима</w:t>
      </w:r>
      <w:r w:rsidRPr="00170C32">
        <w:rPr>
          <w:lang w:val="sr-Cyrl-CS"/>
        </w:rPr>
        <w:t xml:space="preserve"> </w:t>
      </w:r>
      <w:r>
        <w:rPr>
          <w:lang w:val="sr-Cyrl-CS"/>
        </w:rPr>
        <w:t>и решењима из новог Закона о јавном тужилаштву</w:t>
      </w:r>
      <w:r w:rsidRPr="00170C32">
        <w:rPr>
          <w:lang w:val="sr-Cyrl-RS"/>
        </w:rPr>
        <w:t>.</w:t>
      </w:r>
      <w:r w:rsidRPr="00170C32">
        <w:t xml:space="preserve"> </w:t>
      </w:r>
      <w:r>
        <w:rPr>
          <w:lang w:val="sr-Cyrl-RS"/>
        </w:rPr>
        <w:t xml:space="preserve">  </w:t>
      </w:r>
    </w:p>
    <w:p w14:paraId="2460A4DD" w14:textId="77777777" w:rsidR="00E84328" w:rsidRPr="0075650F" w:rsidRDefault="00E84328" w:rsidP="00E84328">
      <w:pPr>
        <w:jc w:val="both"/>
        <w:rPr>
          <w:color w:val="000000"/>
          <w:lang w:val="sr-Cyrl-RS"/>
        </w:rPr>
      </w:pPr>
    </w:p>
    <w:p w14:paraId="2AA186CE" w14:textId="77777777" w:rsidR="00E84328" w:rsidRDefault="00E84328" w:rsidP="00E84328">
      <w:pPr>
        <w:ind w:firstLine="720"/>
        <w:jc w:val="both"/>
      </w:pPr>
      <w:r>
        <w:rPr>
          <w:color w:val="000000"/>
          <w:lang w:val="sr-Cyrl-RS"/>
        </w:rPr>
        <w:t>Члан 8. Закона представља прелазну одредбу која уређује наставак рада упућених досадашњих заменика јавног тужиоца који су упућени на рад у Тужилаштво за ратне злочине. Како би се обезбедио континуитет у раду досадашњег Тужилаштва за ратне злочине предвиђено је да овакво упућивање важи до истека времена упућивања. Треба напоменути да су остале одредбе о наставку рада Тужилаштва за ратне злочине и Тужиоца за ратне злочине, уређене новим Законом о јавном тужилаштву. Поред тога, у овом члану закона је  одредба о</w:t>
      </w:r>
      <w:r>
        <w:t xml:space="preserve"> особљу у </w:t>
      </w:r>
      <w:r>
        <w:rPr>
          <w:lang w:val="sr-Cyrl-RS"/>
        </w:rPr>
        <w:t>Ј</w:t>
      </w:r>
      <w:r>
        <w:t>авном тужилаштву</w:t>
      </w:r>
      <w:r>
        <w:rPr>
          <w:lang w:val="sr-Cyrl-RS"/>
        </w:rPr>
        <w:t xml:space="preserve"> за ратне злочине. Ова одредба има орочен карактер, с обзиром да је предвиђено да о</w:t>
      </w:r>
      <w:r>
        <w:t>дредбе овог закона којим се уређује положај особља у јавном тужилаштву важе до ступања на снагу посебног закона који уређује положај особља у јавном тужилаштву.</w:t>
      </w:r>
    </w:p>
    <w:p w14:paraId="11BD627B" w14:textId="77777777" w:rsidR="00E84328" w:rsidRDefault="00E84328" w:rsidP="00E84328">
      <w:pPr>
        <w:ind w:firstLine="720"/>
        <w:jc w:val="both"/>
      </w:pPr>
    </w:p>
    <w:p w14:paraId="2977D3C3" w14:textId="77777777" w:rsidR="00E84328" w:rsidRPr="000651DE" w:rsidRDefault="00E84328" w:rsidP="00E84328">
      <w:pPr>
        <w:ind w:firstLine="720"/>
        <w:jc w:val="both"/>
        <w:rPr>
          <w:color w:val="000000"/>
        </w:rPr>
      </w:pPr>
      <w:r>
        <w:rPr>
          <w:lang w:val="sr-Cyrl-RS"/>
        </w:rPr>
        <w:t xml:space="preserve">Такође, </w:t>
      </w:r>
      <w:r>
        <w:rPr>
          <w:color w:val="000000"/>
          <w:lang w:val="sr-Cyrl-RS"/>
        </w:rPr>
        <w:t xml:space="preserve">решење о распоређивању судије у Одељење за ратне злочине Вишег суда у Беграду, односно Одељење за ратне злочине Апелационог суда у Београду донето пре конституисања Високог савета судства </w:t>
      </w:r>
      <w:r>
        <w:rPr>
          <w:color w:val="000000"/>
        </w:rPr>
        <w:t xml:space="preserve">важи </w:t>
      </w:r>
      <w:r w:rsidRPr="00104417">
        <w:rPr>
          <w:color w:val="000000"/>
        </w:rPr>
        <w:t>до истека времена</w:t>
      </w:r>
      <w:r>
        <w:rPr>
          <w:color w:val="000000"/>
          <w:lang w:val="sr-Cyrl-RS"/>
        </w:rPr>
        <w:t xml:space="preserve"> распоређивања, односно упућивања на рад у тај суд.</w:t>
      </w:r>
    </w:p>
    <w:p w14:paraId="7503B9D3" w14:textId="77777777" w:rsidR="00E84328" w:rsidRDefault="00E84328" w:rsidP="00E84328">
      <w:pPr>
        <w:ind w:firstLine="720"/>
        <w:jc w:val="both"/>
        <w:rPr>
          <w:lang w:val="sr-Cyrl-RS"/>
        </w:rPr>
      </w:pPr>
    </w:p>
    <w:p w14:paraId="2AFCD9A0" w14:textId="77777777" w:rsidR="00E84328" w:rsidRPr="009E0CAB" w:rsidRDefault="00E84328" w:rsidP="00E84328">
      <w:pPr>
        <w:ind w:firstLine="720"/>
        <w:jc w:val="both"/>
        <w:rPr>
          <w:lang w:val="sr-Cyrl-RS"/>
        </w:rPr>
      </w:pPr>
      <w:r>
        <w:rPr>
          <w:lang w:val="sr-Cyrl-RS"/>
        </w:rPr>
        <w:t>Члан 9. Закона представља завршну одредбу, односно одредбу о ступању закона на снагу. Предвиђено је да о</w:t>
      </w:r>
      <w:r w:rsidRPr="00EA66E1">
        <w:t xml:space="preserve">вај закон </w:t>
      </w:r>
      <w:r>
        <w:rPr>
          <w:color w:val="000000"/>
          <w:lang w:val="sr-Cyrl-RS"/>
        </w:rPr>
        <w:t>ступа на снагу дан</w:t>
      </w:r>
      <w:r w:rsidR="00AE2941">
        <w:rPr>
          <w:color w:val="000000"/>
          <w:lang w:val="sr-Cyrl-RS"/>
        </w:rPr>
        <w:t xml:space="preserve">ом </w:t>
      </w:r>
      <w:r>
        <w:rPr>
          <w:color w:val="000000"/>
          <w:lang w:val="sr-Cyrl-RS"/>
        </w:rPr>
        <w:t>објављивања</w:t>
      </w:r>
      <w:r>
        <w:rPr>
          <w:color w:val="000000"/>
        </w:rPr>
        <w:t xml:space="preserve"> у </w:t>
      </w:r>
      <w:r w:rsidRPr="005D2E2D">
        <w:t>„Службеном гласнику Републике Србије</w:t>
      </w:r>
      <w:r w:rsidRPr="005D2E2D">
        <w:rPr>
          <w:bCs/>
        </w:rPr>
        <w:t>”</w:t>
      </w:r>
      <w:r>
        <w:rPr>
          <w:bCs/>
          <w:lang w:val="sr-Cyrl-RS"/>
        </w:rPr>
        <w:t>, а примењује се од дана конституисања</w:t>
      </w:r>
      <w:r w:rsidRPr="00EA66E1">
        <w:t xml:space="preserve"> </w:t>
      </w:r>
      <w:r>
        <w:rPr>
          <w:lang w:val="sr-Cyrl-RS"/>
        </w:rPr>
        <w:t>Високог савета судства, односно</w:t>
      </w:r>
      <w:r>
        <w:t xml:space="preserve"> Високог савета тужилаштва</w:t>
      </w:r>
      <w:r>
        <w:rPr>
          <w:lang w:val="sr-Cyrl-RS"/>
        </w:rPr>
        <w:t>.</w:t>
      </w:r>
      <w:r w:rsidR="00AE2941">
        <w:rPr>
          <w:lang w:val="sr-Cyrl-RS"/>
        </w:rPr>
        <w:t xml:space="preserve"> </w:t>
      </w:r>
      <w:r>
        <w:rPr>
          <w:lang w:val="sr-Cyrl-RS"/>
        </w:rPr>
        <w:t>С обзиром да је предло</w:t>
      </w:r>
      <w:r w:rsidR="006A3642">
        <w:rPr>
          <w:lang w:val="sr-Cyrl-RS"/>
        </w:rPr>
        <w:t xml:space="preserve">зима нових правосудних закона </w:t>
      </w:r>
      <w:r>
        <w:rPr>
          <w:lang w:val="sr-Cyrl-RS"/>
        </w:rPr>
        <w:t xml:space="preserve">предвиђено идентично решење око ступања закона на снагу, на наведени начин обезбедиће се да и овај закон ступи на снагу истовремено са тим законима. </w:t>
      </w:r>
    </w:p>
    <w:p w14:paraId="4135A046" w14:textId="77777777" w:rsidR="00E84328" w:rsidRDefault="00E84328" w:rsidP="00E84328">
      <w:pPr>
        <w:ind w:firstLine="720"/>
        <w:jc w:val="both"/>
        <w:rPr>
          <w:lang w:val="sr-Cyrl-RS"/>
        </w:rPr>
      </w:pPr>
    </w:p>
    <w:p w14:paraId="41526C68" w14:textId="77777777" w:rsidR="00E84328" w:rsidRDefault="00E84328" w:rsidP="00E84328">
      <w:pPr>
        <w:jc w:val="both"/>
        <w:rPr>
          <w:lang w:val="sr-Cyrl-CS"/>
        </w:rPr>
      </w:pPr>
    </w:p>
    <w:p w14:paraId="1215967E" w14:textId="77777777" w:rsidR="00E84328" w:rsidRPr="003A30C2" w:rsidRDefault="00E84328" w:rsidP="00E84328">
      <w:pPr>
        <w:jc w:val="both"/>
        <w:rPr>
          <w:b/>
          <w:lang w:val="sr-Cyrl-CS"/>
        </w:rPr>
      </w:pPr>
      <w:r>
        <w:rPr>
          <w:lang w:val="sr-Cyrl-CS"/>
        </w:rPr>
        <w:tab/>
      </w:r>
      <w:r w:rsidRPr="003A30C2">
        <w:rPr>
          <w:b/>
        </w:rPr>
        <w:t xml:space="preserve">IV. </w:t>
      </w:r>
      <w:r w:rsidRPr="003A30C2">
        <w:rPr>
          <w:b/>
          <w:lang w:val="sr-Cyrl-RS"/>
        </w:rPr>
        <w:t xml:space="preserve">ПРОЦЕНА </w:t>
      </w:r>
      <w:r w:rsidRPr="003A30C2">
        <w:rPr>
          <w:b/>
          <w:lang w:val="sr-Cyrl-CS"/>
        </w:rPr>
        <w:t>ФИНАНСИЈСКИХ СРЕДСТВА ПОТРЕБНИХ ЗА СПРОВОЂЕЊЕ ЗАКОНА</w:t>
      </w:r>
    </w:p>
    <w:p w14:paraId="613B28E7" w14:textId="77777777" w:rsidR="00E84328" w:rsidRPr="003A30C2" w:rsidRDefault="00E84328" w:rsidP="00E84328">
      <w:pPr>
        <w:jc w:val="both"/>
        <w:rPr>
          <w:b/>
          <w:lang w:val="sr-Cyrl-CS"/>
        </w:rPr>
      </w:pPr>
    </w:p>
    <w:p w14:paraId="359D0A8C" w14:textId="77777777" w:rsidR="00E84328" w:rsidRDefault="00E84328" w:rsidP="00E84328">
      <w:pPr>
        <w:jc w:val="both"/>
        <w:rPr>
          <w:lang w:val="sr-Cyrl-CS"/>
        </w:rPr>
      </w:pPr>
      <w:r w:rsidRPr="003A30C2">
        <w:rPr>
          <w:lang w:val="sr-Cyrl-CS"/>
        </w:rPr>
        <w:tab/>
        <w:t>За спровођење овог закона није потребно обезбедити финансијска средства у буџету Републике Србије.</w:t>
      </w:r>
      <w:r>
        <w:rPr>
          <w:lang w:val="sr-Cyrl-CS"/>
        </w:rPr>
        <w:t xml:space="preserve"> </w:t>
      </w:r>
    </w:p>
    <w:p w14:paraId="64AA7486" w14:textId="77777777" w:rsidR="00E84328" w:rsidRDefault="00E84328" w:rsidP="00E84328">
      <w:pPr>
        <w:jc w:val="both"/>
      </w:pPr>
    </w:p>
    <w:p w14:paraId="7A452672" w14:textId="77777777" w:rsidR="00E84328" w:rsidRDefault="00E84328" w:rsidP="00E84328">
      <w:pPr>
        <w:jc w:val="both"/>
      </w:pPr>
    </w:p>
    <w:p w14:paraId="49E0E796" w14:textId="77777777" w:rsidR="00E14418" w:rsidRDefault="00E14418" w:rsidP="00E14418">
      <w:pPr>
        <w:ind w:firstLine="720"/>
        <w:jc w:val="both"/>
        <w:rPr>
          <w:b/>
        </w:rPr>
      </w:pPr>
      <w:r>
        <w:rPr>
          <w:b/>
        </w:rPr>
        <w:t xml:space="preserve">V. </w:t>
      </w:r>
      <w:r>
        <w:rPr>
          <w:b/>
          <w:lang w:val="sr-Cyrl-RS"/>
        </w:rPr>
        <w:t>РАЗЛОЗИ ЗА СТУПАЊЕ НА СНАГУ ЗАКОНА ПРЕ ОСМОГ ДАНА ОД ДАНА ОБЈАВЉИВАЊА У „СЛУЖБЕНОМ ГЛАСНИКУ РЕПУБЛИКЕ СРБИЈЕˮ</w:t>
      </w:r>
    </w:p>
    <w:p w14:paraId="54214F37" w14:textId="77777777" w:rsidR="00E14418" w:rsidRDefault="00E14418" w:rsidP="00E14418">
      <w:pPr>
        <w:ind w:firstLine="720"/>
        <w:jc w:val="both"/>
      </w:pPr>
    </w:p>
    <w:p w14:paraId="1CE8D623" w14:textId="77777777" w:rsidR="00E14418" w:rsidRDefault="00E14418" w:rsidP="00E14418">
      <w:pPr>
        <w:ind w:firstLine="720"/>
        <w:jc w:val="both"/>
        <w:rPr>
          <w:b/>
        </w:rPr>
      </w:pPr>
      <w:r>
        <w:rPr>
          <w:lang w:val="sr-Cyrl-RS"/>
        </w:rPr>
        <w:t>Потребно је да овај закон ступи на снагу даном објављивања</w:t>
      </w:r>
      <w:r>
        <w:t xml:space="preserve"> у „Службеном гласнику Републике Србије</w:t>
      </w:r>
      <w:r>
        <w:rPr>
          <w:bCs/>
        </w:rPr>
        <w:t>”</w:t>
      </w:r>
      <w:r>
        <w:rPr>
          <w:bCs/>
          <w:lang w:val="sr-Cyrl-RS"/>
        </w:rPr>
        <w:t xml:space="preserve">, </w:t>
      </w:r>
      <w:r>
        <w:rPr>
          <w:lang w:val="sr-Cyrl-RS"/>
        </w:rPr>
        <w:t>ради испуњења обавеза и поступања у роковима који су прописани Уставним законом за спровођење Акта о промени Устава Републике Србије.</w:t>
      </w:r>
    </w:p>
    <w:p w14:paraId="2B6BB86F" w14:textId="77777777" w:rsidR="00E84328" w:rsidRDefault="00E84328" w:rsidP="00E84328">
      <w:pPr>
        <w:tabs>
          <w:tab w:val="left" w:pos="855"/>
        </w:tabs>
        <w:jc w:val="both"/>
        <w:rPr>
          <w:lang w:val="sr-Cyrl-RS"/>
        </w:rPr>
      </w:pPr>
    </w:p>
    <w:p w14:paraId="5E8F4B3F" w14:textId="77777777" w:rsidR="00E84328" w:rsidRDefault="00E84328" w:rsidP="00E84328">
      <w:pPr>
        <w:tabs>
          <w:tab w:val="left" w:pos="855"/>
        </w:tabs>
        <w:jc w:val="both"/>
        <w:rPr>
          <w:lang w:val="sr-Cyrl-RS"/>
        </w:rPr>
      </w:pPr>
    </w:p>
    <w:p w14:paraId="3A469052" w14:textId="77777777" w:rsidR="00E84328" w:rsidRDefault="00E84328" w:rsidP="00E84328">
      <w:pPr>
        <w:tabs>
          <w:tab w:val="left" w:pos="855"/>
        </w:tabs>
        <w:jc w:val="both"/>
        <w:rPr>
          <w:lang w:val="sr-Cyrl-RS"/>
        </w:rPr>
      </w:pPr>
    </w:p>
    <w:p w14:paraId="401B6ADD" w14:textId="77777777" w:rsidR="00E84328" w:rsidRDefault="00E84328" w:rsidP="00E84328">
      <w:pPr>
        <w:tabs>
          <w:tab w:val="left" w:pos="855"/>
        </w:tabs>
        <w:jc w:val="both"/>
        <w:rPr>
          <w:lang w:val="sr-Cyrl-RS"/>
        </w:rPr>
      </w:pPr>
    </w:p>
    <w:p w14:paraId="76DF684A" w14:textId="77777777" w:rsidR="00E84328" w:rsidRDefault="00E84328" w:rsidP="00E84328">
      <w:pPr>
        <w:tabs>
          <w:tab w:val="left" w:pos="855"/>
        </w:tabs>
        <w:jc w:val="both"/>
        <w:rPr>
          <w:lang w:val="sr-Cyrl-RS"/>
        </w:rPr>
      </w:pPr>
    </w:p>
    <w:p w14:paraId="73B0CE13" w14:textId="77777777" w:rsidR="00E84328" w:rsidRDefault="00E84328" w:rsidP="00E84328">
      <w:pPr>
        <w:tabs>
          <w:tab w:val="left" w:pos="855"/>
        </w:tabs>
        <w:jc w:val="both"/>
        <w:rPr>
          <w:lang w:val="sr-Cyrl-RS"/>
        </w:rPr>
      </w:pPr>
    </w:p>
    <w:p w14:paraId="60DE9E05" w14:textId="77777777" w:rsidR="00300D8F" w:rsidRDefault="00300D8F"/>
    <w:sectPr w:rsidR="00300D8F" w:rsidSect="00E84328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1565E" w14:textId="77777777" w:rsidR="00F04B34" w:rsidRDefault="00F04B34" w:rsidP="00E84328">
      <w:r>
        <w:separator/>
      </w:r>
    </w:p>
  </w:endnote>
  <w:endnote w:type="continuationSeparator" w:id="0">
    <w:p w14:paraId="47F7FDA7" w14:textId="77777777" w:rsidR="00F04B34" w:rsidRDefault="00F04B34" w:rsidP="00E8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FDAB4" w14:textId="77777777" w:rsidR="00F04B34" w:rsidRDefault="00F04B34" w:rsidP="00E84328">
      <w:r>
        <w:separator/>
      </w:r>
    </w:p>
  </w:footnote>
  <w:footnote w:type="continuationSeparator" w:id="0">
    <w:p w14:paraId="6E42F352" w14:textId="77777777" w:rsidR="00F04B34" w:rsidRDefault="00F04B34" w:rsidP="00E84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11144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627A0C" w14:textId="77777777" w:rsidR="00E84328" w:rsidRDefault="00E8432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2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F0E576" w14:textId="77777777" w:rsidR="00E84328" w:rsidRDefault="00E843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B0F"/>
    <w:rsid w:val="001D52D5"/>
    <w:rsid w:val="00300D8F"/>
    <w:rsid w:val="006A3642"/>
    <w:rsid w:val="008F7B0F"/>
    <w:rsid w:val="009A429A"/>
    <w:rsid w:val="00AE2941"/>
    <w:rsid w:val="00D47656"/>
    <w:rsid w:val="00E14418"/>
    <w:rsid w:val="00E84328"/>
    <w:rsid w:val="00F0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92316"/>
  <w15:chartTrackingRefBased/>
  <w15:docId w15:val="{9D666C18-380E-4CD8-83D6-CF941429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E8432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843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3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43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32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6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5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4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2023-01-17T13:21:00Z</cp:lastPrinted>
  <dcterms:created xsi:type="dcterms:W3CDTF">2023-01-18T14:01:00Z</dcterms:created>
  <dcterms:modified xsi:type="dcterms:W3CDTF">2023-01-18T14:01:00Z</dcterms:modified>
</cp:coreProperties>
</file>