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04D" w:rsidRPr="00610560" w:rsidRDefault="00790C84" w:rsidP="00790C84">
      <w:pPr>
        <w:shd w:val="clear" w:color="auto" w:fill="FFFFFF"/>
        <w:ind w:right="62"/>
        <w:jc w:val="center"/>
        <w:rPr>
          <w:b/>
          <w:bCs/>
          <w:color w:val="000000"/>
          <w:spacing w:val="-12"/>
          <w:sz w:val="24"/>
          <w:szCs w:val="24"/>
          <w:lang w:val="sr-Cyrl-CS"/>
        </w:rPr>
      </w:pPr>
      <w:r>
        <w:rPr>
          <w:b/>
          <w:bCs/>
          <w:color w:val="000000"/>
          <w:spacing w:val="-12"/>
          <w:sz w:val="24"/>
          <w:szCs w:val="24"/>
          <w:lang w:val="sr-Cyrl-CS"/>
        </w:rPr>
        <w:t>ОБРАЗЛОЖЕЊЕ</w:t>
      </w:r>
    </w:p>
    <w:p w:rsidR="0030004D" w:rsidRPr="00610560" w:rsidRDefault="0030004D" w:rsidP="0030004D">
      <w:pPr>
        <w:shd w:val="clear" w:color="auto" w:fill="FFFFFF"/>
        <w:ind w:right="62"/>
        <w:jc w:val="center"/>
        <w:rPr>
          <w:sz w:val="24"/>
          <w:szCs w:val="24"/>
          <w:lang w:val="ru-RU"/>
        </w:rPr>
      </w:pPr>
    </w:p>
    <w:p w:rsidR="00CA7F81" w:rsidRDefault="0030004D" w:rsidP="00CA7F81">
      <w:pPr>
        <w:shd w:val="clear" w:color="auto" w:fill="FFFFFF"/>
        <w:tabs>
          <w:tab w:val="left" w:pos="245"/>
        </w:tabs>
        <w:rPr>
          <w:sz w:val="24"/>
          <w:szCs w:val="24"/>
          <w:lang w:val="ru-RU"/>
        </w:rPr>
      </w:pPr>
      <w:r w:rsidRPr="00610560">
        <w:rPr>
          <w:b/>
          <w:bCs/>
          <w:iCs/>
          <w:color w:val="000000"/>
          <w:spacing w:val="-9"/>
          <w:sz w:val="24"/>
          <w:szCs w:val="24"/>
        </w:rPr>
        <w:t>I.</w:t>
      </w:r>
      <w:r w:rsidRPr="00610560">
        <w:rPr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610560">
        <w:rPr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:rsidR="005A0B12" w:rsidRDefault="00AF045F" w:rsidP="00333A9D">
      <w:pPr>
        <w:shd w:val="clear" w:color="auto" w:fill="FFFFFF"/>
        <w:tabs>
          <w:tab w:val="left" w:pos="245"/>
        </w:tabs>
        <w:jc w:val="both"/>
        <w:rPr>
          <w:sz w:val="24"/>
          <w:szCs w:val="24"/>
          <w:lang w:val="ru-RU"/>
        </w:rPr>
      </w:pPr>
      <w:r>
        <w:rPr>
          <w:color w:val="000000"/>
          <w:spacing w:val="7"/>
          <w:sz w:val="24"/>
          <w:szCs w:val="24"/>
          <w:lang w:val="ru-RU"/>
        </w:rPr>
        <w:tab/>
      </w:r>
      <w:r>
        <w:rPr>
          <w:color w:val="000000"/>
          <w:spacing w:val="7"/>
          <w:sz w:val="24"/>
          <w:szCs w:val="24"/>
          <w:lang w:val="ru-RU"/>
        </w:rPr>
        <w:tab/>
      </w:r>
      <w:r w:rsidR="0030004D" w:rsidRPr="00610560">
        <w:rPr>
          <w:color w:val="000000"/>
          <w:spacing w:val="7"/>
          <w:sz w:val="24"/>
          <w:szCs w:val="24"/>
          <w:lang w:val="ru-RU"/>
        </w:rPr>
        <w:t xml:space="preserve">Уставни </w:t>
      </w:r>
      <w:r w:rsidR="0030004D" w:rsidRPr="00610560">
        <w:rPr>
          <w:color w:val="000000"/>
          <w:spacing w:val="7"/>
          <w:sz w:val="24"/>
          <w:szCs w:val="24"/>
          <w:lang w:val="sr-Cyrl-CS"/>
        </w:rPr>
        <w:t>основ за доношење Закона о потврђивању</w:t>
      </w:r>
      <w:r w:rsidR="0030004D" w:rsidRPr="0030004D">
        <w:rPr>
          <w:sz w:val="24"/>
          <w:szCs w:val="24"/>
          <w:lang w:val="sr-Cyrl-RS"/>
        </w:rPr>
        <w:t xml:space="preserve"> </w:t>
      </w:r>
      <w:r w:rsidR="005A0B12" w:rsidRPr="00141C57">
        <w:rPr>
          <w:sz w:val="24"/>
          <w:szCs w:val="24"/>
          <w:lang w:val="sr-Cyrl-RS"/>
        </w:rPr>
        <w:t>Споразум</w:t>
      </w:r>
      <w:r w:rsidR="005A0B12">
        <w:rPr>
          <w:sz w:val="24"/>
          <w:szCs w:val="24"/>
          <w:lang w:val="sr-Cyrl-RS"/>
        </w:rPr>
        <w:t>а</w:t>
      </w:r>
      <w:r w:rsidR="005A0B12">
        <w:rPr>
          <w:b/>
          <w:sz w:val="24"/>
          <w:szCs w:val="24"/>
        </w:rPr>
        <w:t xml:space="preserve"> </w:t>
      </w:r>
      <w:r w:rsidR="005A0B12" w:rsidRPr="00F91248">
        <w:rPr>
          <w:sz w:val="24"/>
          <w:szCs w:val="24"/>
          <w:lang w:val="sr-Cyrl-RS"/>
        </w:rPr>
        <w:t>између Републике Србије и Европске уније о учешћу Републике Србије у програму Европске уније Хоризонт Европа – оквирном програму за истраживање и иновације</w:t>
      </w:r>
      <w:r w:rsidR="005A0B12" w:rsidRPr="00BA2D5F">
        <w:rPr>
          <w:sz w:val="24"/>
          <w:szCs w:val="24"/>
          <w:lang w:val="sr-Cyrl-RS"/>
        </w:rPr>
        <w:t>,</w:t>
      </w:r>
      <w:r w:rsidR="005A0B12">
        <w:rPr>
          <w:b/>
          <w:sz w:val="24"/>
          <w:szCs w:val="24"/>
          <w:lang w:val="sr-Cyrl-RS"/>
        </w:rPr>
        <w:t xml:space="preserve"> </w:t>
      </w:r>
      <w:r w:rsidR="005A0B12">
        <w:rPr>
          <w:sz w:val="24"/>
          <w:szCs w:val="24"/>
          <w:lang w:val="sr-Cyrl-RS"/>
        </w:rPr>
        <w:t>сачињеног</w:t>
      </w:r>
      <w:r w:rsidR="005A0B12" w:rsidRPr="00F91248">
        <w:rPr>
          <w:sz w:val="24"/>
          <w:szCs w:val="24"/>
          <w:lang w:val="sr-Cyrl-RS"/>
        </w:rPr>
        <w:t xml:space="preserve"> у Београду, дана 1. децембра 2021. године и у Бриселу, дана </w:t>
      </w:r>
      <w:r w:rsidR="005A0B12" w:rsidRPr="00F91248">
        <w:rPr>
          <w:sz w:val="24"/>
          <w:szCs w:val="24"/>
          <w:lang w:val="en-IE"/>
        </w:rPr>
        <w:t>6</w:t>
      </w:r>
      <w:r w:rsidR="005A0B12" w:rsidRPr="00F91248">
        <w:rPr>
          <w:sz w:val="24"/>
          <w:szCs w:val="24"/>
          <w:lang w:val="sr-Cyrl-RS"/>
        </w:rPr>
        <w:t xml:space="preserve">. децембра 2021. </w:t>
      </w:r>
      <w:r w:rsidR="007D1DA7">
        <w:rPr>
          <w:sz w:val="24"/>
          <w:szCs w:val="24"/>
          <w:lang w:val="sr-Cyrl-RS"/>
        </w:rPr>
        <w:t>године</w:t>
      </w:r>
      <w:r w:rsidR="005A0B12">
        <w:rPr>
          <w:sz w:val="24"/>
          <w:szCs w:val="24"/>
          <w:lang w:val="sr-Cyrl-RS"/>
        </w:rPr>
        <w:t xml:space="preserve">, </w:t>
      </w:r>
      <w:r w:rsidR="0030004D" w:rsidRPr="00610560">
        <w:rPr>
          <w:color w:val="000000"/>
          <w:spacing w:val="7"/>
          <w:sz w:val="24"/>
          <w:szCs w:val="24"/>
          <w:lang w:val="sr-Cyrl-CS"/>
        </w:rPr>
        <w:t>садржан је у члану 99. став 1. тачка 4</w:t>
      </w:r>
      <w:r w:rsidR="00BA2D5F">
        <w:rPr>
          <w:color w:val="000000"/>
          <w:spacing w:val="7"/>
          <w:sz w:val="24"/>
          <w:szCs w:val="24"/>
          <w:lang w:val="sr-Cyrl-CS"/>
        </w:rPr>
        <w:t>.</w:t>
      </w:r>
      <w:r w:rsidR="0030004D" w:rsidRPr="00610560">
        <w:rPr>
          <w:color w:val="000000"/>
          <w:spacing w:val="7"/>
          <w:sz w:val="24"/>
          <w:szCs w:val="24"/>
          <w:lang w:val="sr-Cyrl-CS"/>
        </w:rPr>
        <w:t xml:space="preserve"> Устава Републике Србије</w:t>
      </w:r>
      <w:r w:rsidR="0030004D" w:rsidRPr="00610560">
        <w:rPr>
          <w:color w:val="000000"/>
          <w:spacing w:val="2"/>
          <w:sz w:val="24"/>
          <w:szCs w:val="24"/>
          <w:lang w:val="sr-Cyrl-CS"/>
        </w:rPr>
        <w:t>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:rsidR="00333A9D" w:rsidRPr="00333A9D" w:rsidRDefault="00333A9D" w:rsidP="00333A9D">
      <w:pPr>
        <w:shd w:val="clear" w:color="auto" w:fill="FFFFFF"/>
        <w:tabs>
          <w:tab w:val="left" w:pos="245"/>
        </w:tabs>
        <w:jc w:val="both"/>
        <w:rPr>
          <w:sz w:val="24"/>
          <w:szCs w:val="24"/>
          <w:lang w:val="ru-RU"/>
        </w:rPr>
      </w:pPr>
    </w:p>
    <w:p w:rsidR="00333A9D" w:rsidRPr="00333A9D" w:rsidRDefault="0030004D" w:rsidP="0030004D">
      <w:pPr>
        <w:shd w:val="clear" w:color="auto" w:fill="FFFFFF"/>
        <w:ind w:right="53"/>
        <w:jc w:val="both"/>
        <w:rPr>
          <w:b/>
          <w:sz w:val="24"/>
          <w:szCs w:val="24"/>
          <w:lang w:val="sr-Cyrl-RS"/>
        </w:rPr>
      </w:pPr>
      <w:r w:rsidRPr="00610560">
        <w:rPr>
          <w:b/>
          <w:sz w:val="24"/>
          <w:szCs w:val="24"/>
        </w:rPr>
        <w:t>II.</w:t>
      </w:r>
      <w:r w:rsidRPr="00610560">
        <w:rPr>
          <w:b/>
          <w:sz w:val="24"/>
          <w:szCs w:val="24"/>
          <w:lang w:val="ru-RU"/>
        </w:rPr>
        <w:t xml:space="preserve"> РАЗЛОЗИ ЗБОГ КОЈИХ СЕ ПРЕДЛАЖЕ </w:t>
      </w:r>
      <w:r w:rsidRPr="00610560">
        <w:rPr>
          <w:b/>
          <w:sz w:val="24"/>
          <w:szCs w:val="24"/>
          <w:lang w:val="sr-Cyrl-RS"/>
        </w:rPr>
        <w:t>ПОТВРЂИВАЊЕ СПОРАЗУМА</w:t>
      </w:r>
    </w:p>
    <w:p w:rsidR="005A0B12" w:rsidRPr="005A0B12" w:rsidRDefault="0030004D" w:rsidP="005A0B12">
      <w:pPr>
        <w:jc w:val="both"/>
        <w:rPr>
          <w:rFonts w:eastAsia="MS Mincho"/>
          <w:sz w:val="24"/>
          <w:szCs w:val="24"/>
          <w:lang w:val="sr-Cyrl-CS"/>
        </w:rPr>
      </w:pPr>
      <w:r>
        <w:rPr>
          <w:b/>
          <w:bCs/>
          <w:iCs/>
          <w:color w:val="000000"/>
          <w:spacing w:val="1"/>
          <w:sz w:val="24"/>
          <w:szCs w:val="24"/>
          <w:lang w:val="sr-Cyrl-RS"/>
        </w:rPr>
        <w:tab/>
      </w:r>
      <w:r w:rsidR="00461A20" w:rsidRPr="00461A20">
        <w:rPr>
          <w:rFonts w:eastAsia="MS Mincho"/>
          <w:sz w:val="24"/>
          <w:szCs w:val="24"/>
          <w:lang w:val="sr-Cyrl-CS"/>
        </w:rPr>
        <w:t>Државни интерес Републике Србије у приступању програму Европске уније Хоризонт Европа огледа се у проширивању могућности за приступање буџету Европске уније за истраживање, чиме ће се унапредити стање истраживачке делатности у Републици Србији и знатно поправити услови за бављење научним радом</w:t>
      </w:r>
      <w:r w:rsidR="005A0B12" w:rsidRPr="005A0B12">
        <w:rPr>
          <w:rFonts w:eastAsia="MS Mincho"/>
          <w:sz w:val="24"/>
          <w:szCs w:val="24"/>
          <w:lang w:val="sr-Cyrl-CS"/>
        </w:rPr>
        <w:t xml:space="preserve">. Српске научноистраживачке организације ће бити у равноправном положају према буџету Европске уније за истраживање и иновације као и организације из земаља пуноправних чланица Европске уније, чиме ће се донекле изједначити услови за научни рад у Републици Србији и у Европској унији и умањити један од главних узрока одласка младих високообразованих кадрова у иностранство – тзв. „одлив мозгова”. Кроз колаборационе истраживачке пројекте, који подразумевају конзорционо повезивање и тиме учешће у управљању пројектима, трајно ће се учврстити везе између истраживача у Републици Србији и њихових партнера у Европској унији. Представници Републике Србије у управним одборима Хоризонт Европа програма имаће прилику да утичу на политику истраживања и политику финансирања научне делатности на нивоу Европске уније. Како се пројекти додељују на компетитивној основи, може се очекивати да, уз ангажовано и координисано учествовање у Хоризонт Европа програму, прилив средстава у српске научноистраживачке организације буде већи од финансијског доприноса Републике Србије у буџету Европске уније. Кроз активно учешће у Хоризонт Европа програму ће започети и примена интегрисане политике истраживања, што је један од средњорочних приоритета Европског партнерства Републике Србије. </w:t>
      </w:r>
    </w:p>
    <w:p w:rsidR="00461A20" w:rsidRPr="00461A20" w:rsidRDefault="00461A20" w:rsidP="00AF045F">
      <w:pPr>
        <w:widowControl/>
        <w:autoSpaceDE/>
        <w:autoSpaceDN/>
        <w:adjustRightInd/>
        <w:ind w:firstLine="720"/>
        <w:jc w:val="both"/>
        <w:rPr>
          <w:rFonts w:eastAsia="MS Mincho"/>
          <w:sz w:val="24"/>
          <w:szCs w:val="24"/>
          <w:lang w:val="sr-Cyrl-CS"/>
        </w:rPr>
      </w:pPr>
      <w:r w:rsidRPr="00461A20">
        <w:rPr>
          <w:rFonts w:eastAsia="MS Mincho"/>
          <w:sz w:val="24"/>
          <w:szCs w:val="24"/>
          <w:lang w:val="sr-Cyrl-CS"/>
        </w:rPr>
        <w:t>Истраживачи из Србије су остварили значајне резултате у позивима за пријављивање пројеката у претходном програмском циклусу Хоризонт 2020. Према статистичким под</w:t>
      </w:r>
      <w:r>
        <w:rPr>
          <w:rFonts w:eastAsia="MS Mincho"/>
          <w:sz w:val="24"/>
          <w:szCs w:val="24"/>
          <w:lang w:val="sr-Cyrl-CS"/>
        </w:rPr>
        <w:t>ацима из децембра</w:t>
      </w:r>
      <w:r w:rsidRPr="00461A20">
        <w:rPr>
          <w:rFonts w:eastAsia="MS Mincho"/>
          <w:sz w:val="24"/>
          <w:szCs w:val="24"/>
          <w:lang w:val="sr-Cyrl-CS"/>
        </w:rPr>
        <w:t xml:space="preserve"> 2021. године институције из Републике Србије пријавиле су </w:t>
      </w:r>
      <w:r w:rsidRPr="00461A20">
        <w:rPr>
          <w:rFonts w:eastAsia="MS Mincho"/>
          <w:sz w:val="24"/>
          <w:szCs w:val="24"/>
        </w:rPr>
        <w:t>3113</w:t>
      </w:r>
      <w:r w:rsidRPr="00461A20">
        <w:rPr>
          <w:rFonts w:eastAsia="MS Mincho"/>
          <w:sz w:val="24"/>
          <w:szCs w:val="24"/>
          <w:lang w:val="sr-Cyrl-CS"/>
        </w:rPr>
        <w:t xml:space="preserve"> предлога пројеката од чега је </w:t>
      </w:r>
      <w:r>
        <w:rPr>
          <w:rFonts w:eastAsia="MS Mincho"/>
          <w:sz w:val="24"/>
          <w:szCs w:val="24"/>
        </w:rPr>
        <w:t>413</w:t>
      </w:r>
      <w:r w:rsidRPr="00461A20">
        <w:rPr>
          <w:rFonts w:eastAsia="MS Mincho"/>
          <w:sz w:val="24"/>
          <w:szCs w:val="24"/>
          <w:lang w:val="sr-Cyrl-CS"/>
        </w:rPr>
        <w:t xml:space="preserve"> финансирано од стране Европске комисије са уговореним буџетима који укупно износе </w:t>
      </w:r>
      <w:r>
        <w:rPr>
          <w:rFonts w:eastAsia="MS Mincho"/>
          <w:sz w:val="24"/>
          <w:szCs w:val="24"/>
        </w:rPr>
        <w:t>134.4</w:t>
      </w:r>
      <w:r w:rsidRPr="00461A20">
        <w:rPr>
          <w:rFonts w:eastAsia="MS Mincho"/>
          <w:sz w:val="24"/>
          <w:szCs w:val="24"/>
          <w:lang w:val="sr-Cyrl-CS"/>
        </w:rPr>
        <w:t xml:space="preserve"> милиона евра. Успешност наших институција је 11.</w:t>
      </w:r>
      <w:r w:rsidRPr="00461A20">
        <w:rPr>
          <w:rFonts w:eastAsia="MS Mincho"/>
          <w:sz w:val="24"/>
          <w:szCs w:val="24"/>
        </w:rPr>
        <w:t>37</w:t>
      </w:r>
      <w:r w:rsidRPr="00461A20">
        <w:rPr>
          <w:rFonts w:eastAsia="MS Mincho"/>
          <w:sz w:val="24"/>
          <w:szCs w:val="24"/>
          <w:lang w:val="sr-Cyrl-CS"/>
        </w:rPr>
        <w:t xml:space="preserve">% </w:t>
      </w:r>
      <w:r w:rsidRPr="00461A20">
        <w:rPr>
          <w:rFonts w:eastAsia="MS Mincho"/>
          <w:sz w:val="24"/>
          <w:szCs w:val="24"/>
          <w:lang w:val="sr-Cyrl-RS"/>
        </w:rPr>
        <w:t>док</w:t>
      </w:r>
      <w:r w:rsidRPr="00461A20">
        <w:rPr>
          <w:rFonts w:eastAsia="MS Mincho"/>
          <w:sz w:val="24"/>
          <w:szCs w:val="24"/>
        </w:rPr>
        <w:t xml:space="preserve"> </w:t>
      </w:r>
      <w:proofErr w:type="spellStart"/>
      <w:r w:rsidRPr="00461A20">
        <w:rPr>
          <w:rFonts w:eastAsia="MS Mincho"/>
          <w:sz w:val="24"/>
          <w:szCs w:val="24"/>
        </w:rPr>
        <w:t>европски</w:t>
      </w:r>
      <w:proofErr w:type="spellEnd"/>
      <w:r w:rsidRPr="00461A20">
        <w:rPr>
          <w:rFonts w:eastAsia="MS Mincho"/>
          <w:sz w:val="24"/>
          <w:szCs w:val="24"/>
        </w:rPr>
        <w:t xml:space="preserve"> </w:t>
      </w:r>
      <w:proofErr w:type="spellStart"/>
      <w:r w:rsidRPr="00461A20">
        <w:rPr>
          <w:rFonts w:eastAsia="MS Mincho"/>
          <w:sz w:val="24"/>
          <w:szCs w:val="24"/>
        </w:rPr>
        <w:t>просек</w:t>
      </w:r>
      <w:proofErr w:type="spellEnd"/>
      <w:r w:rsidRPr="00461A20">
        <w:rPr>
          <w:rFonts w:eastAsia="MS Mincho"/>
          <w:sz w:val="24"/>
          <w:szCs w:val="24"/>
        </w:rPr>
        <w:t xml:space="preserve"> </w:t>
      </w:r>
      <w:proofErr w:type="spellStart"/>
      <w:r w:rsidRPr="00461A20">
        <w:rPr>
          <w:rFonts w:eastAsia="MS Mincho"/>
          <w:sz w:val="24"/>
          <w:szCs w:val="24"/>
        </w:rPr>
        <w:t>износи</w:t>
      </w:r>
      <w:proofErr w:type="spellEnd"/>
      <w:r w:rsidRPr="00461A20">
        <w:rPr>
          <w:rFonts w:eastAsia="MS Mincho"/>
          <w:sz w:val="24"/>
          <w:szCs w:val="24"/>
        </w:rPr>
        <w:t xml:space="preserve"> 11.95</w:t>
      </w:r>
      <w:r w:rsidRPr="00461A20">
        <w:rPr>
          <w:rFonts w:eastAsia="MS Mincho"/>
          <w:sz w:val="24"/>
          <w:szCs w:val="24"/>
          <w:lang w:val="sr-Cyrl-RS"/>
        </w:rPr>
        <w:t xml:space="preserve">%. </w:t>
      </w:r>
      <w:r w:rsidRPr="00461A20">
        <w:rPr>
          <w:rFonts w:eastAsia="MS Mincho"/>
          <w:sz w:val="24"/>
          <w:szCs w:val="24"/>
          <w:lang w:val="sr-Cyrl-CS"/>
        </w:rPr>
        <w:t xml:space="preserve">Како смо уложили, односно платили чланарину за учешће у Хоризонт 2020 програму 94 милиона евра а кроз финансиране пројекте </w:t>
      </w:r>
      <w:r>
        <w:rPr>
          <w:rFonts w:eastAsia="MS Mincho"/>
          <w:sz w:val="24"/>
          <w:szCs w:val="24"/>
          <w:lang w:val="sr-Cyrl-CS"/>
        </w:rPr>
        <w:t>до сада повукли око 134.4</w:t>
      </w:r>
      <w:r w:rsidRPr="00461A20">
        <w:rPr>
          <w:rFonts w:eastAsia="MS Mincho"/>
          <w:sz w:val="24"/>
          <w:szCs w:val="24"/>
          <w:lang w:val="sr-Cyrl-CS"/>
        </w:rPr>
        <w:t xml:space="preserve"> милиона евра, Европска комисија нас ј</w:t>
      </w:r>
      <w:r>
        <w:rPr>
          <w:rFonts w:eastAsia="MS Mincho"/>
          <w:sz w:val="24"/>
          <w:szCs w:val="24"/>
          <w:lang w:val="sr-Cyrl-CS"/>
        </w:rPr>
        <w:t xml:space="preserve">е одредила као земљу са добрим </w:t>
      </w:r>
      <w:r w:rsidRPr="00461A20">
        <w:rPr>
          <w:rFonts w:eastAsia="MS Mincho"/>
          <w:sz w:val="24"/>
          <w:szCs w:val="24"/>
          <w:lang w:val="sr-Cyrl-CS"/>
        </w:rPr>
        <w:t xml:space="preserve">апсорпционим капацитетом и предложила придруживање наредном научном програму за истраживање и иновације – Хоризонт Европа. </w:t>
      </w:r>
    </w:p>
    <w:p w:rsidR="00461A20" w:rsidRPr="00461A20" w:rsidRDefault="00461A20" w:rsidP="00461A20">
      <w:pPr>
        <w:widowControl/>
        <w:autoSpaceDE/>
        <w:autoSpaceDN/>
        <w:adjustRightInd/>
        <w:jc w:val="both"/>
        <w:rPr>
          <w:rFonts w:eastAsia="MS Mincho"/>
          <w:sz w:val="24"/>
          <w:szCs w:val="24"/>
          <w:lang w:val="sr"/>
        </w:rPr>
      </w:pPr>
    </w:p>
    <w:p w:rsidR="00333A9D" w:rsidRDefault="00333A9D" w:rsidP="00461A20">
      <w:pPr>
        <w:widowControl/>
        <w:autoSpaceDE/>
        <w:autoSpaceDN/>
        <w:adjustRightInd/>
        <w:jc w:val="both"/>
        <w:rPr>
          <w:bCs/>
          <w:sz w:val="24"/>
          <w:szCs w:val="24"/>
          <w:lang w:val="sr"/>
        </w:rPr>
      </w:pPr>
    </w:p>
    <w:p w:rsidR="00333A9D" w:rsidRDefault="00333A9D" w:rsidP="00461A20">
      <w:pPr>
        <w:widowControl/>
        <w:autoSpaceDE/>
        <w:autoSpaceDN/>
        <w:adjustRightInd/>
        <w:jc w:val="both"/>
        <w:rPr>
          <w:bCs/>
          <w:sz w:val="24"/>
          <w:szCs w:val="24"/>
          <w:lang w:val="sr"/>
        </w:rPr>
      </w:pPr>
    </w:p>
    <w:p w:rsidR="005A0B12" w:rsidRDefault="00461A20" w:rsidP="00AF045F">
      <w:pPr>
        <w:widowControl/>
        <w:autoSpaceDE/>
        <w:autoSpaceDN/>
        <w:adjustRightInd/>
        <w:ind w:firstLine="720"/>
        <w:jc w:val="both"/>
        <w:rPr>
          <w:bCs/>
          <w:sz w:val="24"/>
          <w:szCs w:val="24"/>
          <w:lang w:val="sr-Cyrl-RS"/>
        </w:rPr>
      </w:pPr>
      <w:r w:rsidRPr="00461A20">
        <w:rPr>
          <w:bCs/>
          <w:sz w:val="24"/>
          <w:szCs w:val="24"/>
          <w:lang w:val="sr"/>
        </w:rPr>
        <w:lastRenderedPageBreak/>
        <w:t>Одржавање пуноправно</w:t>
      </w:r>
      <w:r w:rsidRPr="00461A20">
        <w:rPr>
          <w:bCs/>
          <w:sz w:val="24"/>
          <w:szCs w:val="24"/>
          <w:lang w:val="sr-Cyrl-RS"/>
        </w:rPr>
        <w:t>г</w:t>
      </w:r>
      <w:r w:rsidRPr="00461A20">
        <w:rPr>
          <w:bCs/>
          <w:sz w:val="24"/>
          <w:szCs w:val="24"/>
          <w:lang w:val="sr"/>
        </w:rPr>
        <w:t xml:space="preserve"> учешћа у програму за сарадњу у области </w:t>
      </w:r>
      <w:r w:rsidRPr="00461A20">
        <w:rPr>
          <w:bCs/>
          <w:sz w:val="24"/>
          <w:szCs w:val="24"/>
          <w:lang w:val="sr-Cyrl-RS"/>
        </w:rPr>
        <w:t xml:space="preserve">истраживања и иновација </w:t>
      </w:r>
      <w:r w:rsidRPr="00461A20">
        <w:rPr>
          <w:bCs/>
          <w:sz w:val="24"/>
          <w:szCs w:val="24"/>
          <w:lang w:val="sr"/>
        </w:rPr>
        <w:t xml:space="preserve">Европске уније је и једна од обавеза Републике Србије из Преговарачког поглавља 25: </w:t>
      </w:r>
      <w:r w:rsidRPr="00461A20">
        <w:rPr>
          <w:bCs/>
          <w:sz w:val="24"/>
          <w:szCs w:val="24"/>
          <w:lang w:val="sr-Cyrl-RS"/>
        </w:rPr>
        <w:t>Наука и истраживање.</w:t>
      </w:r>
    </w:p>
    <w:p w:rsidR="00461A20" w:rsidRPr="00461A20" w:rsidRDefault="00CA7F81" w:rsidP="00461A20">
      <w:pPr>
        <w:jc w:val="both"/>
        <w:rPr>
          <w:bCs/>
          <w:sz w:val="24"/>
          <w:szCs w:val="24"/>
          <w:lang w:val="sr"/>
        </w:rPr>
      </w:pPr>
      <w:r>
        <w:rPr>
          <w:sz w:val="24"/>
          <w:szCs w:val="24"/>
          <w:lang w:val="sr-Cyrl-RS"/>
        </w:rPr>
        <w:tab/>
      </w:r>
      <w:r w:rsidR="00461A20" w:rsidRPr="00461A20">
        <w:rPr>
          <w:bCs/>
          <w:sz w:val="24"/>
          <w:szCs w:val="24"/>
          <w:lang w:val="sr-Cyrl-RS"/>
        </w:rPr>
        <w:t xml:space="preserve">Након окончања процедура из чл. 9. став 2. и 10. Закона о закључивању и извршавању међународних уговора, Министарство просвете, науке и технолошког развоја, </w:t>
      </w:r>
      <w:r w:rsidR="00461A20" w:rsidRPr="00461A20">
        <w:rPr>
          <w:sz w:val="24"/>
          <w:szCs w:val="24"/>
          <w:lang w:val="sr-Cyrl-RS"/>
        </w:rPr>
        <w:t xml:space="preserve">у складу са чл. 11. и 12. </w:t>
      </w:r>
      <w:r w:rsidR="00461A20" w:rsidRPr="00461A20">
        <w:rPr>
          <w:bCs/>
          <w:sz w:val="24"/>
          <w:szCs w:val="24"/>
          <w:lang w:val="sr-Cyrl-RS"/>
        </w:rPr>
        <w:t xml:space="preserve">Закона о закључивању и извршавању </w:t>
      </w:r>
      <w:r w:rsidR="00674A8B">
        <w:rPr>
          <w:bCs/>
          <w:sz w:val="24"/>
          <w:szCs w:val="24"/>
          <w:lang w:val="sr-Cyrl-RS"/>
        </w:rPr>
        <w:t>међународних уговора, припремило је</w:t>
      </w:r>
      <w:r w:rsidR="00461A20" w:rsidRPr="00461A20">
        <w:rPr>
          <w:bCs/>
          <w:sz w:val="24"/>
          <w:szCs w:val="24"/>
          <w:lang w:val="sr-Cyrl-RS"/>
        </w:rPr>
        <w:t xml:space="preserve"> Закон о потврђивању </w:t>
      </w:r>
      <w:r w:rsidR="00461A20" w:rsidRPr="00461A20">
        <w:rPr>
          <w:bCs/>
          <w:sz w:val="24"/>
          <w:szCs w:val="24"/>
          <w:lang w:val="sr"/>
        </w:rPr>
        <w:t>Споразума између Републике Србије</w:t>
      </w:r>
      <w:r w:rsidR="00461A20" w:rsidRPr="00461A20">
        <w:rPr>
          <w:bCs/>
          <w:sz w:val="24"/>
          <w:szCs w:val="24"/>
          <w:lang w:val="sr-Cyrl-RS"/>
        </w:rPr>
        <w:t xml:space="preserve"> и Европске уније</w:t>
      </w:r>
      <w:r w:rsidR="00461A20" w:rsidRPr="00461A20">
        <w:rPr>
          <w:bCs/>
          <w:sz w:val="24"/>
          <w:szCs w:val="24"/>
          <w:lang w:val="sr"/>
        </w:rPr>
        <w:t xml:space="preserve"> о учешћу Републике Србије у програму </w:t>
      </w:r>
      <w:r w:rsidR="00461A20" w:rsidRPr="00461A20">
        <w:rPr>
          <w:bCs/>
          <w:sz w:val="24"/>
          <w:szCs w:val="24"/>
          <w:lang w:val="sr-Cyrl-RS"/>
        </w:rPr>
        <w:t xml:space="preserve">Европске уније </w:t>
      </w:r>
      <w:r w:rsidR="00461A20" w:rsidRPr="00461A20">
        <w:rPr>
          <w:bCs/>
          <w:sz w:val="24"/>
          <w:szCs w:val="24"/>
          <w:lang w:val="sr"/>
        </w:rPr>
        <w:t>Хоризонт Европа - Оквирном програму за истраживање и иновације</w:t>
      </w:r>
      <w:r w:rsidR="00461A20" w:rsidRPr="00461A20">
        <w:rPr>
          <w:bCs/>
          <w:sz w:val="24"/>
          <w:szCs w:val="24"/>
          <w:lang w:val="sr-Cyrl-RS"/>
        </w:rPr>
        <w:t xml:space="preserve">, тако да обезбеди да </w:t>
      </w:r>
      <w:r w:rsidR="00461A20" w:rsidRPr="00461A20">
        <w:rPr>
          <w:bCs/>
          <w:sz w:val="24"/>
          <w:szCs w:val="24"/>
          <w:lang w:val="sr-Cyrl-CS"/>
        </w:rPr>
        <w:t>поступак потврђивања закљученог Споразума буде покренут у року од 30 дана од датума његовог потписивања, у складу са законом.</w:t>
      </w:r>
      <w:r w:rsidR="00461A20" w:rsidRPr="00461A20">
        <w:rPr>
          <w:bCs/>
          <w:sz w:val="24"/>
          <w:szCs w:val="24"/>
          <w:lang w:val="sr-Cyrl-RS"/>
        </w:rPr>
        <w:t xml:space="preserve"> </w:t>
      </w:r>
    </w:p>
    <w:p w:rsidR="005A0B12" w:rsidRPr="00E94D8D" w:rsidRDefault="005A0B12" w:rsidP="00461A20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:rsidR="00B07C54" w:rsidRPr="00F35C3E" w:rsidRDefault="00B263C2" w:rsidP="00F35C3E">
      <w:pPr>
        <w:ind w:firstLine="720"/>
        <w:jc w:val="center"/>
        <w:rPr>
          <w:b/>
          <w:bCs/>
          <w:sz w:val="24"/>
          <w:szCs w:val="24"/>
          <w:lang w:val="sr-Cyrl-RS"/>
        </w:rPr>
      </w:pPr>
      <w:r>
        <w:rPr>
          <w:b/>
          <w:bCs/>
          <w:sz w:val="24"/>
          <w:szCs w:val="24"/>
          <w:lang w:val="sr-Latn-RS"/>
        </w:rPr>
        <w:t>III</w:t>
      </w:r>
      <w:r w:rsidR="00AF045F">
        <w:rPr>
          <w:b/>
          <w:bCs/>
          <w:sz w:val="24"/>
          <w:szCs w:val="24"/>
          <w:lang w:val="sr-Latn-RS"/>
        </w:rPr>
        <w:t>.</w:t>
      </w:r>
      <w:r>
        <w:rPr>
          <w:b/>
          <w:bCs/>
          <w:sz w:val="24"/>
          <w:szCs w:val="24"/>
          <w:lang w:val="sr-Latn-RS"/>
        </w:rPr>
        <w:t xml:space="preserve"> </w:t>
      </w:r>
      <w:r>
        <w:rPr>
          <w:b/>
          <w:bCs/>
          <w:sz w:val="24"/>
          <w:szCs w:val="24"/>
          <w:lang w:val="sr-Cyrl-RS"/>
        </w:rPr>
        <w:t xml:space="preserve">ПРОЦЕНА </w:t>
      </w:r>
      <w:r w:rsidR="00F35C3E">
        <w:rPr>
          <w:b/>
          <w:bCs/>
          <w:sz w:val="24"/>
          <w:szCs w:val="24"/>
          <w:lang w:val="sr-Cyrl-RS"/>
        </w:rPr>
        <w:t>ПОТРЕБНИХ ФИНАНСИЈСКИХ СРЕДСТАВА ЗА ИЗВРШЕЊЕ СПОРАЗУМА</w:t>
      </w:r>
    </w:p>
    <w:p w:rsidR="00B263C2" w:rsidRDefault="00AF045F" w:rsidP="00B263C2">
      <w:pPr>
        <w:tabs>
          <w:tab w:val="left" w:pos="90"/>
        </w:tabs>
        <w:spacing w:before="129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 w:rsidR="00B263C2">
        <w:rPr>
          <w:sz w:val="24"/>
          <w:szCs w:val="24"/>
          <w:lang w:val="sr-Cyrl-CS"/>
        </w:rPr>
        <w:t>Планирана средств</w:t>
      </w:r>
      <w:r w:rsidR="008E721B">
        <w:rPr>
          <w:sz w:val="24"/>
          <w:szCs w:val="24"/>
          <w:lang w:val="sr-Cyrl-CS"/>
        </w:rPr>
        <w:t>а за реализацију овог закона</w:t>
      </w:r>
      <w:r w:rsidR="007D1DA7">
        <w:rPr>
          <w:sz w:val="24"/>
          <w:szCs w:val="24"/>
          <w:lang w:val="sr-Cyrl-CS"/>
        </w:rPr>
        <w:t xml:space="preserve"> у 2023. години </w:t>
      </w:r>
      <w:r w:rsidR="00B263C2">
        <w:rPr>
          <w:sz w:val="24"/>
          <w:szCs w:val="24"/>
          <w:lang w:val="sr-Cyrl-CS"/>
        </w:rPr>
        <w:t>су 3.000.000.000 динара а у 2024. години су 2</w:t>
      </w:r>
      <w:bookmarkStart w:id="0" w:name="_GoBack"/>
      <w:bookmarkEnd w:id="0"/>
      <w:r w:rsidR="00B263C2">
        <w:rPr>
          <w:sz w:val="24"/>
          <w:szCs w:val="24"/>
          <w:lang w:val="sr-Cyrl-CS"/>
        </w:rPr>
        <w:t>.500.000.000 динара, и биће у оквиру лимита одређеног од стране Министарства финансија у складу са билансним могућностима буџета Републике Србије.</w:t>
      </w:r>
    </w:p>
    <w:p w:rsidR="00F37D6E" w:rsidRDefault="00BA2D5F" w:rsidP="00B263C2">
      <w:pPr>
        <w:widowControl/>
        <w:autoSpaceDE/>
        <w:autoSpaceDN/>
        <w:adjustRightInd/>
        <w:jc w:val="both"/>
      </w:pPr>
    </w:p>
    <w:sectPr w:rsidR="00F37D6E" w:rsidSect="00AF045F">
      <w:headerReference w:type="default" r:id="rId6"/>
      <w:pgSz w:w="11909" w:h="16834"/>
      <w:pgMar w:top="1440" w:right="1941" w:bottom="720" w:left="208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45F" w:rsidRDefault="00AF045F" w:rsidP="00AF045F">
      <w:r>
        <w:separator/>
      </w:r>
    </w:p>
  </w:endnote>
  <w:endnote w:type="continuationSeparator" w:id="0">
    <w:p w:rsidR="00AF045F" w:rsidRDefault="00AF045F" w:rsidP="00AF0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45F" w:rsidRDefault="00AF045F" w:rsidP="00AF045F">
      <w:r>
        <w:separator/>
      </w:r>
    </w:p>
  </w:footnote>
  <w:footnote w:type="continuationSeparator" w:id="0">
    <w:p w:rsidR="00AF045F" w:rsidRDefault="00AF045F" w:rsidP="00AF0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9192369"/>
      <w:docPartObj>
        <w:docPartGallery w:val="Page Numbers (Top of Page)"/>
        <w:docPartUnique/>
      </w:docPartObj>
    </w:sdtPr>
    <w:sdtEndPr>
      <w:rPr>
        <w:noProof/>
      </w:rPr>
    </w:sdtEndPr>
    <w:sdtContent>
      <w:p w:rsidR="00AF045F" w:rsidRDefault="00AF045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2D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045F" w:rsidRDefault="00AF04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CDD"/>
    <w:rsid w:val="00070171"/>
    <w:rsid w:val="002C595D"/>
    <w:rsid w:val="002D5DE8"/>
    <w:rsid w:val="0030004D"/>
    <w:rsid w:val="00333A9D"/>
    <w:rsid w:val="00455A54"/>
    <w:rsid w:val="00461A20"/>
    <w:rsid w:val="00521049"/>
    <w:rsid w:val="00537576"/>
    <w:rsid w:val="005A0B12"/>
    <w:rsid w:val="0064372B"/>
    <w:rsid w:val="00652939"/>
    <w:rsid w:val="00674A8B"/>
    <w:rsid w:val="006C347F"/>
    <w:rsid w:val="007347E6"/>
    <w:rsid w:val="00790C84"/>
    <w:rsid w:val="007D1DA7"/>
    <w:rsid w:val="00800B59"/>
    <w:rsid w:val="00852E0E"/>
    <w:rsid w:val="008609F0"/>
    <w:rsid w:val="008751E7"/>
    <w:rsid w:val="008D43F0"/>
    <w:rsid w:val="008E721B"/>
    <w:rsid w:val="009745C2"/>
    <w:rsid w:val="00A42ED6"/>
    <w:rsid w:val="00AD0CDD"/>
    <w:rsid w:val="00AF045F"/>
    <w:rsid w:val="00AF7391"/>
    <w:rsid w:val="00B07C54"/>
    <w:rsid w:val="00B2394A"/>
    <w:rsid w:val="00B24A15"/>
    <w:rsid w:val="00B263C2"/>
    <w:rsid w:val="00BA2D5F"/>
    <w:rsid w:val="00C04BDD"/>
    <w:rsid w:val="00C91412"/>
    <w:rsid w:val="00CA7F81"/>
    <w:rsid w:val="00CD0940"/>
    <w:rsid w:val="00DC4EF5"/>
    <w:rsid w:val="00E06581"/>
    <w:rsid w:val="00E540A3"/>
    <w:rsid w:val="00F35C3E"/>
    <w:rsid w:val="00F65B76"/>
    <w:rsid w:val="00FE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E1BB6"/>
  <w15:chartTrackingRefBased/>
  <w15:docId w15:val="{868E0D13-4876-47EC-A2F4-7C4E74E9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0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F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04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45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F04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45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E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EF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1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MoESTD</dc:creator>
  <cp:keywords/>
  <dc:description/>
  <cp:lastModifiedBy>Daktilobiro07</cp:lastModifiedBy>
  <cp:revision>8</cp:revision>
  <cp:lastPrinted>2023-01-12T08:09:00Z</cp:lastPrinted>
  <dcterms:created xsi:type="dcterms:W3CDTF">2023-01-09T13:52:00Z</dcterms:created>
  <dcterms:modified xsi:type="dcterms:W3CDTF">2023-01-12T08:09:00Z</dcterms:modified>
</cp:coreProperties>
</file>