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4B973D" w14:textId="79287CC7" w:rsidR="004E26BF" w:rsidRPr="0068493E" w:rsidRDefault="0068493E" w:rsidP="004E26BF">
      <w:pPr>
        <w:jc w:val="center"/>
        <w:rPr>
          <w:rFonts w:ascii="Times New Roman" w:hAnsi="Times New Roman" w:cs="Times New Roman"/>
          <w:b/>
          <w:sz w:val="24"/>
          <w:szCs w:val="24"/>
          <w:lang w:val="sr-Cyrl-CS"/>
        </w:rPr>
      </w:pPr>
      <w:r w:rsidRPr="0068493E">
        <w:rPr>
          <w:rFonts w:ascii="Times New Roman" w:hAnsi="Times New Roman" w:cs="Times New Roman"/>
          <w:b/>
          <w:sz w:val="24"/>
          <w:szCs w:val="24"/>
          <w:lang w:val="sr-Cyrl-CS"/>
        </w:rPr>
        <w:t xml:space="preserve">VI. </w:t>
      </w:r>
      <w:r w:rsidR="004E26BF" w:rsidRPr="0068493E">
        <w:rPr>
          <w:rFonts w:ascii="Times New Roman" w:hAnsi="Times New Roman" w:cs="Times New Roman"/>
          <w:b/>
          <w:sz w:val="24"/>
          <w:szCs w:val="24"/>
          <w:lang w:val="sr-Cyrl-CS"/>
        </w:rPr>
        <w:t>АНАЛИЗА ЕФЕКАТА</w:t>
      </w:r>
      <w:r w:rsidRPr="0068493E">
        <w:rPr>
          <w:rFonts w:ascii="Times New Roman" w:hAnsi="Times New Roman" w:cs="Times New Roman"/>
          <w:b/>
          <w:sz w:val="24"/>
          <w:szCs w:val="24"/>
          <w:lang w:val="sr-Cyrl-CS"/>
        </w:rPr>
        <w:t xml:space="preserve"> ЗАКОНА</w:t>
      </w:r>
    </w:p>
    <w:p w14:paraId="5D4E00CB" w14:textId="77777777" w:rsidR="004E26BF" w:rsidRPr="0068493E" w:rsidRDefault="004E26BF">
      <w:pPr>
        <w:rPr>
          <w:rFonts w:ascii="Times New Roman" w:hAnsi="Times New Roman" w:cs="Times New Roman"/>
          <w:sz w:val="24"/>
          <w:szCs w:val="24"/>
          <w:lang w:val="sr-Cyrl-CS"/>
        </w:rPr>
      </w:pPr>
    </w:p>
    <w:p w14:paraId="14815FF6" w14:textId="7AB63688" w:rsidR="004E26BF" w:rsidRPr="0068493E" w:rsidRDefault="004E26BF" w:rsidP="00BC3CC9">
      <w:pPr>
        <w:spacing w:line="240" w:lineRule="auto"/>
        <w:rPr>
          <w:rFonts w:ascii="Times New Roman" w:hAnsi="Times New Roman" w:cs="Times New Roman"/>
          <w:b/>
          <w:sz w:val="24"/>
          <w:szCs w:val="24"/>
          <w:lang w:val="sr-Cyrl-CS"/>
        </w:rPr>
      </w:pPr>
      <w:r w:rsidRPr="0068493E">
        <w:rPr>
          <w:rFonts w:ascii="Times New Roman" w:hAnsi="Times New Roman" w:cs="Times New Roman"/>
          <w:b/>
          <w:sz w:val="24"/>
          <w:szCs w:val="24"/>
          <w:lang w:val="sr-Cyrl-CS"/>
        </w:rPr>
        <w:t>Одређивање проблема које</w:t>
      </w:r>
      <w:r w:rsidR="0068493E" w:rsidRPr="0068493E">
        <w:rPr>
          <w:rFonts w:ascii="Times New Roman" w:hAnsi="Times New Roman" w:cs="Times New Roman"/>
          <w:b/>
          <w:sz w:val="24"/>
          <w:szCs w:val="24"/>
          <w:lang w:val="sr-Cyrl-CS"/>
        </w:rPr>
        <w:t xml:space="preserve"> овај</w:t>
      </w:r>
      <w:r w:rsidRPr="0068493E">
        <w:rPr>
          <w:rFonts w:ascii="Times New Roman" w:hAnsi="Times New Roman" w:cs="Times New Roman"/>
          <w:b/>
          <w:sz w:val="24"/>
          <w:szCs w:val="24"/>
          <w:lang w:val="sr-Cyrl-CS"/>
        </w:rPr>
        <w:t xml:space="preserve"> закон треба да реши </w:t>
      </w:r>
    </w:p>
    <w:p w14:paraId="424B2FA4" w14:textId="46A3AF8B" w:rsidR="00814EF1" w:rsidRPr="0068493E" w:rsidRDefault="00B86B54" w:rsidP="00BC3CC9">
      <w:pPr>
        <w:spacing w:line="240" w:lineRule="auto"/>
        <w:jc w:val="both"/>
        <w:rPr>
          <w:rFonts w:ascii="Times New Roman" w:hAnsi="Times New Roman" w:cs="Times New Roman"/>
          <w:sz w:val="24"/>
          <w:szCs w:val="24"/>
          <w:lang w:val="sr-Cyrl-CS"/>
        </w:rPr>
      </w:pPr>
      <w:r w:rsidRPr="0068493E">
        <w:rPr>
          <w:rFonts w:ascii="Times New Roman" w:hAnsi="Times New Roman" w:cs="Times New Roman"/>
          <w:sz w:val="24"/>
          <w:szCs w:val="24"/>
          <w:lang w:val="sr-Cyrl-CS"/>
        </w:rPr>
        <w:t xml:space="preserve"> </w:t>
      </w:r>
      <w:r w:rsidR="004E26BF" w:rsidRPr="0068493E">
        <w:rPr>
          <w:rFonts w:ascii="Times New Roman" w:hAnsi="Times New Roman" w:cs="Times New Roman"/>
          <w:sz w:val="24"/>
          <w:szCs w:val="24"/>
          <w:lang w:val="sr-Cyrl-CS"/>
        </w:rPr>
        <w:t>Стање правне уређености у примени Закона о управљању отпадом указује на: правне празнине; међусобну неусаглашеност са другим законима; међусобну неусаглашеност одредаба важећег закона; недостатке и непрецизности, у погледу материјално-правних решења важећег закона и његове примене у пракси, као и неусаглашеност са Директивама ЕУ.</w:t>
      </w:r>
    </w:p>
    <w:p w14:paraId="596F8729" w14:textId="785662CE" w:rsidR="004E26BF" w:rsidRPr="0068493E" w:rsidRDefault="004E26BF" w:rsidP="00BC3CC9">
      <w:pPr>
        <w:spacing w:line="240" w:lineRule="auto"/>
        <w:jc w:val="both"/>
        <w:rPr>
          <w:rFonts w:ascii="Times New Roman" w:hAnsi="Times New Roman" w:cs="Times New Roman"/>
          <w:sz w:val="24"/>
          <w:szCs w:val="24"/>
          <w:lang w:val="sr-Cyrl-CS"/>
        </w:rPr>
      </w:pPr>
      <w:r w:rsidRPr="0068493E">
        <w:rPr>
          <w:rFonts w:ascii="Times New Roman" w:hAnsi="Times New Roman" w:cs="Times New Roman"/>
          <w:sz w:val="24"/>
          <w:szCs w:val="24"/>
          <w:lang w:val="sr-Cyrl-CS"/>
        </w:rPr>
        <w:t>Досадашња пракса одавно је наметала одређене измене и допуне законских одредаба у овој области и указала у ком правцу и обиму би оне требало да буду извршене ради ефикаснијег и потпунијег система управљања отпадом, као и постизања ефикасније заштите животне средине уз одрживи привредни развој.</w:t>
      </w:r>
    </w:p>
    <w:p w14:paraId="15FB85FD" w14:textId="02A98C12" w:rsidR="00BA21FC" w:rsidRPr="0068493E" w:rsidRDefault="00BA21FC" w:rsidP="00BC3CC9">
      <w:pPr>
        <w:spacing w:line="240" w:lineRule="auto"/>
        <w:jc w:val="both"/>
        <w:rPr>
          <w:rFonts w:ascii="Times New Roman" w:hAnsi="Times New Roman" w:cs="Times New Roman"/>
          <w:sz w:val="24"/>
          <w:szCs w:val="24"/>
          <w:lang w:val="sr-Cyrl-CS"/>
        </w:rPr>
      </w:pPr>
      <w:r w:rsidRPr="0068493E">
        <w:rPr>
          <w:rFonts w:ascii="Times New Roman" w:hAnsi="Times New Roman" w:cs="Times New Roman"/>
          <w:sz w:val="24"/>
          <w:szCs w:val="24"/>
          <w:lang w:val="sr-Cyrl-CS"/>
        </w:rPr>
        <w:t>Проблеми који су уочени у току примене овог прописа односе се на недовољно прецизно утврђене границе надлежнос</w:t>
      </w:r>
      <w:r w:rsidR="0068493E">
        <w:rPr>
          <w:rFonts w:ascii="Times New Roman" w:hAnsi="Times New Roman" w:cs="Times New Roman"/>
          <w:sz w:val="24"/>
          <w:szCs w:val="24"/>
          <w:lang w:val="sr-Cyrl-CS"/>
        </w:rPr>
        <w:t>т</w:t>
      </w:r>
      <w:r w:rsidRPr="0068493E">
        <w:rPr>
          <w:rFonts w:ascii="Times New Roman" w:hAnsi="Times New Roman" w:cs="Times New Roman"/>
          <w:sz w:val="24"/>
          <w:szCs w:val="24"/>
          <w:lang w:val="sr-Cyrl-CS"/>
        </w:rPr>
        <w:t>и за издавање дозвола за управљање отпадом. Указала се потреба за дефинисањем нових врста посебних токова отпада. Услед повећаног прекограничног кретања отпада, појавила се потреба за увођењем јединственог начина утврђивања финансијских гаранција за накнаду штете која може да настане приликом транспорта отпада и сл.</w:t>
      </w:r>
    </w:p>
    <w:p w14:paraId="3C9B4A79" w14:textId="710644D6" w:rsidR="00BA21FC" w:rsidRPr="0068493E" w:rsidRDefault="00BA21FC" w:rsidP="00BC3CC9">
      <w:pPr>
        <w:spacing w:line="240" w:lineRule="auto"/>
        <w:jc w:val="both"/>
        <w:rPr>
          <w:rFonts w:ascii="Times New Roman" w:hAnsi="Times New Roman" w:cs="Times New Roman"/>
          <w:sz w:val="24"/>
          <w:szCs w:val="24"/>
          <w:lang w:val="sr-Cyrl-CS"/>
        </w:rPr>
      </w:pPr>
      <w:r w:rsidRPr="0068493E">
        <w:rPr>
          <w:rFonts w:ascii="Times New Roman" w:hAnsi="Times New Roman" w:cs="Times New Roman"/>
          <w:sz w:val="24"/>
          <w:szCs w:val="24"/>
          <w:lang w:val="sr-Cyrl-CS"/>
        </w:rPr>
        <w:t>У поступку издавања дозволе за управљање отпадом, промењени су садржај радог плана који представља један од основних докумената на основу ког се издаје дозвола за управљање отпадом.</w:t>
      </w:r>
    </w:p>
    <w:p w14:paraId="188BC57F" w14:textId="692459DA" w:rsidR="00BA21FC" w:rsidRPr="0068493E" w:rsidRDefault="00BA21FC" w:rsidP="00BC3CC9">
      <w:pPr>
        <w:spacing w:line="240" w:lineRule="auto"/>
        <w:jc w:val="both"/>
        <w:rPr>
          <w:rFonts w:ascii="Times New Roman" w:hAnsi="Times New Roman" w:cs="Times New Roman"/>
          <w:sz w:val="24"/>
          <w:szCs w:val="24"/>
          <w:lang w:val="sr-Cyrl-CS"/>
        </w:rPr>
      </w:pPr>
      <w:r w:rsidRPr="0068493E">
        <w:rPr>
          <w:rFonts w:ascii="Times New Roman" w:hAnsi="Times New Roman" w:cs="Times New Roman"/>
          <w:sz w:val="24"/>
          <w:szCs w:val="24"/>
          <w:lang w:val="sr-Cyrl-CS"/>
        </w:rPr>
        <w:t xml:space="preserve">Изменама закона  у делу који се односи на поступак издавања дозвола жели се постићи да се поступак </w:t>
      </w:r>
      <w:r w:rsidR="00B86B54" w:rsidRPr="0068493E">
        <w:rPr>
          <w:rFonts w:ascii="Times New Roman" w:hAnsi="Times New Roman" w:cs="Times New Roman"/>
          <w:sz w:val="24"/>
          <w:szCs w:val="24"/>
          <w:lang w:val="sr-Cyrl-CS"/>
        </w:rPr>
        <w:t xml:space="preserve">исходовања дозволе </w:t>
      </w:r>
      <w:r w:rsidRPr="0068493E">
        <w:rPr>
          <w:rFonts w:ascii="Times New Roman" w:hAnsi="Times New Roman" w:cs="Times New Roman"/>
          <w:sz w:val="24"/>
          <w:szCs w:val="24"/>
          <w:lang w:val="sr-Cyrl-CS"/>
        </w:rPr>
        <w:t>поједностави и убрза, уз истовремено усаглашавање са одредбама других закона које се такође односе на  делатност оператера.</w:t>
      </w:r>
    </w:p>
    <w:p w14:paraId="3297FD8D" w14:textId="4AAE3BB6" w:rsidR="00467082" w:rsidRPr="0068493E" w:rsidRDefault="00467082" w:rsidP="00BC3CC9">
      <w:pPr>
        <w:spacing w:line="240" w:lineRule="auto"/>
        <w:jc w:val="both"/>
        <w:rPr>
          <w:rFonts w:ascii="Times New Roman" w:hAnsi="Times New Roman" w:cs="Times New Roman"/>
          <w:sz w:val="24"/>
          <w:szCs w:val="24"/>
          <w:lang w:val="sr-Cyrl-CS"/>
        </w:rPr>
      </w:pPr>
      <w:r w:rsidRPr="0068493E">
        <w:rPr>
          <w:rFonts w:ascii="Times New Roman" w:hAnsi="Times New Roman" w:cs="Times New Roman"/>
          <w:sz w:val="24"/>
          <w:szCs w:val="24"/>
          <w:lang w:val="sr-Cyrl-CS"/>
        </w:rPr>
        <w:t>Такође, измењене су одредбе које се односе на услове које мора да испуњава лице које је поднело захтев за упис у регистар трговаца односно посредника у управљању отпадом</w:t>
      </w:r>
    </w:p>
    <w:p w14:paraId="7397F2A3" w14:textId="335F0631" w:rsidR="00B86B54" w:rsidRPr="0068493E" w:rsidRDefault="00B86B54" w:rsidP="00BC3CC9">
      <w:pPr>
        <w:spacing w:line="240" w:lineRule="auto"/>
        <w:jc w:val="both"/>
        <w:rPr>
          <w:rFonts w:ascii="Times New Roman" w:hAnsi="Times New Roman" w:cs="Times New Roman"/>
          <w:sz w:val="24"/>
          <w:szCs w:val="24"/>
          <w:lang w:val="sr-Cyrl-CS"/>
        </w:rPr>
      </w:pPr>
      <w:r w:rsidRPr="0068493E">
        <w:rPr>
          <w:rFonts w:ascii="Times New Roman" w:hAnsi="Times New Roman" w:cs="Times New Roman"/>
          <w:sz w:val="24"/>
          <w:szCs w:val="24"/>
          <w:lang w:val="sr-Cyrl-CS"/>
        </w:rPr>
        <w:t xml:space="preserve">У доњој табели приказан је број </w:t>
      </w:r>
      <w:r w:rsidR="00467082" w:rsidRPr="0068493E">
        <w:rPr>
          <w:rFonts w:ascii="Times New Roman" w:hAnsi="Times New Roman" w:cs="Times New Roman"/>
          <w:sz w:val="24"/>
          <w:szCs w:val="24"/>
          <w:lang w:val="sr-Cyrl-CS"/>
        </w:rPr>
        <w:t>дозвола за управљање отпадом, као и других аката у вези са захтевима за издавање дозволе за управљање отпадом, које је у</w:t>
      </w:r>
      <w:r w:rsidRPr="0068493E">
        <w:rPr>
          <w:rFonts w:ascii="Times New Roman" w:hAnsi="Times New Roman" w:cs="Times New Roman"/>
          <w:sz w:val="24"/>
          <w:szCs w:val="24"/>
          <w:lang w:val="sr-Cyrl-CS"/>
        </w:rPr>
        <w:t xml:space="preserve"> периоду 2019-2022 године, </w:t>
      </w:r>
      <w:r w:rsidR="00467082" w:rsidRPr="0068493E">
        <w:rPr>
          <w:rFonts w:ascii="Times New Roman" w:hAnsi="Times New Roman" w:cs="Times New Roman"/>
          <w:sz w:val="24"/>
          <w:szCs w:val="24"/>
          <w:lang w:val="sr-Cyrl-CS"/>
        </w:rPr>
        <w:t xml:space="preserve">издало </w:t>
      </w:r>
      <w:r w:rsidRPr="0068493E">
        <w:rPr>
          <w:rFonts w:ascii="Times New Roman" w:hAnsi="Times New Roman" w:cs="Times New Roman"/>
          <w:sz w:val="24"/>
          <w:szCs w:val="24"/>
          <w:lang w:val="sr-Cyrl-CS"/>
        </w:rPr>
        <w:t xml:space="preserve">Министарство заштите животне средине </w:t>
      </w:r>
    </w:p>
    <w:p w14:paraId="0038166E" w14:textId="00C0C08D" w:rsidR="00B86B54" w:rsidRPr="0068493E" w:rsidRDefault="00B86B54" w:rsidP="00B86B54">
      <w:pPr>
        <w:jc w:val="both"/>
        <w:rPr>
          <w:rFonts w:ascii="Times New Roman" w:hAnsi="Times New Roman" w:cs="Times New Roman"/>
          <w:b/>
          <w:bCs/>
          <w:sz w:val="24"/>
          <w:szCs w:val="24"/>
          <w:lang w:val="sr-Cyrl-CS"/>
        </w:rPr>
      </w:pPr>
    </w:p>
    <w:tbl>
      <w:tblPr>
        <w:tblStyle w:val="TableGrid"/>
        <w:tblW w:w="9445" w:type="dxa"/>
        <w:tblLook w:val="04A0" w:firstRow="1" w:lastRow="0" w:firstColumn="1" w:lastColumn="0" w:noHBand="0" w:noVBand="1"/>
      </w:tblPr>
      <w:tblGrid>
        <w:gridCol w:w="2310"/>
        <w:gridCol w:w="2459"/>
        <w:gridCol w:w="4676"/>
      </w:tblGrid>
      <w:tr w:rsidR="00B86B54" w:rsidRPr="0068493E" w14:paraId="5DCF7932" w14:textId="77777777" w:rsidTr="006464F6">
        <w:trPr>
          <w:trHeight w:val="275"/>
        </w:trPr>
        <w:tc>
          <w:tcPr>
            <w:tcW w:w="2310" w:type="dxa"/>
            <w:hideMark/>
          </w:tcPr>
          <w:p w14:paraId="02C13C94" w14:textId="77777777" w:rsidR="00B86B54" w:rsidRPr="0068493E" w:rsidRDefault="00B86B54" w:rsidP="006464F6">
            <w:pPr>
              <w:jc w:val="center"/>
              <w:rPr>
                <w:rFonts w:ascii="Times New Roman" w:hAnsi="Times New Roman" w:cs="Times New Roman"/>
                <w:b/>
                <w:bCs/>
                <w:sz w:val="24"/>
                <w:szCs w:val="24"/>
                <w:lang w:val="sr-Cyrl-CS"/>
              </w:rPr>
            </w:pPr>
            <w:r w:rsidRPr="0068493E">
              <w:rPr>
                <w:rFonts w:ascii="Times New Roman" w:hAnsi="Times New Roman" w:cs="Times New Roman"/>
                <w:b/>
                <w:bCs/>
                <w:sz w:val="24"/>
                <w:szCs w:val="24"/>
                <w:lang w:val="sr-Cyrl-CS"/>
              </w:rPr>
              <w:t>Година</w:t>
            </w:r>
          </w:p>
        </w:tc>
        <w:tc>
          <w:tcPr>
            <w:tcW w:w="2459" w:type="dxa"/>
            <w:hideMark/>
          </w:tcPr>
          <w:p w14:paraId="4A3D993D" w14:textId="77777777" w:rsidR="00B86B54" w:rsidRPr="0068493E" w:rsidRDefault="00B86B54" w:rsidP="006464F6">
            <w:pPr>
              <w:jc w:val="center"/>
              <w:rPr>
                <w:rFonts w:ascii="Times New Roman" w:hAnsi="Times New Roman" w:cs="Times New Roman"/>
                <w:b/>
                <w:bCs/>
                <w:sz w:val="24"/>
                <w:szCs w:val="24"/>
                <w:lang w:val="sr-Cyrl-CS"/>
              </w:rPr>
            </w:pPr>
            <w:r w:rsidRPr="0068493E">
              <w:rPr>
                <w:rFonts w:ascii="Times New Roman" w:hAnsi="Times New Roman" w:cs="Times New Roman"/>
                <w:b/>
                <w:bCs/>
                <w:sz w:val="24"/>
                <w:szCs w:val="24"/>
                <w:lang w:val="sr-Cyrl-CS"/>
              </w:rPr>
              <w:t>Дозволе  за управљање</w:t>
            </w:r>
          </w:p>
          <w:p w14:paraId="382C861A" w14:textId="77777777" w:rsidR="00B86B54" w:rsidRPr="0068493E" w:rsidRDefault="00B86B54" w:rsidP="006464F6">
            <w:pPr>
              <w:jc w:val="center"/>
              <w:rPr>
                <w:rFonts w:ascii="Times New Roman" w:hAnsi="Times New Roman" w:cs="Times New Roman"/>
                <w:b/>
                <w:bCs/>
                <w:sz w:val="24"/>
                <w:szCs w:val="24"/>
                <w:lang w:val="sr-Cyrl-CS"/>
              </w:rPr>
            </w:pPr>
            <w:r w:rsidRPr="0068493E">
              <w:rPr>
                <w:rFonts w:ascii="Times New Roman" w:hAnsi="Times New Roman" w:cs="Times New Roman"/>
                <w:b/>
                <w:bCs/>
                <w:sz w:val="24"/>
                <w:szCs w:val="24"/>
                <w:lang w:val="sr-Cyrl-CS"/>
              </w:rPr>
              <w:t xml:space="preserve">отпадом </w:t>
            </w:r>
          </w:p>
        </w:tc>
        <w:tc>
          <w:tcPr>
            <w:tcW w:w="4671" w:type="dxa"/>
            <w:hideMark/>
          </w:tcPr>
          <w:p w14:paraId="1F215BE7" w14:textId="77777777" w:rsidR="00B86B54" w:rsidRPr="0068493E" w:rsidRDefault="00B86B54" w:rsidP="006464F6">
            <w:pPr>
              <w:jc w:val="center"/>
              <w:rPr>
                <w:rFonts w:ascii="Times New Roman" w:hAnsi="Times New Roman" w:cs="Times New Roman"/>
                <w:b/>
                <w:bCs/>
                <w:sz w:val="24"/>
                <w:szCs w:val="24"/>
                <w:lang w:val="sr-Cyrl-CS"/>
              </w:rPr>
            </w:pPr>
            <w:r w:rsidRPr="0068493E">
              <w:rPr>
                <w:rFonts w:ascii="Times New Roman" w:hAnsi="Times New Roman" w:cs="Times New Roman"/>
                <w:b/>
                <w:bCs/>
                <w:sz w:val="24"/>
                <w:szCs w:val="24"/>
                <w:lang w:val="sr-Cyrl-CS"/>
              </w:rPr>
              <w:t>Остала акта (решења о обустављању/одбијању/измени/допуни/ исправке, закључци, мишљења, дописи, обавештења...)</w:t>
            </w:r>
          </w:p>
        </w:tc>
      </w:tr>
      <w:tr w:rsidR="00B86B54" w:rsidRPr="0068493E" w14:paraId="6F811B4A" w14:textId="77777777" w:rsidTr="006464F6">
        <w:trPr>
          <w:trHeight w:val="275"/>
        </w:trPr>
        <w:tc>
          <w:tcPr>
            <w:tcW w:w="2310" w:type="dxa"/>
            <w:hideMark/>
          </w:tcPr>
          <w:p w14:paraId="7B69498E" w14:textId="77777777" w:rsidR="00B86B54" w:rsidRPr="0068493E" w:rsidRDefault="00B86B54" w:rsidP="006464F6">
            <w:pPr>
              <w:rPr>
                <w:rFonts w:ascii="Times New Roman" w:hAnsi="Times New Roman" w:cs="Times New Roman"/>
                <w:b/>
                <w:bCs/>
                <w:sz w:val="24"/>
                <w:szCs w:val="24"/>
                <w:lang w:val="sr-Cyrl-CS"/>
              </w:rPr>
            </w:pPr>
            <w:r w:rsidRPr="0068493E">
              <w:rPr>
                <w:rFonts w:ascii="Times New Roman" w:hAnsi="Times New Roman" w:cs="Times New Roman"/>
                <w:b/>
                <w:bCs/>
                <w:sz w:val="24"/>
                <w:szCs w:val="24"/>
                <w:lang w:val="sr-Cyrl-CS"/>
              </w:rPr>
              <w:t>2019.</w:t>
            </w:r>
          </w:p>
        </w:tc>
        <w:tc>
          <w:tcPr>
            <w:tcW w:w="2459" w:type="dxa"/>
            <w:hideMark/>
          </w:tcPr>
          <w:p w14:paraId="1137B6FD" w14:textId="77777777" w:rsidR="00B86B54" w:rsidRPr="0068493E" w:rsidRDefault="00B86B54" w:rsidP="006464F6">
            <w:pPr>
              <w:rPr>
                <w:rFonts w:ascii="Times New Roman" w:hAnsi="Times New Roman" w:cs="Times New Roman"/>
                <w:sz w:val="24"/>
                <w:szCs w:val="24"/>
                <w:lang w:val="sr-Cyrl-CS"/>
              </w:rPr>
            </w:pPr>
            <w:r w:rsidRPr="0068493E">
              <w:rPr>
                <w:rFonts w:ascii="Times New Roman" w:hAnsi="Times New Roman" w:cs="Times New Roman"/>
                <w:sz w:val="24"/>
                <w:szCs w:val="24"/>
                <w:lang w:val="sr-Cyrl-CS"/>
              </w:rPr>
              <w:t>285</w:t>
            </w:r>
          </w:p>
        </w:tc>
        <w:tc>
          <w:tcPr>
            <w:tcW w:w="4671" w:type="dxa"/>
            <w:hideMark/>
          </w:tcPr>
          <w:p w14:paraId="2173B8B1" w14:textId="77777777" w:rsidR="00B86B54" w:rsidRPr="0068493E" w:rsidRDefault="00B86B54" w:rsidP="006464F6">
            <w:pPr>
              <w:rPr>
                <w:rFonts w:ascii="Times New Roman" w:hAnsi="Times New Roman" w:cs="Times New Roman"/>
                <w:sz w:val="24"/>
                <w:szCs w:val="24"/>
                <w:lang w:val="sr-Cyrl-CS"/>
              </w:rPr>
            </w:pPr>
            <w:r w:rsidRPr="0068493E">
              <w:rPr>
                <w:rFonts w:ascii="Times New Roman" w:hAnsi="Times New Roman" w:cs="Times New Roman"/>
                <w:sz w:val="24"/>
                <w:szCs w:val="24"/>
                <w:lang w:val="sr-Cyrl-CS"/>
              </w:rPr>
              <w:t xml:space="preserve">443 </w:t>
            </w:r>
          </w:p>
        </w:tc>
      </w:tr>
      <w:tr w:rsidR="00B86B54" w:rsidRPr="0068493E" w14:paraId="134C24EB" w14:textId="77777777" w:rsidTr="006464F6">
        <w:trPr>
          <w:trHeight w:val="275"/>
        </w:trPr>
        <w:tc>
          <w:tcPr>
            <w:tcW w:w="2310" w:type="dxa"/>
          </w:tcPr>
          <w:p w14:paraId="4700E08A" w14:textId="77777777" w:rsidR="00B86B54" w:rsidRPr="0068493E" w:rsidRDefault="00B86B54" w:rsidP="006464F6">
            <w:pPr>
              <w:rPr>
                <w:rFonts w:ascii="Times New Roman" w:hAnsi="Times New Roman" w:cs="Times New Roman"/>
                <w:b/>
                <w:bCs/>
                <w:sz w:val="24"/>
                <w:szCs w:val="24"/>
                <w:lang w:val="sr-Cyrl-CS"/>
              </w:rPr>
            </w:pPr>
            <w:r w:rsidRPr="0068493E">
              <w:rPr>
                <w:rFonts w:ascii="Times New Roman" w:hAnsi="Times New Roman" w:cs="Times New Roman"/>
                <w:b/>
                <w:bCs/>
                <w:sz w:val="24"/>
                <w:szCs w:val="24"/>
                <w:lang w:val="sr-Cyrl-CS"/>
              </w:rPr>
              <w:t>2020.</w:t>
            </w:r>
          </w:p>
        </w:tc>
        <w:tc>
          <w:tcPr>
            <w:tcW w:w="2459" w:type="dxa"/>
          </w:tcPr>
          <w:p w14:paraId="07B2F550" w14:textId="77777777" w:rsidR="00B86B54" w:rsidRPr="0068493E" w:rsidRDefault="00B86B54" w:rsidP="006464F6">
            <w:pPr>
              <w:rPr>
                <w:rFonts w:ascii="Times New Roman" w:hAnsi="Times New Roman" w:cs="Times New Roman"/>
                <w:sz w:val="24"/>
                <w:szCs w:val="24"/>
                <w:lang w:val="sr-Cyrl-CS"/>
              </w:rPr>
            </w:pPr>
            <w:r w:rsidRPr="0068493E">
              <w:rPr>
                <w:rFonts w:ascii="Times New Roman" w:hAnsi="Times New Roman" w:cs="Times New Roman"/>
                <w:sz w:val="24"/>
                <w:szCs w:val="24"/>
                <w:lang w:val="sr-Cyrl-CS"/>
              </w:rPr>
              <w:t>326</w:t>
            </w:r>
          </w:p>
        </w:tc>
        <w:tc>
          <w:tcPr>
            <w:tcW w:w="4671" w:type="dxa"/>
          </w:tcPr>
          <w:p w14:paraId="7779B61B" w14:textId="77777777" w:rsidR="00B86B54" w:rsidRPr="0068493E" w:rsidRDefault="00B86B54" w:rsidP="006464F6">
            <w:pPr>
              <w:rPr>
                <w:rFonts w:ascii="Times New Roman" w:hAnsi="Times New Roman" w:cs="Times New Roman"/>
                <w:sz w:val="24"/>
                <w:szCs w:val="24"/>
                <w:lang w:val="sr-Cyrl-CS"/>
              </w:rPr>
            </w:pPr>
            <w:r w:rsidRPr="0068493E">
              <w:rPr>
                <w:rFonts w:ascii="Times New Roman" w:hAnsi="Times New Roman" w:cs="Times New Roman"/>
                <w:sz w:val="24"/>
                <w:szCs w:val="24"/>
                <w:lang w:val="sr-Cyrl-CS"/>
              </w:rPr>
              <w:t>397</w:t>
            </w:r>
          </w:p>
        </w:tc>
      </w:tr>
      <w:tr w:rsidR="00B86B54" w:rsidRPr="0068493E" w14:paraId="50E2AB00" w14:textId="77777777" w:rsidTr="006464F6">
        <w:trPr>
          <w:trHeight w:val="275"/>
        </w:trPr>
        <w:tc>
          <w:tcPr>
            <w:tcW w:w="2310" w:type="dxa"/>
          </w:tcPr>
          <w:p w14:paraId="6B310FA1" w14:textId="77777777" w:rsidR="00B86B54" w:rsidRPr="0068493E" w:rsidRDefault="00B86B54" w:rsidP="006464F6">
            <w:pPr>
              <w:rPr>
                <w:rFonts w:ascii="Times New Roman" w:hAnsi="Times New Roman" w:cs="Times New Roman"/>
                <w:b/>
                <w:bCs/>
                <w:sz w:val="24"/>
                <w:szCs w:val="24"/>
                <w:lang w:val="sr-Cyrl-CS"/>
              </w:rPr>
            </w:pPr>
            <w:r w:rsidRPr="0068493E">
              <w:rPr>
                <w:rFonts w:ascii="Times New Roman" w:hAnsi="Times New Roman" w:cs="Times New Roman"/>
                <w:b/>
                <w:bCs/>
                <w:sz w:val="24"/>
                <w:szCs w:val="24"/>
                <w:lang w:val="sr-Cyrl-CS"/>
              </w:rPr>
              <w:t>2021 (јул –децембар)</w:t>
            </w:r>
          </w:p>
        </w:tc>
        <w:tc>
          <w:tcPr>
            <w:tcW w:w="2459" w:type="dxa"/>
          </w:tcPr>
          <w:p w14:paraId="54317F89" w14:textId="77777777" w:rsidR="00B86B54" w:rsidRPr="0068493E" w:rsidRDefault="00B86B54" w:rsidP="006464F6">
            <w:pPr>
              <w:rPr>
                <w:rFonts w:ascii="Times New Roman" w:hAnsi="Times New Roman" w:cs="Times New Roman"/>
                <w:sz w:val="24"/>
                <w:szCs w:val="24"/>
                <w:lang w:val="sr-Cyrl-CS"/>
              </w:rPr>
            </w:pPr>
            <w:r w:rsidRPr="0068493E">
              <w:rPr>
                <w:rFonts w:ascii="Times New Roman" w:hAnsi="Times New Roman" w:cs="Times New Roman"/>
                <w:sz w:val="24"/>
                <w:szCs w:val="24"/>
                <w:lang w:val="sr-Cyrl-CS"/>
              </w:rPr>
              <w:t>313</w:t>
            </w:r>
          </w:p>
        </w:tc>
        <w:tc>
          <w:tcPr>
            <w:tcW w:w="4671" w:type="dxa"/>
          </w:tcPr>
          <w:p w14:paraId="09F681EA" w14:textId="77777777" w:rsidR="00B86B54" w:rsidRPr="0068493E" w:rsidRDefault="00B86B54" w:rsidP="006464F6">
            <w:pPr>
              <w:rPr>
                <w:rFonts w:ascii="Times New Roman" w:hAnsi="Times New Roman" w:cs="Times New Roman"/>
                <w:sz w:val="24"/>
                <w:szCs w:val="24"/>
                <w:lang w:val="sr-Cyrl-CS"/>
              </w:rPr>
            </w:pPr>
            <w:r w:rsidRPr="0068493E">
              <w:rPr>
                <w:rFonts w:ascii="Times New Roman" w:hAnsi="Times New Roman" w:cs="Times New Roman"/>
                <w:sz w:val="24"/>
                <w:szCs w:val="24"/>
                <w:lang w:val="sr-Cyrl-CS"/>
              </w:rPr>
              <w:t>329</w:t>
            </w:r>
          </w:p>
        </w:tc>
      </w:tr>
      <w:tr w:rsidR="00B86B54" w:rsidRPr="0068493E" w14:paraId="2F9DE0CC" w14:textId="77777777" w:rsidTr="006464F6">
        <w:trPr>
          <w:trHeight w:val="275"/>
        </w:trPr>
        <w:tc>
          <w:tcPr>
            <w:tcW w:w="2310" w:type="dxa"/>
          </w:tcPr>
          <w:p w14:paraId="22C6F34C" w14:textId="77777777" w:rsidR="00B86B54" w:rsidRPr="0068493E" w:rsidRDefault="00B86B54" w:rsidP="006464F6">
            <w:pPr>
              <w:rPr>
                <w:rFonts w:ascii="Times New Roman" w:hAnsi="Times New Roman" w:cs="Times New Roman"/>
                <w:b/>
                <w:bCs/>
                <w:sz w:val="24"/>
                <w:szCs w:val="24"/>
                <w:lang w:val="sr-Cyrl-CS"/>
              </w:rPr>
            </w:pPr>
            <w:r w:rsidRPr="0068493E">
              <w:rPr>
                <w:rFonts w:ascii="Times New Roman" w:hAnsi="Times New Roman" w:cs="Times New Roman"/>
                <w:b/>
                <w:bCs/>
                <w:sz w:val="24"/>
                <w:szCs w:val="24"/>
                <w:lang w:val="sr-Cyrl-CS"/>
              </w:rPr>
              <w:t>2022 (јануар-септембар)</w:t>
            </w:r>
          </w:p>
        </w:tc>
        <w:tc>
          <w:tcPr>
            <w:tcW w:w="2459" w:type="dxa"/>
          </w:tcPr>
          <w:p w14:paraId="45706B59" w14:textId="77777777" w:rsidR="00B86B54" w:rsidRPr="0068493E" w:rsidRDefault="00B86B54" w:rsidP="006464F6">
            <w:pPr>
              <w:rPr>
                <w:rFonts w:ascii="Times New Roman" w:hAnsi="Times New Roman" w:cs="Times New Roman"/>
                <w:sz w:val="24"/>
                <w:szCs w:val="24"/>
                <w:lang w:val="sr-Cyrl-CS"/>
              </w:rPr>
            </w:pPr>
            <w:r w:rsidRPr="0068493E">
              <w:rPr>
                <w:rFonts w:ascii="Times New Roman" w:hAnsi="Times New Roman" w:cs="Times New Roman"/>
                <w:sz w:val="24"/>
                <w:szCs w:val="24"/>
                <w:lang w:val="sr-Cyrl-CS"/>
              </w:rPr>
              <w:t>238</w:t>
            </w:r>
          </w:p>
        </w:tc>
        <w:tc>
          <w:tcPr>
            <w:tcW w:w="4676" w:type="dxa"/>
          </w:tcPr>
          <w:p w14:paraId="04D30CC7" w14:textId="77777777" w:rsidR="00B86B54" w:rsidRPr="0068493E" w:rsidRDefault="00B86B54" w:rsidP="006464F6">
            <w:pPr>
              <w:rPr>
                <w:rFonts w:ascii="Times New Roman" w:hAnsi="Times New Roman" w:cs="Times New Roman"/>
                <w:sz w:val="24"/>
                <w:szCs w:val="24"/>
                <w:lang w:val="sr-Cyrl-CS"/>
              </w:rPr>
            </w:pPr>
            <w:r w:rsidRPr="0068493E">
              <w:rPr>
                <w:rFonts w:ascii="Times New Roman" w:hAnsi="Times New Roman" w:cs="Times New Roman"/>
                <w:sz w:val="24"/>
                <w:szCs w:val="24"/>
                <w:lang w:val="sr-Cyrl-CS"/>
              </w:rPr>
              <w:t>429</w:t>
            </w:r>
          </w:p>
        </w:tc>
      </w:tr>
    </w:tbl>
    <w:p w14:paraId="56C5B5EB" w14:textId="77777777" w:rsidR="00B86B54" w:rsidRPr="0068493E" w:rsidRDefault="00B86B54" w:rsidP="00B86B54">
      <w:pPr>
        <w:jc w:val="both"/>
        <w:rPr>
          <w:rFonts w:ascii="Times New Roman" w:hAnsi="Times New Roman" w:cs="Times New Roman"/>
          <w:lang w:val="sr-Cyrl-CS"/>
        </w:rPr>
      </w:pPr>
      <w:bookmarkStart w:id="0" w:name="_Hlk116986187"/>
    </w:p>
    <w:p w14:paraId="79E0E0F8" w14:textId="77777777" w:rsidR="00B86B54" w:rsidRPr="0068493E" w:rsidRDefault="00B86B54" w:rsidP="00B86B54">
      <w:pPr>
        <w:spacing w:after="0" w:line="240" w:lineRule="auto"/>
        <w:rPr>
          <w:rFonts w:ascii="Times New Roman" w:eastAsia="Calibri" w:hAnsi="Times New Roman" w:cs="Times New Roman"/>
          <w:b/>
          <w:sz w:val="24"/>
          <w:szCs w:val="24"/>
          <w:lang w:val="sr-Cyrl-CS"/>
        </w:rPr>
      </w:pPr>
      <w:r w:rsidRPr="0068493E">
        <w:rPr>
          <w:rFonts w:ascii="Times New Roman" w:hAnsi="Times New Roman" w:cs="Times New Roman"/>
          <w:sz w:val="24"/>
          <w:szCs w:val="24"/>
          <w:lang w:val="sr-Cyrl-CS"/>
        </w:rPr>
        <w:t xml:space="preserve">Преглед података о пруженим услугама </w:t>
      </w:r>
      <w:r w:rsidRPr="0068493E">
        <w:rPr>
          <w:rFonts w:ascii="Times New Roman" w:eastAsia="Calibri" w:hAnsi="Times New Roman" w:cs="Times New Roman"/>
          <w:bCs/>
          <w:sz w:val="24"/>
          <w:szCs w:val="24"/>
          <w:lang w:val="sr-Cyrl-CS"/>
        </w:rPr>
        <w:t xml:space="preserve">Одсека за развој система управљања отпадом и сарадњу са јединицама локалне самоуправе </w:t>
      </w:r>
    </w:p>
    <w:bookmarkEnd w:id="0"/>
    <w:p w14:paraId="432379D0" w14:textId="77777777" w:rsidR="00B86B54" w:rsidRPr="0068493E" w:rsidRDefault="00B86B54" w:rsidP="00B86B54">
      <w:pPr>
        <w:spacing w:after="0" w:line="240" w:lineRule="auto"/>
        <w:rPr>
          <w:rFonts w:ascii="Times New Roman" w:eastAsia="Calibri" w:hAnsi="Times New Roman" w:cs="Times New Roman"/>
          <w:lang w:val="sr-Cyrl-CS"/>
        </w:rPr>
      </w:pPr>
    </w:p>
    <w:p w14:paraId="4304F3CF" w14:textId="77777777" w:rsidR="00B86B54" w:rsidRPr="0068493E" w:rsidRDefault="00B86B54" w:rsidP="00B86B54">
      <w:pPr>
        <w:spacing w:after="0" w:line="240" w:lineRule="auto"/>
        <w:rPr>
          <w:rFonts w:ascii="Times New Roman" w:eastAsia="Calibri" w:hAnsi="Times New Roman" w:cs="Times New Roman"/>
          <w:lang w:val="sr-Cyrl-CS"/>
        </w:rPr>
      </w:pPr>
    </w:p>
    <w:tbl>
      <w:tblPr>
        <w:tblStyle w:val="GridTable1Light1"/>
        <w:tblW w:w="6701" w:type="dxa"/>
        <w:tblLook w:val="04A0" w:firstRow="1" w:lastRow="0" w:firstColumn="1" w:lastColumn="0" w:noHBand="0" w:noVBand="1"/>
      </w:tblPr>
      <w:tblGrid>
        <w:gridCol w:w="1166"/>
        <w:gridCol w:w="1214"/>
        <w:gridCol w:w="1358"/>
        <w:gridCol w:w="1579"/>
        <w:gridCol w:w="1384"/>
      </w:tblGrid>
      <w:tr w:rsidR="00467082" w:rsidRPr="0068493E" w14:paraId="6E5328FD" w14:textId="77777777" w:rsidTr="004670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6" w:type="dxa"/>
          </w:tcPr>
          <w:p w14:paraId="300A1E79" w14:textId="77777777" w:rsidR="00467082" w:rsidRPr="0068493E" w:rsidRDefault="00467082" w:rsidP="006464F6">
            <w:pPr>
              <w:jc w:val="both"/>
              <w:rPr>
                <w:rFonts w:eastAsia="SimSun"/>
                <w:sz w:val="24"/>
                <w:szCs w:val="24"/>
                <w:lang w:val="sr-Cyrl-CS" w:eastAsia="zh-CN"/>
              </w:rPr>
            </w:pPr>
            <w:r w:rsidRPr="0068493E">
              <w:rPr>
                <w:rFonts w:eastAsia="SimSun"/>
                <w:sz w:val="24"/>
                <w:szCs w:val="24"/>
                <w:lang w:val="sr-Cyrl-CS" w:eastAsia="zh-CN"/>
              </w:rPr>
              <w:t>година</w:t>
            </w:r>
          </w:p>
        </w:tc>
        <w:tc>
          <w:tcPr>
            <w:tcW w:w="1214" w:type="dxa"/>
          </w:tcPr>
          <w:p w14:paraId="393A2551" w14:textId="1626CA1C" w:rsidR="00467082" w:rsidRPr="0068493E" w:rsidRDefault="00467082" w:rsidP="006464F6">
            <w:pPr>
              <w:jc w:val="both"/>
              <w:cnfStyle w:val="100000000000" w:firstRow="1" w:lastRow="0" w:firstColumn="0" w:lastColumn="0" w:oddVBand="0" w:evenVBand="0" w:oddHBand="0" w:evenHBand="0" w:firstRowFirstColumn="0" w:firstRowLastColumn="0" w:lastRowFirstColumn="0" w:lastRowLastColumn="0"/>
              <w:rPr>
                <w:rFonts w:eastAsia="SimSun"/>
                <w:sz w:val="24"/>
                <w:szCs w:val="24"/>
                <w:lang w:val="sr-Cyrl-CS" w:eastAsia="zh-CN"/>
              </w:rPr>
            </w:pPr>
            <w:r w:rsidRPr="0068493E">
              <w:rPr>
                <w:rFonts w:eastAsia="SimSun"/>
                <w:sz w:val="24"/>
                <w:szCs w:val="24"/>
                <w:lang w:val="sr-Cyrl-CS" w:eastAsia="zh-CN"/>
              </w:rPr>
              <w:t>трговац отпадом</w:t>
            </w:r>
          </w:p>
        </w:tc>
        <w:tc>
          <w:tcPr>
            <w:tcW w:w="1358" w:type="dxa"/>
          </w:tcPr>
          <w:p w14:paraId="06B66A99" w14:textId="77777777" w:rsidR="00467082" w:rsidRPr="0068493E" w:rsidRDefault="00467082" w:rsidP="006464F6">
            <w:pPr>
              <w:jc w:val="both"/>
              <w:cnfStyle w:val="100000000000" w:firstRow="1" w:lastRow="0" w:firstColumn="0" w:lastColumn="0" w:oddVBand="0" w:evenVBand="0" w:oddHBand="0" w:evenHBand="0" w:firstRowFirstColumn="0" w:firstRowLastColumn="0" w:lastRowFirstColumn="0" w:lastRowLastColumn="0"/>
              <w:rPr>
                <w:rFonts w:eastAsia="SimSun"/>
                <w:sz w:val="24"/>
                <w:szCs w:val="24"/>
                <w:lang w:val="sr-Cyrl-CS" w:eastAsia="zh-CN"/>
              </w:rPr>
            </w:pPr>
            <w:r w:rsidRPr="0068493E">
              <w:rPr>
                <w:rFonts w:eastAsia="SimSun"/>
                <w:sz w:val="24"/>
                <w:szCs w:val="24"/>
                <w:lang w:val="sr-Cyrl-CS" w:eastAsia="zh-CN"/>
              </w:rPr>
              <w:t>посредник</w:t>
            </w:r>
          </w:p>
        </w:tc>
        <w:tc>
          <w:tcPr>
            <w:tcW w:w="1579" w:type="dxa"/>
          </w:tcPr>
          <w:p w14:paraId="1F241EB7" w14:textId="77777777" w:rsidR="00467082" w:rsidRPr="0068493E" w:rsidRDefault="00467082" w:rsidP="006464F6">
            <w:pPr>
              <w:jc w:val="both"/>
              <w:cnfStyle w:val="100000000000" w:firstRow="1" w:lastRow="0" w:firstColumn="0" w:lastColumn="0" w:oddVBand="0" w:evenVBand="0" w:oddHBand="0" w:evenHBand="0" w:firstRowFirstColumn="0" w:firstRowLastColumn="0" w:lastRowFirstColumn="0" w:lastRowLastColumn="0"/>
              <w:rPr>
                <w:rFonts w:eastAsia="SimSun"/>
                <w:sz w:val="24"/>
                <w:szCs w:val="24"/>
                <w:lang w:val="sr-Cyrl-CS" w:eastAsia="zh-CN"/>
              </w:rPr>
            </w:pPr>
            <w:r w:rsidRPr="0068493E">
              <w:rPr>
                <w:rFonts w:eastAsia="SimSun"/>
                <w:sz w:val="24"/>
                <w:szCs w:val="24"/>
                <w:lang w:val="sr-Cyrl-CS" w:eastAsia="zh-CN"/>
              </w:rPr>
              <w:t>нуспроизвод</w:t>
            </w:r>
          </w:p>
        </w:tc>
        <w:tc>
          <w:tcPr>
            <w:tcW w:w="1384" w:type="dxa"/>
          </w:tcPr>
          <w:p w14:paraId="47BB0F9F" w14:textId="77777777" w:rsidR="00467082" w:rsidRPr="0068493E" w:rsidRDefault="00467082" w:rsidP="006464F6">
            <w:pPr>
              <w:jc w:val="both"/>
              <w:cnfStyle w:val="100000000000" w:firstRow="1" w:lastRow="0" w:firstColumn="0" w:lastColumn="0" w:oddVBand="0" w:evenVBand="0" w:oddHBand="0" w:evenHBand="0" w:firstRowFirstColumn="0" w:firstRowLastColumn="0" w:lastRowFirstColumn="0" w:lastRowLastColumn="0"/>
              <w:rPr>
                <w:rFonts w:eastAsia="SimSun"/>
                <w:sz w:val="24"/>
                <w:szCs w:val="24"/>
                <w:lang w:val="sr-Cyrl-CS" w:eastAsia="zh-CN"/>
              </w:rPr>
            </w:pPr>
            <w:r w:rsidRPr="0068493E">
              <w:rPr>
                <w:rFonts w:eastAsia="SimSun"/>
                <w:sz w:val="24"/>
                <w:szCs w:val="24"/>
                <w:lang w:val="sr-Cyrl-CS" w:eastAsia="zh-CN"/>
              </w:rPr>
              <w:t>Престанак статуса отпада</w:t>
            </w:r>
          </w:p>
        </w:tc>
      </w:tr>
      <w:tr w:rsidR="00467082" w:rsidRPr="0068493E" w14:paraId="1178A624" w14:textId="77777777" w:rsidTr="00467082">
        <w:tc>
          <w:tcPr>
            <w:cnfStyle w:val="001000000000" w:firstRow="0" w:lastRow="0" w:firstColumn="1" w:lastColumn="0" w:oddVBand="0" w:evenVBand="0" w:oddHBand="0" w:evenHBand="0" w:firstRowFirstColumn="0" w:firstRowLastColumn="0" w:lastRowFirstColumn="0" w:lastRowLastColumn="0"/>
            <w:tcW w:w="1166" w:type="dxa"/>
          </w:tcPr>
          <w:p w14:paraId="07587723" w14:textId="77777777" w:rsidR="00467082" w:rsidRPr="0068493E" w:rsidRDefault="00467082" w:rsidP="006464F6">
            <w:pPr>
              <w:jc w:val="both"/>
              <w:rPr>
                <w:rFonts w:eastAsia="SimSun"/>
                <w:sz w:val="24"/>
                <w:szCs w:val="24"/>
                <w:lang w:val="sr-Cyrl-CS" w:eastAsia="zh-CN"/>
              </w:rPr>
            </w:pPr>
            <w:r w:rsidRPr="0068493E">
              <w:rPr>
                <w:rFonts w:eastAsia="SimSun"/>
                <w:sz w:val="24"/>
                <w:szCs w:val="24"/>
                <w:lang w:val="sr-Cyrl-CS" w:eastAsia="zh-CN"/>
              </w:rPr>
              <w:t>2019</w:t>
            </w:r>
          </w:p>
        </w:tc>
        <w:tc>
          <w:tcPr>
            <w:tcW w:w="1214" w:type="dxa"/>
          </w:tcPr>
          <w:p w14:paraId="377AEF89" w14:textId="77777777" w:rsidR="00467082" w:rsidRPr="0068493E" w:rsidRDefault="00467082" w:rsidP="006464F6">
            <w:pPr>
              <w:jc w:val="both"/>
              <w:cnfStyle w:val="000000000000" w:firstRow="0" w:lastRow="0" w:firstColumn="0" w:lastColumn="0" w:oddVBand="0" w:evenVBand="0" w:oddHBand="0" w:evenHBand="0" w:firstRowFirstColumn="0" w:firstRowLastColumn="0" w:lastRowFirstColumn="0" w:lastRowLastColumn="0"/>
              <w:rPr>
                <w:rFonts w:eastAsia="SimSun"/>
                <w:b/>
                <w:bCs/>
                <w:sz w:val="24"/>
                <w:szCs w:val="24"/>
                <w:lang w:val="sr-Cyrl-CS" w:eastAsia="zh-CN"/>
              </w:rPr>
            </w:pPr>
            <w:r w:rsidRPr="0068493E">
              <w:rPr>
                <w:rFonts w:eastAsia="SimSun"/>
                <w:b/>
                <w:bCs/>
                <w:sz w:val="24"/>
                <w:szCs w:val="24"/>
                <w:lang w:val="sr-Cyrl-CS" w:eastAsia="zh-CN"/>
              </w:rPr>
              <w:t>0</w:t>
            </w:r>
          </w:p>
        </w:tc>
        <w:tc>
          <w:tcPr>
            <w:tcW w:w="1358" w:type="dxa"/>
          </w:tcPr>
          <w:p w14:paraId="02442195" w14:textId="77777777" w:rsidR="00467082" w:rsidRPr="0068493E" w:rsidRDefault="00467082" w:rsidP="006464F6">
            <w:pPr>
              <w:jc w:val="both"/>
              <w:cnfStyle w:val="000000000000" w:firstRow="0" w:lastRow="0" w:firstColumn="0" w:lastColumn="0" w:oddVBand="0" w:evenVBand="0" w:oddHBand="0" w:evenHBand="0" w:firstRowFirstColumn="0" w:firstRowLastColumn="0" w:lastRowFirstColumn="0" w:lastRowLastColumn="0"/>
              <w:rPr>
                <w:rFonts w:eastAsia="SimSun"/>
                <w:b/>
                <w:bCs/>
                <w:sz w:val="24"/>
                <w:szCs w:val="24"/>
                <w:lang w:val="sr-Cyrl-CS" w:eastAsia="zh-CN"/>
              </w:rPr>
            </w:pPr>
            <w:r w:rsidRPr="0068493E">
              <w:rPr>
                <w:rFonts w:eastAsia="SimSun"/>
                <w:b/>
                <w:bCs/>
                <w:sz w:val="24"/>
                <w:szCs w:val="24"/>
                <w:lang w:val="sr-Cyrl-CS" w:eastAsia="zh-CN"/>
              </w:rPr>
              <w:t>0</w:t>
            </w:r>
          </w:p>
        </w:tc>
        <w:tc>
          <w:tcPr>
            <w:tcW w:w="1579" w:type="dxa"/>
          </w:tcPr>
          <w:p w14:paraId="0AC8F732" w14:textId="77777777" w:rsidR="00467082" w:rsidRPr="0068493E" w:rsidRDefault="00467082" w:rsidP="006464F6">
            <w:pPr>
              <w:jc w:val="both"/>
              <w:cnfStyle w:val="000000000000" w:firstRow="0" w:lastRow="0" w:firstColumn="0" w:lastColumn="0" w:oddVBand="0" w:evenVBand="0" w:oddHBand="0" w:evenHBand="0" w:firstRowFirstColumn="0" w:firstRowLastColumn="0" w:lastRowFirstColumn="0" w:lastRowLastColumn="0"/>
              <w:rPr>
                <w:rFonts w:eastAsia="SimSun"/>
                <w:b/>
                <w:bCs/>
                <w:sz w:val="24"/>
                <w:szCs w:val="24"/>
                <w:lang w:val="sr-Cyrl-CS" w:eastAsia="zh-CN"/>
              </w:rPr>
            </w:pPr>
            <w:r w:rsidRPr="0068493E">
              <w:rPr>
                <w:rFonts w:eastAsia="SimSun"/>
                <w:b/>
                <w:bCs/>
                <w:sz w:val="24"/>
                <w:szCs w:val="24"/>
                <w:lang w:val="sr-Cyrl-CS" w:eastAsia="zh-CN"/>
              </w:rPr>
              <w:t>0</w:t>
            </w:r>
          </w:p>
        </w:tc>
        <w:tc>
          <w:tcPr>
            <w:tcW w:w="1384" w:type="dxa"/>
          </w:tcPr>
          <w:p w14:paraId="5ABFF721" w14:textId="77777777" w:rsidR="00467082" w:rsidRPr="0068493E" w:rsidRDefault="00467082" w:rsidP="006464F6">
            <w:pPr>
              <w:jc w:val="both"/>
              <w:cnfStyle w:val="000000000000" w:firstRow="0" w:lastRow="0" w:firstColumn="0" w:lastColumn="0" w:oddVBand="0" w:evenVBand="0" w:oddHBand="0" w:evenHBand="0" w:firstRowFirstColumn="0" w:firstRowLastColumn="0" w:lastRowFirstColumn="0" w:lastRowLastColumn="0"/>
              <w:rPr>
                <w:rFonts w:eastAsia="SimSun"/>
                <w:b/>
                <w:bCs/>
                <w:sz w:val="24"/>
                <w:szCs w:val="24"/>
                <w:lang w:val="sr-Cyrl-CS" w:eastAsia="zh-CN"/>
              </w:rPr>
            </w:pPr>
            <w:r w:rsidRPr="0068493E">
              <w:rPr>
                <w:rFonts w:eastAsia="SimSun"/>
                <w:b/>
                <w:bCs/>
                <w:sz w:val="24"/>
                <w:szCs w:val="24"/>
                <w:lang w:val="sr-Cyrl-CS" w:eastAsia="zh-CN"/>
              </w:rPr>
              <w:t>0</w:t>
            </w:r>
          </w:p>
        </w:tc>
      </w:tr>
      <w:tr w:rsidR="00467082" w:rsidRPr="0068493E" w14:paraId="60CF099E" w14:textId="77777777" w:rsidTr="00467082">
        <w:tc>
          <w:tcPr>
            <w:cnfStyle w:val="001000000000" w:firstRow="0" w:lastRow="0" w:firstColumn="1" w:lastColumn="0" w:oddVBand="0" w:evenVBand="0" w:oddHBand="0" w:evenHBand="0" w:firstRowFirstColumn="0" w:firstRowLastColumn="0" w:lastRowFirstColumn="0" w:lastRowLastColumn="0"/>
            <w:tcW w:w="1166" w:type="dxa"/>
          </w:tcPr>
          <w:p w14:paraId="5C8A729E" w14:textId="77777777" w:rsidR="00467082" w:rsidRPr="0068493E" w:rsidRDefault="00467082" w:rsidP="006464F6">
            <w:pPr>
              <w:jc w:val="both"/>
              <w:rPr>
                <w:rFonts w:eastAsia="SimSun"/>
                <w:sz w:val="24"/>
                <w:szCs w:val="24"/>
                <w:lang w:val="sr-Cyrl-CS" w:eastAsia="zh-CN"/>
              </w:rPr>
            </w:pPr>
            <w:r w:rsidRPr="0068493E">
              <w:rPr>
                <w:rFonts w:eastAsia="SimSun"/>
                <w:sz w:val="24"/>
                <w:szCs w:val="24"/>
                <w:lang w:val="sr-Cyrl-CS" w:eastAsia="zh-CN"/>
              </w:rPr>
              <w:t>2020</w:t>
            </w:r>
          </w:p>
        </w:tc>
        <w:tc>
          <w:tcPr>
            <w:tcW w:w="1214" w:type="dxa"/>
          </w:tcPr>
          <w:p w14:paraId="07089D06" w14:textId="77777777" w:rsidR="00467082" w:rsidRPr="0068493E" w:rsidRDefault="00467082" w:rsidP="006464F6">
            <w:pPr>
              <w:jc w:val="both"/>
              <w:cnfStyle w:val="000000000000" w:firstRow="0" w:lastRow="0" w:firstColumn="0" w:lastColumn="0" w:oddVBand="0" w:evenVBand="0" w:oddHBand="0" w:evenHBand="0" w:firstRowFirstColumn="0" w:firstRowLastColumn="0" w:lastRowFirstColumn="0" w:lastRowLastColumn="0"/>
              <w:rPr>
                <w:rFonts w:eastAsia="SimSun"/>
                <w:b/>
                <w:bCs/>
                <w:sz w:val="24"/>
                <w:szCs w:val="24"/>
                <w:lang w:val="sr-Cyrl-CS" w:eastAsia="zh-CN"/>
              </w:rPr>
            </w:pPr>
            <w:r w:rsidRPr="0068493E">
              <w:rPr>
                <w:rFonts w:eastAsia="SimSun"/>
                <w:b/>
                <w:bCs/>
                <w:sz w:val="24"/>
                <w:szCs w:val="24"/>
                <w:lang w:val="sr-Cyrl-CS" w:eastAsia="zh-CN"/>
              </w:rPr>
              <w:t>0</w:t>
            </w:r>
          </w:p>
        </w:tc>
        <w:tc>
          <w:tcPr>
            <w:tcW w:w="1358" w:type="dxa"/>
          </w:tcPr>
          <w:p w14:paraId="707C9D08" w14:textId="77777777" w:rsidR="00467082" w:rsidRPr="0068493E" w:rsidRDefault="00467082" w:rsidP="006464F6">
            <w:pPr>
              <w:jc w:val="both"/>
              <w:cnfStyle w:val="000000000000" w:firstRow="0" w:lastRow="0" w:firstColumn="0" w:lastColumn="0" w:oddVBand="0" w:evenVBand="0" w:oddHBand="0" w:evenHBand="0" w:firstRowFirstColumn="0" w:firstRowLastColumn="0" w:lastRowFirstColumn="0" w:lastRowLastColumn="0"/>
              <w:rPr>
                <w:rFonts w:eastAsia="SimSun"/>
                <w:b/>
                <w:bCs/>
                <w:sz w:val="24"/>
                <w:szCs w:val="24"/>
                <w:lang w:val="sr-Cyrl-CS" w:eastAsia="zh-CN"/>
              </w:rPr>
            </w:pPr>
            <w:r w:rsidRPr="0068493E">
              <w:rPr>
                <w:rFonts w:eastAsia="SimSun"/>
                <w:b/>
                <w:bCs/>
                <w:sz w:val="24"/>
                <w:szCs w:val="24"/>
                <w:lang w:val="sr-Cyrl-CS" w:eastAsia="zh-CN"/>
              </w:rPr>
              <w:t>0</w:t>
            </w:r>
          </w:p>
        </w:tc>
        <w:tc>
          <w:tcPr>
            <w:tcW w:w="1579" w:type="dxa"/>
          </w:tcPr>
          <w:p w14:paraId="77A14266" w14:textId="77777777" w:rsidR="00467082" w:rsidRPr="0068493E" w:rsidRDefault="00467082" w:rsidP="006464F6">
            <w:pPr>
              <w:jc w:val="both"/>
              <w:cnfStyle w:val="000000000000" w:firstRow="0" w:lastRow="0" w:firstColumn="0" w:lastColumn="0" w:oddVBand="0" w:evenVBand="0" w:oddHBand="0" w:evenHBand="0" w:firstRowFirstColumn="0" w:firstRowLastColumn="0" w:lastRowFirstColumn="0" w:lastRowLastColumn="0"/>
              <w:rPr>
                <w:rFonts w:eastAsia="SimSun"/>
                <w:b/>
                <w:bCs/>
                <w:sz w:val="24"/>
                <w:szCs w:val="24"/>
                <w:lang w:val="sr-Cyrl-CS" w:eastAsia="zh-CN"/>
              </w:rPr>
            </w:pPr>
            <w:r w:rsidRPr="0068493E">
              <w:rPr>
                <w:rFonts w:eastAsia="SimSun"/>
                <w:b/>
                <w:bCs/>
                <w:sz w:val="24"/>
                <w:szCs w:val="24"/>
                <w:lang w:val="sr-Cyrl-CS" w:eastAsia="zh-CN"/>
              </w:rPr>
              <w:t>0</w:t>
            </w:r>
          </w:p>
        </w:tc>
        <w:tc>
          <w:tcPr>
            <w:tcW w:w="1384" w:type="dxa"/>
          </w:tcPr>
          <w:p w14:paraId="007D450F" w14:textId="77777777" w:rsidR="00467082" w:rsidRPr="0068493E" w:rsidRDefault="00467082" w:rsidP="006464F6">
            <w:pPr>
              <w:jc w:val="both"/>
              <w:cnfStyle w:val="000000000000" w:firstRow="0" w:lastRow="0" w:firstColumn="0" w:lastColumn="0" w:oddVBand="0" w:evenVBand="0" w:oddHBand="0" w:evenHBand="0" w:firstRowFirstColumn="0" w:firstRowLastColumn="0" w:lastRowFirstColumn="0" w:lastRowLastColumn="0"/>
              <w:rPr>
                <w:rFonts w:eastAsia="SimSun"/>
                <w:b/>
                <w:bCs/>
                <w:sz w:val="24"/>
                <w:szCs w:val="24"/>
                <w:lang w:val="sr-Cyrl-CS" w:eastAsia="zh-CN"/>
              </w:rPr>
            </w:pPr>
            <w:r w:rsidRPr="0068493E">
              <w:rPr>
                <w:rFonts w:eastAsia="SimSun"/>
                <w:b/>
                <w:bCs/>
                <w:sz w:val="24"/>
                <w:szCs w:val="24"/>
                <w:lang w:val="sr-Cyrl-CS" w:eastAsia="zh-CN"/>
              </w:rPr>
              <w:t>0</w:t>
            </w:r>
          </w:p>
        </w:tc>
      </w:tr>
      <w:tr w:rsidR="00467082" w:rsidRPr="0068493E" w14:paraId="265B5EF5" w14:textId="77777777" w:rsidTr="00467082">
        <w:tc>
          <w:tcPr>
            <w:cnfStyle w:val="001000000000" w:firstRow="0" w:lastRow="0" w:firstColumn="1" w:lastColumn="0" w:oddVBand="0" w:evenVBand="0" w:oddHBand="0" w:evenHBand="0" w:firstRowFirstColumn="0" w:firstRowLastColumn="0" w:lastRowFirstColumn="0" w:lastRowLastColumn="0"/>
            <w:tcW w:w="1166" w:type="dxa"/>
          </w:tcPr>
          <w:p w14:paraId="01B0E2F2" w14:textId="77777777" w:rsidR="00467082" w:rsidRPr="0068493E" w:rsidRDefault="00467082" w:rsidP="006464F6">
            <w:pPr>
              <w:jc w:val="both"/>
              <w:rPr>
                <w:rFonts w:eastAsia="SimSun"/>
                <w:sz w:val="24"/>
                <w:szCs w:val="24"/>
                <w:lang w:val="sr-Cyrl-CS" w:eastAsia="zh-CN"/>
              </w:rPr>
            </w:pPr>
            <w:r w:rsidRPr="0068493E">
              <w:rPr>
                <w:rFonts w:eastAsia="SimSun"/>
                <w:sz w:val="24"/>
                <w:szCs w:val="24"/>
                <w:lang w:val="sr-Cyrl-CS" w:eastAsia="zh-CN"/>
              </w:rPr>
              <w:t>2021</w:t>
            </w:r>
          </w:p>
        </w:tc>
        <w:tc>
          <w:tcPr>
            <w:tcW w:w="1214" w:type="dxa"/>
          </w:tcPr>
          <w:p w14:paraId="7FE02E80" w14:textId="77777777" w:rsidR="00467082" w:rsidRPr="0068493E" w:rsidRDefault="00467082" w:rsidP="006464F6">
            <w:pPr>
              <w:jc w:val="both"/>
              <w:cnfStyle w:val="000000000000" w:firstRow="0" w:lastRow="0" w:firstColumn="0" w:lastColumn="0" w:oddVBand="0" w:evenVBand="0" w:oddHBand="0" w:evenHBand="0" w:firstRowFirstColumn="0" w:firstRowLastColumn="0" w:lastRowFirstColumn="0" w:lastRowLastColumn="0"/>
              <w:rPr>
                <w:rFonts w:eastAsia="SimSun"/>
                <w:b/>
                <w:bCs/>
                <w:sz w:val="24"/>
                <w:szCs w:val="24"/>
                <w:lang w:val="sr-Cyrl-CS" w:eastAsia="zh-CN"/>
              </w:rPr>
            </w:pPr>
            <w:r w:rsidRPr="0068493E">
              <w:rPr>
                <w:rFonts w:eastAsia="SimSun"/>
                <w:b/>
                <w:bCs/>
                <w:sz w:val="24"/>
                <w:szCs w:val="24"/>
                <w:lang w:val="sr-Cyrl-CS" w:eastAsia="zh-CN"/>
              </w:rPr>
              <w:t>0</w:t>
            </w:r>
          </w:p>
        </w:tc>
        <w:tc>
          <w:tcPr>
            <w:tcW w:w="1358" w:type="dxa"/>
          </w:tcPr>
          <w:p w14:paraId="5664E7A0" w14:textId="77777777" w:rsidR="00467082" w:rsidRPr="0068493E" w:rsidRDefault="00467082" w:rsidP="006464F6">
            <w:pPr>
              <w:jc w:val="both"/>
              <w:cnfStyle w:val="000000000000" w:firstRow="0" w:lastRow="0" w:firstColumn="0" w:lastColumn="0" w:oddVBand="0" w:evenVBand="0" w:oddHBand="0" w:evenHBand="0" w:firstRowFirstColumn="0" w:firstRowLastColumn="0" w:lastRowFirstColumn="0" w:lastRowLastColumn="0"/>
              <w:rPr>
                <w:rFonts w:eastAsia="SimSun"/>
                <w:b/>
                <w:bCs/>
                <w:sz w:val="24"/>
                <w:szCs w:val="24"/>
                <w:lang w:val="sr-Cyrl-CS" w:eastAsia="zh-CN"/>
              </w:rPr>
            </w:pPr>
            <w:r w:rsidRPr="0068493E">
              <w:rPr>
                <w:rFonts w:eastAsia="SimSun"/>
                <w:b/>
                <w:bCs/>
                <w:sz w:val="24"/>
                <w:szCs w:val="24"/>
                <w:lang w:val="sr-Cyrl-CS" w:eastAsia="zh-CN"/>
              </w:rPr>
              <w:t>0</w:t>
            </w:r>
          </w:p>
        </w:tc>
        <w:tc>
          <w:tcPr>
            <w:tcW w:w="1579" w:type="dxa"/>
          </w:tcPr>
          <w:p w14:paraId="7816BA2A" w14:textId="77777777" w:rsidR="00467082" w:rsidRPr="0068493E" w:rsidRDefault="00467082" w:rsidP="006464F6">
            <w:pPr>
              <w:jc w:val="both"/>
              <w:cnfStyle w:val="000000000000" w:firstRow="0" w:lastRow="0" w:firstColumn="0" w:lastColumn="0" w:oddVBand="0" w:evenVBand="0" w:oddHBand="0" w:evenHBand="0" w:firstRowFirstColumn="0" w:firstRowLastColumn="0" w:lastRowFirstColumn="0" w:lastRowLastColumn="0"/>
              <w:rPr>
                <w:rFonts w:eastAsia="SimSun"/>
                <w:b/>
                <w:bCs/>
                <w:sz w:val="24"/>
                <w:szCs w:val="24"/>
                <w:lang w:val="sr-Cyrl-CS" w:eastAsia="zh-CN"/>
              </w:rPr>
            </w:pPr>
            <w:r w:rsidRPr="0068493E">
              <w:rPr>
                <w:rFonts w:eastAsia="SimSun"/>
                <w:b/>
                <w:bCs/>
                <w:sz w:val="24"/>
                <w:szCs w:val="24"/>
                <w:lang w:val="sr-Cyrl-CS" w:eastAsia="zh-CN"/>
              </w:rPr>
              <w:t>7</w:t>
            </w:r>
          </w:p>
        </w:tc>
        <w:tc>
          <w:tcPr>
            <w:tcW w:w="1384" w:type="dxa"/>
          </w:tcPr>
          <w:p w14:paraId="1AF0E3AF" w14:textId="77777777" w:rsidR="00467082" w:rsidRPr="0068493E" w:rsidRDefault="00467082" w:rsidP="006464F6">
            <w:pPr>
              <w:jc w:val="both"/>
              <w:cnfStyle w:val="000000000000" w:firstRow="0" w:lastRow="0" w:firstColumn="0" w:lastColumn="0" w:oddVBand="0" w:evenVBand="0" w:oddHBand="0" w:evenHBand="0" w:firstRowFirstColumn="0" w:firstRowLastColumn="0" w:lastRowFirstColumn="0" w:lastRowLastColumn="0"/>
              <w:rPr>
                <w:rFonts w:eastAsia="SimSun"/>
                <w:b/>
                <w:bCs/>
                <w:sz w:val="24"/>
                <w:szCs w:val="24"/>
                <w:lang w:val="sr-Cyrl-CS" w:eastAsia="zh-CN"/>
              </w:rPr>
            </w:pPr>
            <w:r w:rsidRPr="0068493E">
              <w:rPr>
                <w:rFonts w:eastAsia="SimSun"/>
                <w:b/>
                <w:bCs/>
                <w:sz w:val="24"/>
                <w:szCs w:val="24"/>
                <w:lang w:val="sr-Cyrl-CS" w:eastAsia="zh-CN"/>
              </w:rPr>
              <w:t>0</w:t>
            </w:r>
          </w:p>
        </w:tc>
      </w:tr>
      <w:tr w:rsidR="00467082" w:rsidRPr="0068493E" w14:paraId="0CC79E5A" w14:textId="77777777" w:rsidTr="00467082">
        <w:tc>
          <w:tcPr>
            <w:cnfStyle w:val="001000000000" w:firstRow="0" w:lastRow="0" w:firstColumn="1" w:lastColumn="0" w:oddVBand="0" w:evenVBand="0" w:oddHBand="0" w:evenHBand="0" w:firstRowFirstColumn="0" w:firstRowLastColumn="0" w:lastRowFirstColumn="0" w:lastRowLastColumn="0"/>
            <w:tcW w:w="1166" w:type="dxa"/>
          </w:tcPr>
          <w:p w14:paraId="1A56A131" w14:textId="77777777" w:rsidR="00467082" w:rsidRPr="0068493E" w:rsidRDefault="00467082" w:rsidP="006464F6">
            <w:pPr>
              <w:jc w:val="both"/>
              <w:rPr>
                <w:rFonts w:eastAsia="SimSun"/>
                <w:sz w:val="24"/>
                <w:szCs w:val="24"/>
                <w:lang w:val="sr-Cyrl-CS" w:eastAsia="zh-CN"/>
              </w:rPr>
            </w:pPr>
            <w:r w:rsidRPr="0068493E">
              <w:rPr>
                <w:rFonts w:eastAsia="SimSun"/>
                <w:sz w:val="24"/>
                <w:szCs w:val="24"/>
                <w:lang w:val="sr-Cyrl-CS" w:eastAsia="zh-CN"/>
              </w:rPr>
              <w:t>2022 (до октобра)</w:t>
            </w:r>
          </w:p>
        </w:tc>
        <w:tc>
          <w:tcPr>
            <w:tcW w:w="1214" w:type="dxa"/>
          </w:tcPr>
          <w:p w14:paraId="33990338" w14:textId="77777777" w:rsidR="00467082" w:rsidRPr="0068493E" w:rsidRDefault="00467082" w:rsidP="006464F6">
            <w:pPr>
              <w:jc w:val="both"/>
              <w:cnfStyle w:val="000000000000" w:firstRow="0" w:lastRow="0" w:firstColumn="0" w:lastColumn="0" w:oddVBand="0" w:evenVBand="0" w:oddHBand="0" w:evenHBand="0" w:firstRowFirstColumn="0" w:firstRowLastColumn="0" w:lastRowFirstColumn="0" w:lastRowLastColumn="0"/>
              <w:rPr>
                <w:rFonts w:eastAsia="SimSun"/>
                <w:b/>
                <w:bCs/>
                <w:sz w:val="24"/>
                <w:szCs w:val="24"/>
                <w:lang w:val="sr-Cyrl-CS" w:eastAsia="zh-CN"/>
              </w:rPr>
            </w:pPr>
            <w:r w:rsidRPr="0068493E">
              <w:rPr>
                <w:rFonts w:eastAsia="SimSun"/>
                <w:b/>
                <w:bCs/>
                <w:sz w:val="24"/>
                <w:szCs w:val="24"/>
                <w:lang w:val="sr-Cyrl-CS" w:eastAsia="zh-CN"/>
              </w:rPr>
              <w:t>16</w:t>
            </w:r>
          </w:p>
        </w:tc>
        <w:tc>
          <w:tcPr>
            <w:tcW w:w="1358" w:type="dxa"/>
          </w:tcPr>
          <w:p w14:paraId="101D5B68" w14:textId="77777777" w:rsidR="00467082" w:rsidRPr="0068493E" w:rsidRDefault="00467082" w:rsidP="006464F6">
            <w:pPr>
              <w:jc w:val="both"/>
              <w:cnfStyle w:val="000000000000" w:firstRow="0" w:lastRow="0" w:firstColumn="0" w:lastColumn="0" w:oddVBand="0" w:evenVBand="0" w:oddHBand="0" w:evenHBand="0" w:firstRowFirstColumn="0" w:firstRowLastColumn="0" w:lastRowFirstColumn="0" w:lastRowLastColumn="0"/>
              <w:rPr>
                <w:rFonts w:eastAsia="SimSun"/>
                <w:b/>
                <w:bCs/>
                <w:sz w:val="24"/>
                <w:szCs w:val="24"/>
                <w:lang w:val="sr-Cyrl-CS" w:eastAsia="zh-CN"/>
              </w:rPr>
            </w:pPr>
            <w:r w:rsidRPr="0068493E">
              <w:rPr>
                <w:rFonts w:eastAsia="SimSun"/>
                <w:b/>
                <w:bCs/>
                <w:sz w:val="24"/>
                <w:szCs w:val="24"/>
                <w:lang w:val="sr-Cyrl-CS" w:eastAsia="zh-CN"/>
              </w:rPr>
              <w:t>0</w:t>
            </w:r>
          </w:p>
        </w:tc>
        <w:tc>
          <w:tcPr>
            <w:tcW w:w="1579" w:type="dxa"/>
          </w:tcPr>
          <w:p w14:paraId="51485303" w14:textId="77777777" w:rsidR="00467082" w:rsidRPr="0068493E" w:rsidRDefault="00467082" w:rsidP="006464F6">
            <w:pPr>
              <w:jc w:val="both"/>
              <w:cnfStyle w:val="000000000000" w:firstRow="0" w:lastRow="0" w:firstColumn="0" w:lastColumn="0" w:oddVBand="0" w:evenVBand="0" w:oddHBand="0" w:evenHBand="0" w:firstRowFirstColumn="0" w:firstRowLastColumn="0" w:lastRowFirstColumn="0" w:lastRowLastColumn="0"/>
              <w:rPr>
                <w:rFonts w:eastAsia="SimSun"/>
                <w:b/>
                <w:bCs/>
                <w:sz w:val="24"/>
                <w:szCs w:val="24"/>
                <w:lang w:val="sr-Cyrl-CS" w:eastAsia="zh-CN"/>
              </w:rPr>
            </w:pPr>
            <w:r w:rsidRPr="0068493E">
              <w:rPr>
                <w:rFonts w:eastAsia="SimSun"/>
                <w:b/>
                <w:bCs/>
                <w:sz w:val="24"/>
                <w:szCs w:val="24"/>
                <w:lang w:val="sr-Cyrl-CS" w:eastAsia="zh-CN"/>
              </w:rPr>
              <w:t>2</w:t>
            </w:r>
          </w:p>
        </w:tc>
        <w:tc>
          <w:tcPr>
            <w:tcW w:w="1384" w:type="dxa"/>
          </w:tcPr>
          <w:p w14:paraId="5EA576B3" w14:textId="77777777" w:rsidR="00467082" w:rsidRPr="0068493E" w:rsidRDefault="00467082" w:rsidP="006464F6">
            <w:pPr>
              <w:jc w:val="both"/>
              <w:cnfStyle w:val="000000000000" w:firstRow="0" w:lastRow="0" w:firstColumn="0" w:lastColumn="0" w:oddVBand="0" w:evenVBand="0" w:oddHBand="0" w:evenHBand="0" w:firstRowFirstColumn="0" w:firstRowLastColumn="0" w:lastRowFirstColumn="0" w:lastRowLastColumn="0"/>
              <w:rPr>
                <w:rFonts w:eastAsia="SimSun"/>
                <w:b/>
                <w:bCs/>
                <w:sz w:val="24"/>
                <w:szCs w:val="24"/>
                <w:lang w:val="sr-Cyrl-CS" w:eastAsia="zh-CN"/>
              </w:rPr>
            </w:pPr>
            <w:r w:rsidRPr="0068493E">
              <w:rPr>
                <w:rFonts w:eastAsia="SimSun"/>
                <w:b/>
                <w:bCs/>
                <w:sz w:val="24"/>
                <w:szCs w:val="24"/>
                <w:lang w:val="sr-Cyrl-CS" w:eastAsia="zh-CN"/>
              </w:rPr>
              <w:t>0</w:t>
            </w:r>
          </w:p>
        </w:tc>
      </w:tr>
    </w:tbl>
    <w:p w14:paraId="611296B2" w14:textId="77777777" w:rsidR="00B86B54" w:rsidRPr="0068493E" w:rsidRDefault="00B86B54" w:rsidP="00B86B54">
      <w:pPr>
        <w:pStyle w:val="ListParagraph"/>
        <w:ind w:left="0"/>
        <w:jc w:val="both"/>
        <w:rPr>
          <w:rFonts w:ascii="Times New Roman" w:hAnsi="Times New Roman" w:cs="Times New Roman"/>
          <w:b/>
          <w:bCs/>
          <w:sz w:val="24"/>
          <w:szCs w:val="24"/>
          <w:lang w:val="sr-Cyrl-CS"/>
        </w:rPr>
      </w:pPr>
    </w:p>
    <w:p w14:paraId="542F7563" w14:textId="0DC64EEA" w:rsidR="00697F8C" w:rsidRPr="0068493E" w:rsidRDefault="00697F8C" w:rsidP="00697F8C">
      <w:pPr>
        <w:spacing w:line="240" w:lineRule="auto"/>
        <w:jc w:val="both"/>
        <w:rPr>
          <w:rFonts w:ascii="Times New Roman" w:hAnsi="Times New Roman" w:cs="Times New Roman"/>
          <w:sz w:val="24"/>
          <w:szCs w:val="24"/>
          <w:lang w:val="sr-Cyrl-CS"/>
        </w:rPr>
      </w:pPr>
      <w:r w:rsidRPr="0068493E">
        <w:rPr>
          <w:rFonts w:ascii="Times New Roman" w:hAnsi="Times New Roman" w:cs="Times New Roman"/>
          <w:sz w:val="24"/>
          <w:szCs w:val="24"/>
          <w:lang w:val="sr-Cyrl-CS"/>
        </w:rPr>
        <w:t xml:space="preserve">У следећој табели приказан је број решења – дозвола и потврда у делу прекограничног кретања отпада које је издало Министарство као надлежни орган за ове дозволе </w:t>
      </w:r>
    </w:p>
    <w:tbl>
      <w:tblPr>
        <w:tblStyle w:val="TableGrid"/>
        <w:tblW w:w="0" w:type="auto"/>
        <w:tblLook w:val="04A0" w:firstRow="1" w:lastRow="0" w:firstColumn="1" w:lastColumn="0" w:noHBand="0" w:noVBand="1"/>
      </w:tblPr>
      <w:tblGrid>
        <w:gridCol w:w="2020"/>
        <w:gridCol w:w="2700"/>
        <w:gridCol w:w="4296"/>
      </w:tblGrid>
      <w:tr w:rsidR="00697F8C" w:rsidRPr="0068493E" w14:paraId="248535AC" w14:textId="77777777" w:rsidTr="00697F8C">
        <w:trPr>
          <w:trHeight w:val="275"/>
        </w:trPr>
        <w:tc>
          <w:tcPr>
            <w:tcW w:w="2020" w:type="dxa"/>
            <w:hideMark/>
          </w:tcPr>
          <w:p w14:paraId="3BB72D82" w14:textId="77777777" w:rsidR="00697F8C" w:rsidRPr="0068493E" w:rsidRDefault="00697F8C" w:rsidP="006464F6">
            <w:pPr>
              <w:jc w:val="center"/>
              <w:rPr>
                <w:rFonts w:ascii="Times New Roman" w:hAnsi="Times New Roman" w:cs="Times New Roman"/>
                <w:sz w:val="24"/>
                <w:szCs w:val="24"/>
                <w:lang w:val="sr-Cyrl-CS"/>
              </w:rPr>
            </w:pPr>
            <w:r w:rsidRPr="0068493E">
              <w:rPr>
                <w:rFonts w:ascii="Times New Roman" w:hAnsi="Times New Roman" w:cs="Times New Roman"/>
                <w:sz w:val="24"/>
                <w:szCs w:val="24"/>
                <w:lang w:val="sr-Cyrl-CS"/>
              </w:rPr>
              <w:t>Година</w:t>
            </w:r>
          </w:p>
        </w:tc>
        <w:tc>
          <w:tcPr>
            <w:tcW w:w="2700" w:type="dxa"/>
            <w:hideMark/>
          </w:tcPr>
          <w:p w14:paraId="7D59A632" w14:textId="77777777" w:rsidR="00697F8C" w:rsidRPr="0068493E" w:rsidRDefault="00697F8C" w:rsidP="006464F6">
            <w:pPr>
              <w:jc w:val="center"/>
              <w:rPr>
                <w:rFonts w:ascii="Times New Roman" w:hAnsi="Times New Roman" w:cs="Times New Roman"/>
                <w:sz w:val="24"/>
                <w:szCs w:val="24"/>
                <w:lang w:val="sr-Cyrl-CS"/>
              </w:rPr>
            </w:pPr>
            <w:r w:rsidRPr="0068493E">
              <w:rPr>
                <w:rFonts w:ascii="Times New Roman" w:hAnsi="Times New Roman" w:cs="Times New Roman"/>
                <w:sz w:val="24"/>
                <w:szCs w:val="24"/>
                <w:lang w:val="sr-Cyrl-CS"/>
              </w:rPr>
              <w:t xml:space="preserve">Дозволе  и Потврде пријаве </w:t>
            </w:r>
          </w:p>
          <w:p w14:paraId="7349C16D" w14:textId="77777777" w:rsidR="00697F8C" w:rsidRPr="0068493E" w:rsidRDefault="00697F8C" w:rsidP="006464F6">
            <w:pPr>
              <w:jc w:val="center"/>
              <w:rPr>
                <w:rFonts w:ascii="Times New Roman" w:hAnsi="Times New Roman" w:cs="Times New Roman"/>
                <w:sz w:val="24"/>
                <w:szCs w:val="24"/>
                <w:lang w:val="sr-Cyrl-CS"/>
              </w:rPr>
            </w:pPr>
            <w:r w:rsidRPr="0068493E">
              <w:rPr>
                <w:rFonts w:ascii="Times New Roman" w:hAnsi="Times New Roman" w:cs="Times New Roman"/>
                <w:sz w:val="24"/>
                <w:szCs w:val="24"/>
                <w:lang w:val="sr-Cyrl-CS"/>
              </w:rPr>
              <w:t>за прекогранично кретање отпада</w:t>
            </w:r>
          </w:p>
        </w:tc>
        <w:tc>
          <w:tcPr>
            <w:tcW w:w="4296" w:type="dxa"/>
            <w:hideMark/>
          </w:tcPr>
          <w:p w14:paraId="6F8E56C6" w14:textId="77777777" w:rsidR="00697F8C" w:rsidRPr="0068493E" w:rsidRDefault="00697F8C" w:rsidP="006464F6">
            <w:pPr>
              <w:jc w:val="center"/>
              <w:rPr>
                <w:rFonts w:ascii="Times New Roman" w:hAnsi="Times New Roman" w:cs="Times New Roman"/>
                <w:sz w:val="24"/>
                <w:szCs w:val="24"/>
                <w:lang w:val="sr-Cyrl-CS"/>
              </w:rPr>
            </w:pPr>
            <w:r w:rsidRPr="0068493E">
              <w:rPr>
                <w:rFonts w:ascii="Times New Roman" w:hAnsi="Times New Roman" w:cs="Times New Roman"/>
                <w:sz w:val="24"/>
                <w:szCs w:val="24"/>
                <w:lang w:val="sr-Cyrl-CS"/>
              </w:rPr>
              <w:t xml:space="preserve">Издата акта у складу са </w:t>
            </w:r>
          </w:p>
          <w:p w14:paraId="42A3E496" w14:textId="5CB10593" w:rsidR="00697F8C" w:rsidRPr="0068493E" w:rsidRDefault="00697F8C" w:rsidP="006464F6">
            <w:pPr>
              <w:jc w:val="center"/>
              <w:rPr>
                <w:rFonts w:ascii="Times New Roman" w:hAnsi="Times New Roman" w:cs="Times New Roman"/>
                <w:sz w:val="24"/>
                <w:szCs w:val="24"/>
                <w:lang w:val="sr-Cyrl-CS"/>
              </w:rPr>
            </w:pPr>
            <w:r w:rsidRPr="0068493E">
              <w:rPr>
                <w:rFonts w:ascii="Times New Roman" w:hAnsi="Times New Roman" w:cs="Times New Roman"/>
                <w:sz w:val="24"/>
                <w:szCs w:val="24"/>
                <w:lang w:val="sr-Cyrl-CS"/>
              </w:rPr>
              <w:t>ЗоУП (решења о обустављању/одбијању/измени</w:t>
            </w:r>
            <w:r w:rsidR="0068493E" w:rsidRPr="0068493E">
              <w:rPr>
                <w:rFonts w:ascii="Times New Roman" w:hAnsi="Times New Roman" w:cs="Times New Roman"/>
                <w:sz w:val="24"/>
                <w:szCs w:val="24"/>
                <w:lang w:val="sr-Cyrl-CS"/>
              </w:rPr>
              <w:t>/допуни/ исправке и ЗоУО (чл 71</w:t>
            </w:r>
            <w:r w:rsidRPr="0068493E">
              <w:rPr>
                <w:rFonts w:ascii="Times New Roman" w:hAnsi="Times New Roman" w:cs="Times New Roman"/>
                <w:sz w:val="24"/>
                <w:szCs w:val="24"/>
                <w:lang w:val="sr-Cyrl-CS"/>
              </w:rPr>
              <w:t>-72.)</w:t>
            </w:r>
          </w:p>
        </w:tc>
      </w:tr>
      <w:tr w:rsidR="00697F8C" w:rsidRPr="0068493E" w14:paraId="71912C43" w14:textId="77777777" w:rsidTr="00697F8C">
        <w:trPr>
          <w:trHeight w:val="248"/>
        </w:trPr>
        <w:tc>
          <w:tcPr>
            <w:tcW w:w="2020" w:type="dxa"/>
          </w:tcPr>
          <w:p w14:paraId="70A33720" w14:textId="77777777" w:rsidR="00697F8C" w:rsidRPr="0068493E" w:rsidRDefault="00697F8C" w:rsidP="006464F6">
            <w:pPr>
              <w:rPr>
                <w:rFonts w:ascii="Times New Roman" w:hAnsi="Times New Roman" w:cs="Times New Roman"/>
                <w:sz w:val="24"/>
                <w:szCs w:val="24"/>
                <w:lang w:val="sr-Cyrl-CS"/>
              </w:rPr>
            </w:pPr>
            <w:r w:rsidRPr="0068493E">
              <w:rPr>
                <w:rFonts w:ascii="Times New Roman" w:hAnsi="Times New Roman" w:cs="Times New Roman"/>
                <w:sz w:val="24"/>
                <w:szCs w:val="24"/>
                <w:lang w:val="sr-Cyrl-CS"/>
              </w:rPr>
              <w:t>2019.</w:t>
            </w:r>
          </w:p>
        </w:tc>
        <w:tc>
          <w:tcPr>
            <w:tcW w:w="2700" w:type="dxa"/>
          </w:tcPr>
          <w:p w14:paraId="4086A808" w14:textId="77777777" w:rsidR="00697F8C" w:rsidRPr="0068493E" w:rsidRDefault="00697F8C" w:rsidP="006464F6">
            <w:pPr>
              <w:rPr>
                <w:rFonts w:ascii="Times New Roman" w:hAnsi="Times New Roman" w:cs="Times New Roman"/>
                <w:sz w:val="24"/>
                <w:szCs w:val="24"/>
                <w:lang w:val="sr-Cyrl-CS"/>
              </w:rPr>
            </w:pPr>
            <w:r w:rsidRPr="0068493E">
              <w:rPr>
                <w:rFonts w:ascii="Times New Roman" w:hAnsi="Times New Roman" w:cs="Times New Roman"/>
                <w:sz w:val="24"/>
                <w:szCs w:val="24"/>
                <w:lang w:val="sr-Cyrl-CS"/>
              </w:rPr>
              <w:t>526</w:t>
            </w:r>
          </w:p>
        </w:tc>
        <w:tc>
          <w:tcPr>
            <w:tcW w:w="4296" w:type="dxa"/>
          </w:tcPr>
          <w:p w14:paraId="08E919D8" w14:textId="77777777" w:rsidR="00697F8C" w:rsidRPr="0068493E" w:rsidRDefault="00697F8C" w:rsidP="006464F6">
            <w:pPr>
              <w:rPr>
                <w:rFonts w:ascii="Times New Roman" w:hAnsi="Times New Roman" w:cs="Times New Roman"/>
                <w:sz w:val="24"/>
                <w:szCs w:val="24"/>
                <w:lang w:val="sr-Cyrl-CS"/>
              </w:rPr>
            </w:pPr>
            <w:r w:rsidRPr="0068493E">
              <w:rPr>
                <w:rFonts w:ascii="Times New Roman" w:hAnsi="Times New Roman" w:cs="Times New Roman"/>
                <w:sz w:val="24"/>
                <w:szCs w:val="24"/>
                <w:lang w:val="sr-Cyrl-CS"/>
              </w:rPr>
              <w:t>158</w:t>
            </w:r>
          </w:p>
        </w:tc>
      </w:tr>
      <w:tr w:rsidR="00697F8C" w:rsidRPr="0068493E" w14:paraId="0AA29D5C" w14:textId="77777777" w:rsidTr="00697F8C">
        <w:trPr>
          <w:trHeight w:val="248"/>
        </w:trPr>
        <w:tc>
          <w:tcPr>
            <w:tcW w:w="2020" w:type="dxa"/>
          </w:tcPr>
          <w:p w14:paraId="695BFA67" w14:textId="77777777" w:rsidR="00697F8C" w:rsidRPr="0068493E" w:rsidRDefault="00697F8C" w:rsidP="006464F6">
            <w:pPr>
              <w:rPr>
                <w:rFonts w:ascii="Times New Roman" w:hAnsi="Times New Roman" w:cs="Times New Roman"/>
                <w:sz w:val="24"/>
                <w:szCs w:val="24"/>
                <w:lang w:val="sr-Cyrl-CS"/>
              </w:rPr>
            </w:pPr>
            <w:r w:rsidRPr="0068493E">
              <w:rPr>
                <w:rFonts w:ascii="Times New Roman" w:hAnsi="Times New Roman" w:cs="Times New Roman"/>
                <w:sz w:val="24"/>
                <w:szCs w:val="24"/>
                <w:lang w:val="sr-Cyrl-CS"/>
              </w:rPr>
              <w:t>2020.</w:t>
            </w:r>
          </w:p>
        </w:tc>
        <w:tc>
          <w:tcPr>
            <w:tcW w:w="2700" w:type="dxa"/>
          </w:tcPr>
          <w:p w14:paraId="08A22933" w14:textId="77777777" w:rsidR="00697F8C" w:rsidRPr="0068493E" w:rsidRDefault="00697F8C" w:rsidP="006464F6">
            <w:pPr>
              <w:rPr>
                <w:rFonts w:ascii="Times New Roman" w:hAnsi="Times New Roman" w:cs="Times New Roman"/>
                <w:sz w:val="24"/>
                <w:szCs w:val="24"/>
                <w:lang w:val="sr-Cyrl-CS"/>
              </w:rPr>
            </w:pPr>
            <w:r w:rsidRPr="0068493E">
              <w:rPr>
                <w:rFonts w:ascii="Times New Roman" w:hAnsi="Times New Roman" w:cs="Times New Roman"/>
                <w:sz w:val="24"/>
                <w:szCs w:val="24"/>
                <w:lang w:val="sr-Cyrl-CS"/>
              </w:rPr>
              <w:t>470</w:t>
            </w:r>
          </w:p>
        </w:tc>
        <w:tc>
          <w:tcPr>
            <w:tcW w:w="4296" w:type="dxa"/>
          </w:tcPr>
          <w:p w14:paraId="50132C98" w14:textId="77777777" w:rsidR="00697F8C" w:rsidRPr="0068493E" w:rsidRDefault="00697F8C" w:rsidP="006464F6">
            <w:pPr>
              <w:rPr>
                <w:rFonts w:ascii="Times New Roman" w:hAnsi="Times New Roman" w:cs="Times New Roman"/>
                <w:sz w:val="24"/>
                <w:szCs w:val="24"/>
                <w:lang w:val="sr-Cyrl-CS"/>
              </w:rPr>
            </w:pPr>
            <w:r w:rsidRPr="0068493E">
              <w:rPr>
                <w:rFonts w:ascii="Times New Roman" w:hAnsi="Times New Roman" w:cs="Times New Roman"/>
                <w:sz w:val="24"/>
                <w:szCs w:val="24"/>
                <w:lang w:val="sr-Cyrl-CS"/>
              </w:rPr>
              <w:t>127</w:t>
            </w:r>
          </w:p>
        </w:tc>
      </w:tr>
      <w:tr w:rsidR="00697F8C" w:rsidRPr="0068493E" w14:paraId="682AEE6B" w14:textId="77777777" w:rsidTr="00697F8C">
        <w:trPr>
          <w:trHeight w:val="248"/>
        </w:trPr>
        <w:tc>
          <w:tcPr>
            <w:tcW w:w="2020" w:type="dxa"/>
          </w:tcPr>
          <w:p w14:paraId="1B7B999B" w14:textId="77777777" w:rsidR="00697F8C" w:rsidRPr="0068493E" w:rsidRDefault="00697F8C" w:rsidP="006464F6">
            <w:pPr>
              <w:rPr>
                <w:rFonts w:ascii="Times New Roman" w:hAnsi="Times New Roman" w:cs="Times New Roman"/>
                <w:sz w:val="24"/>
                <w:szCs w:val="24"/>
                <w:lang w:val="sr-Cyrl-CS"/>
              </w:rPr>
            </w:pPr>
            <w:r w:rsidRPr="0068493E">
              <w:rPr>
                <w:rFonts w:ascii="Times New Roman" w:hAnsi="Times New Roman" w:cs="Times New Roman"/>
                <w:sz w:val="24"/>
                <w:szCs w:val="24"/>
                <w:lang w:val="sr-Cyrl-CS"/>
              </w:rPr>
              <w:t>2021.</w:t>
            </w:r>
          </w:p>
        </w:tc>
        <w:tc>
          <w:tcPr>
            <w:tcW w:w="2700" w:type="dxa"/>
          </w:tcPr>
          <w:p w14:paraId="6FC09836" w14:textId="77777777" w:rsidR="00697F8C" w:rsidRPr="0068493E" w:rsidRDefault="00697F8C" w:rsidP="006464F6">
            <w:pPr>
              <w:rPr>
                <w:rFonts w:ascii="Times New Roman" w:hAnsi="Times New Roman" w:cs="Times New Roman"/>
                <w:sz w:val="24"/>
                <w:szCs w:val="24"/>
                <w:lang w:val="sr-Cyrl-CS"/>
              </w:rPr>
            </w:pPr>
            <w:r w:rsidRPr="0068493E">
              <w:rPr>
                <w:rFonts w:ascii="Times New Roman" w:hAnsi="Times New Roman" w:cs="Times New Roman"/>
                <w:sz w:val="24"/>
                <w:szCs w:val="24"/>
                <w:lang w:val="sr-Cyrl-CS"/>
              </w:rPr>
              <w:t>384</w:t>
            </w:r>
          </w:p>
        </w:tc>
        <w:tc>
          <w:tcPr>
            <w:tcW w:w="4296" w:type="dxa"/>
          </w:tcPr>
          <w:p w14:paraId="4A9C45B4" w14:textId="77777777" w:rsidR="00697F8C" w:rsidRPr="0068493E" w:rsidRDefault="00697F8C" w:rsidP="006464F6">
            <w:pPr>
              <w:rPr>
                <w:rFonts w:ascii="Times New Roman" w:hAnsi="Times New Roman" w:cs="Times New Roman"/>
                <w:sz w:val="24"/>
                <w:szCs w:val="24"/>
                <w:lang w:val="sr-Cyrl-CS"/>
              </w:rPr>
            </w:pPr>
            <w:r w:rsidRPr="0068493E">
              <w:rPr>
                <w:rFonts w:ascii="Times New Roman" w:hAnsi="Times New Roman" w:cs="Times New Roman"/>
                <w:sz w:val="24"/>
                <w:szCs w:val="24"/>
                <w:lang w:val="sr-Cyrl-CS"/>
              </w:rPr>
              <w:t>97</w:t>
            </w:r>
          </w:p>
        </w:tc>
      </w:tr>
    </w:tbl>
    <w:p w14:paraId="52096B84" w14:textId="77777777" w:rsidR="00697F8C" w:rsidRPr="0068493E" w:rsidRDefault="00697F8C" w:rsidP="00697F8C">
      <w:pPr>
        <w:jc w:val="both"/>
        <w:rPr>
          <w:rFonts w:ascii="Times New Roman" w:hAnsi="Times New Roman" w:cs="Times New Roman"/>
          <w:color w:val="00B050"/>
          <w:sz w:val="16"/>
          <w:szCs w:val="16"/>
          <w:lang w:val="sr-Cyrl-CS"/>
        </w:rPr>
      </w:pPr>
    </w:p>
    <w:p w14:paraId="72EEF4BA" w14:textId="77777777" w:rsidR="00697F8C" w:rsidRPr="0068493E" w:rsidRDefault="00697F8C" w:rsidP="00BC3CC9">
      <w:pPr>
        <w:spacing w:line="240" w:lineRule="auto"/>
        <w:jc w:val="both"/>
        <w:rPr>
          <w:rFonts w:ascii="Times New Roman" w:hAnsi="Times New Roman" w:cs="Times New Roman"/>
          <w:sz w:val="24"/>
          <w:szCs w:val="24"/>
          <w:lang w:val="sr-Cyrl-CS"/>
        </w:rPr>
      </w:pPr>
    </w:p>
    <w:p w14:paraId="40EBCA9D" w14:textId="360E1372" w:rsidR="009878CA" w:rsidRPr="0068493E" w:rsidRDefault="009878CA" w:rsidP="00BC3CC9">
      <w:pPr>
        <w:spacing w:line="240" w:lineRule="auto"/>
        <w:jc w:val="both"/>
        <w:rPr>
          <w:rFonts w:ascii="Times New Roman" w:hAnsi="Times New Roman" w:cs="Times New Roman"/>
          <w:sz w:val="24"/>
          <w:szCs w:val="24"/>
          <w:lang w:val="sr-Cyrl-CS"/>
        </w:rPr>
      </w:pPr>
      <w:r w:rsidRPr="0068493E">
        <w:rPr>
          <w:rFonts w:ascii="Times New Roman" w:hAnsi="Times New Roman" w:cs="Times New Roman"/>
          <w:b/>
          <w:bCs/>
          <w:sz w:val="24"/>
          <w:szCs w:val="24"/>
          <w:lang w:val="sr-Cyrl-CS"/>
        </w:rPr>
        <w:t>Правне празнине:</w:t>
      </w:r>
    </w:p>
    <w:p w14:paraId="71F1E717" w14:textId="20CAC142" w:rsidR="009878CA" w:rsidRPr="0068493E" w:rsidRDefault="009878CA" w:rsidP="009878CA">
      <w:pPr>
        <w:spacing w:after="0" w:line="240" w:lineRule="auto"/>
        <w:jc w:val="both"/>
        <w:rPr>
          <w:rFonts w:ascii="Times New Roman" w:hAnsi="Times New Roman" w:cs="Times New Roman"/>
          <w:sz w:val="24"/>
          <w:szCs w:val="24"/>
          <w:lang w:val="sr-Cyrl-CS"/>
        </w:rPr>
      </w:pPr>
      <w:r w:rsidRPr="0068493E">
        <w:rPr>
          <w:rFonts w:ascii="Times New Roman" w:hAnsi="Times New Roman" w:cs="Times New Roman"/>
          <w:sz w:val="24"/>
          <w:szCs w:val="24"/>
          <w:lang w:val="sr-Cyrl-CS"/>
        </w:rPr>
        <w:t>-У Закону о управљању отпадом (у даљем тексту: Закон) постоје одређене правне празнине због неусклађености са захтевима Директиве 2008/98 о управљању отпадом (дефинисање појмова се разликује од појмова прописаних Директивом, недовољно дефинисани услови за престанак статуса отпада, планирање, одговорност субјеката управљања отпадом произвођача, оператера). Неусклађености постоје и са посебним директивама ЕУ које садрже велики број прописа којима се уређује управљање отпадом (сакупљање, транспорт, третман, поновна употреба, рециклажа и одлагање отпада), посебно комуналним и опасним отпадом, у које спадају и посебни токови отпада, вођење регистара. То захтева ревизију материјално-правних решења важећег закона, како са становишта Оквирне директиве о отпаду, тако и свих других прописа ЕУ у делу у којем нису транспоновани у Закон о управљању отпадом и подзаконске прописе.</w:t>
      </w:r>
    </w:p>
    <w:p w14:paraId="2FD7CDED" w14:textId="0503D957" w:rsidR="00FF7A2C" w:rsidRPr="0068493E" w:rsidRDefault="00FF7A2C" w:rsidP="009878CA">
      <w:pPr>
        <w:spacing w:after="0" w:line="240" w:lineRule="auto"/>
        <w:jc w:val="both"/>
        <w:rPr>
          <w:rFonts w:ascii="Times New Roman" w:hAnsi="Times New Roman" w:cs="Times New Roman"/>
          <w:sz w:val="24"/>
          <w:szCs w:val="24"/>
          <w:lang w:val="sr-Cyrl-CS"/>
        </w:rPr>
      </w:pPr>
      <w:r w:rsidRPr="0068493E">
        <w:rPr>
          <w:rFonts w:ascii="Times New Roman" w:hAnsi="Times New Roman" w:cs="Times New Roman"/>
          <w:sz w:val="24"/>
          <w:szCs w:val="24"/>
          <w:lang w:val="sr-Cyrl-CS"/>
        </w:rPr>
        <w:t>Престанак статуса отпада је јасније прописан изменама, посебно јер након уписа у Регистар, отпад постаје производ, а имајући у виду одредбе Закона о техничким захтевима за производе и оцењивању усаглашености. Критеријуми за престанак статуса отпада су усаглашени са захтевима ЕУ.</w:t>
      </w:r>
    </w:p>
    <w:p w14:paraId="3CFD0F95" w14:textId="6FF9B07B" w:rsidR="009878CA" w:rsidRPr="0068493E" w:rsidRDefault="009878CA" w:rsidP="009878CA">
      <w:pPr>
        <w:spacing w:after="0" w:line="240" w:lineRule="auto"/>
        <w:jc w:val="both"/>
        <w:rPr>
          <w:rFonts w:ascii="Times New Roman" w:hAnsi="Times New Roman" w:cs="Times New Roman"/>
          <w:sz w:val="24"/>
          <w:szCs w:val="24"/>
          <w:lang w:val="sr-Cyrl-CS"/>
        </w:rPr>
      </w:pPr>
      <w:r w:rsidRPr="0068493E">
        <w:rPr>
          <w:rFonts w:ascii="Times New Roman" w:hAnsi="Times New Roman" w:cs="Times New Roman"/>
          <w:sz w:val="24"/>
          <w:szCs w:val="24"/>
          <w:lang w:val="sr-Cyrl-CS"/>
        </w:rPr>
        <w:t>-Правне празнине су уочене и у делу који се односи на усаглашавање са Уредбом о пошиљкама отпада 1013/2006 а који се односе на захтеве за прекогранично кретање отпада и усклађивање процеса одобрења у складу са предметном Уредбом.</w:t>
      </w:r>
    </w:p>
    <w:p w14:paraId="1D83D859" w14:textId="65A41F2F" w:rsidR="009878CA" w:rsidRPr="0068493E" w:rsidRDefault="009878CA" w:rsidP="00002265">
      <w:pPr>
        <w:spacing w:after="0" w:line="240" w:lineRule="auto"/>
        <w:jc w:val="both"/>
        <w:rPr>
          <w:rFonts w:ascii="Times New Roman" w:hAnsi="Times New Roman" w:cs="Times New Roman"/>
          <w:sz w:val="24"/>
          <w:szCs w:val="24"/>
          <w:lang w:val="sr-Cyrl-CS"/>
        </w:rPr>
      </w:pPr>
      <w:r w:rsidRPr="0068493E">
        <w:rPr>
          <w:rFonts w:ascii="Times New Roman" w:hAnsi="Times New Roman" w:cs="Times New Roman"/>
          <w:sz w:val="24"/>
          <w:szCs w:val="24"/>
          <w:lang w:val="sr-Cyrl-CS"/>
        </w:rPr>
        <w:t>-У погледу дела закона који се односи на издавање дозвола, у пракси је уочено постојање правне празнине у погледу документације која се подноси уз захтев за издавање дозволе за управљање отпадом. То посебно из разлога што је постојећим законом наведено да се достављају дозволе и сагласности других органа, али се није прецизирало којих. Постојећим законом није дефинисана документација која се подноси уз захтев за добијање дозволе за сакупљање и/или транспорт отпада.</w:t>
      </w:r>
      <w:r w:rsidR="00FF7A2C" w:rsidRPr="0068493E">
        <w:rPr>
          <w:rFonts w:ascii="Times New Roman" w:hAnsi="Times New Roman" w:cs="Times New Roman"/>
          <w:sz w:val="24"/>
          <w:szCs w:val="24"/>
          <w:lang w:val="sr-Cyrl-CS"/>
        </w:rPr>
        <w:t xml:space="preserve"> </w:t>
      </w:r>
    </w:p>
    <w:p w14:paraId="644D3B65" w14:textId="08B06FE5" w:rsidR="00002265" w:rsidRPr="0068493E" w:rsidRDefault="00002265" w:rsidP="00E00DAE">
      <w:pPr>
        <w:spacing w:after="0" w:line="240" w:lineRule="auto"/>
        <w:jc w:val="both"/>
        <w:rPr>
          <w:rFonts w:ascii="Times New Roman" w:hAnsi="Times New Roman" w:cs="Times New Roman"/>
          <w:sz w:val="24"/>
          <w:szCs w:val="24"/>
          <w:lang w:val="sr-Cyrl-CS"/>
        </w:rPr>
      </w:pPr>
      <w:r w:rsidRPr="0068493E">
        <w:rPr>
          <w:rFonts w:ascii="Times New Roman" w:hAnsi="Times New Roman" w:cs="Times New Roman"/>
          <w:sz w:val="24"/>
          <w:szCs w:val="24"/>
          <w:lang w:val="sr-Cyrl-CS"/>
        </w:rPr>
        <w:lastRenderedPageBreak/>
        <w:t>-Правне празнине су уочене и због неусклађености закона са одредбама Директиве о индустријском загађењу, а којом се прописује термички третман отпада. Овом Директивом су прописани услови за изградњу и рад постројења за термички третман отпада, те је н</w:t>
      </w:r>
      <w:r w:rsidR="000E4533">
        <w:rPr>
          <w:rFonts w:ascii="Times New Roman" w:hAnsi="Times New Roman" w:cs="Times New Roman"/>
          <w:sz w:val="24"/>
          <w:szCs w:val="24"/>
          <w:lang w:val="sr-Cyrl-CS"/>
        </w:rPr>
        <w:t>е</w:t>
      </w:r>
      <w:r w:rsidRPr="0068493E">
        <w:rPr>
          <w:rFonts w:ascii="Times New Roman" w:hAnsi="Times New Roman" w:cs="Times New Roman"/>
          <w:sz w:val="24"/>
          <w:szCs w:val="24"/>
          <w:lang w:val="sr-Cyrl-CS"/>
        </w:rPr>
        <w:t>опходна њена имплементација у пропису.</w:t>
      </w:r>
    </w:p>
    <w:p w14:paraId="23BF986B" w14:textId="78DB10F8" w:rsidR="00E00DAE" w:rsidRPr="0068493E" w:rsidRDefault="00E00DAE" w:rsidP="00E00DAE">
      <w:pPr>
        <w:shd w:val="clear" w:color="auto" w:fill="FFFFFF"/>
        <w:spacing w:after="0" w:line="240" w:lineRule="auto"/>
        <w:jc w:val="both"/>
        <w:rPr>
          <w:rFonts w:ascii="Times New Roman" w:hAnsi="Times New Roman" w:cs="Times New Roman"/>
          <w:sz w:val="24"/>
          <w:szCs w:val="24"/>
          <w:lang w:val="sr-Cyrl-CS"/>
        </w:rPr>
      </w:pPr>
      <w:r w:rsidRPr="0068493E">
        <w:rPr>
          <w:rFonts w:ascii="Times New Roman" w:hAnsi="Times New Roman" w:cs="Times New Roman"/>
          <w:sz w:val="24"/>
          <w:szCs w:val="24"/>
          <w:lang w:val="sr-Cyrl-CS"/>
        </w:rPr>
        <w:t>-Предложене измене се односе и на имплементацију савремених стандарда управљања отпадом који захтевају знатно виши ниво техничких, административних и управљачких капацитета, прописаних изменама и допунама ЕУ Директиве о одлагању отпада на депоније.</w:t>
      </w:r>
    </w:p>
    <w:p w14:paraId="072703BE" w14:textId="6F89E701" w:rsidR="00E00DAE" w:rsidRPr="0068493E" w:rsidRDefault="00E00DAE" w:rsidP="00E00DAE">
      <w:pPr>
        <w:shd w:val="clear" w:color="auto" w:fill="FFFFFF"/>
        <w:spacing w:after="0" w:line="240" w:lineRule="auto"/>
        <w:jc w:val="both"/>
        <w:rPr>
          <w:rFonts w:ascii="Times New Roman" w:hAnsi="Times New Roman" w:cs="Times New Roman"/>
          <w:sz w:val="24"/>
          <w:szCs w:val="24"/>
          <w:lang w:val="sr-Cyrl-CS"/>
        </w:rPr>
      </w:pPr>
      <w:r w:rsidRPr="0068493E">
        <w:rPr>
          <w:rFonts w:ascii="Times New Roman" w:hAnsi="Times New Roman" w:cs="Times New Roman"/>
          <w:sz w:val="24"/>
          <w:szCs w:val="24"/>
          <w:lang w:val="sr-Cyrl-CS"/>
        </w:rPr>
        <w:t>- Законом није било предвиђено дефинисање управљања отпадном живом и живиним једињењима ради примене одредби Минамата конвенције, и рестрикција које је ЕУ увела и ставила на снагу 2018. године, Уредбом EU 2017/852, о ограничењу употребе живе и забрани њеног увоза, извоза. Изменама закона омогућа</w:t>
      </w:r>
      <w:r w:rsidR="000A4F7F">
        <w:rPr>
          <w:rFonts w:ascii="Times New Roman" w:hAnsi="Times New Roman" w:cs="Times New Roman"/>
          <w:sz w:val="24"/>
          <w:szCs w:val="24"/>
          <w:lang w:val="sr-Cyrl-CS"/>
        </w:rPr>
        <w:t>ва се прописивање техничких зах</w:t>
      </w:r>
      <w:r w:rsidRPr="0068493E">
        <w:rPr>
          <w:rFonts w:ascii="Times New Roman" w:hAnsi="Times New Roman" w:cs="Times New Roman"/>
          <w:sz w:val="24"/>
          <w:szCs w:val="24"/>
          <w:lang w:val="sr-Cyrl-CS"/>
        </w:rPr>
        <w:t>т</w:t>
      </w:r>
      <w:r w:rsidR="000A4F7F">
        <w:rPr>
          <w:rFonts w:ascii="Times New Roman" w:hAnsi="Times New Roman" w:cs="Times New Roman"/>
          <w:sz w:val="24"/>
          <w:szCs w:val="24"/>
          <w:lang w:val="sr-Cyrl-CS"/>
        </w:rPr>
        <w:t>е</w:t>
      </w:r>
      <w:r w:rsidRPr="0068493E">
        <w:rPr>
          <w:rFonts w:ascii="Times New Roman" w:hAnsi="Times New Roman" w:cs="Times New Roman"/>
          <w:sz w:val="24"/>
          <w:szCs w:val="24"/>
          <w:lang w:val="sr-Cyrl-CS"/>
        </w:rPr>
        <w:t>ва за безбедно, привремено складиштење отпадне живе и производа који садрже живу а постају посебни токови отпада, као и процедуре третмана и трајног одлагања живе и њених једињења.</w:t>
      </w:r>
    </w:p>
    <w:p w14:paraId="2EE056D1" w14:textId="602E6799" w:rsidR="00E00DAE" w:rsidRPr="0068493E" w:rsidRDefault="00E00DAE" w:rsidP="00C75E88">
      <w:pPr>
        <w:spacing w:after="0"/>
        <w:jc w:val="both"/>
        <w:rPr>
          <w:rFonts w:ascii="Times New Roman" w:hAnsi="Times New Roman" w:cs="Times New Roman"/>
          <w:sz w:val="24"/>
          <w:szCs w:val="24"/>
          <w:lang w:val="sr-Cyrl-CS"/>
        </w:rPr>
      </w:pPr>
      <w:r w:rsidRPr="0068493E">
        <w:rPr>
          <w:rFonts w:ascii="Times New Roman" w:hAnsi="Times New Roman" w:cs="Times New Roman"/>
          <w:sz w:val="24"/>
          <w:szCs w:val="24"/>
          <w:lang w:val="sr-Cyrl-CS"/>
        </w:rPr>
        <w:t>-Законом није предвиђен уређен систем управљања грађевинским отпадом, а предложеним изменама ће се омогућити основ за доношење Уредбе о управљању грађевинским отпадом. Овим предлогом ће доћи до великог доприноса одрживом развоју у смислу разраде аката којим ће се прописати поновна употреба грађевинског отпада у корисне сврхе</w:t>
      </w:r>
      <w:r w:rsidR="000420F1" w:rsidRPr="0068493E">
        <w:rPr>
          <w:rFonts w:ascii="Times New Roman" w:hAnsi="Times New Roman" w:cs="Times New Roman"/>
          <w:sz w:val="24"/>
          <w:szCs w:val="24"/>
          <w:lang w:val="sr-Cyrl-CS"/>
        </w:rPr>
        <w:t>, као и потпуна примена циркуларне економије у овом делу, где ће отпад моћи да се користи као сировина и ресурс</w:t>
      </w:r>
      <w:r w:rsidRPr="0068493E">
        <w:rPr>
          <w:rFonts w:ascii="Times New Roman" w:hAnsi="Times New Roman" w:cs="Times New Roman"/>
          <w:sz w:val="24"/>
          <w:szCs w:val="24"/>
          <w:lang w:val="sr-Cyrl-CS"/>
        </w:rPr>
        <w:t>.</w:t>
      </w:r>
    </w:p>
    <w:p w14:paraId="6F493664" w14:textId="2E9F057D" w:rsidR="00C75E88" w:rsidRPr="0068493E" w:rsidRDefault="00C75E88" w:rsidP="000420F1">
      <w:pPr>
        <w:jc w:val="both"/>
        <w:rPr>
          <w:rFonts w:ascii="Times New Roman" w:hAnsi="Times New Roman" w:cs="Times New Roman"/>
          <w:sz w:val="24"/>
          <w:szCs w:val="24"/>
          <w:lang w:val="sr-Cyrl-CS"/>
        </w:rPr>
      </w:pPr>
      <w:r w:rsidRPr="0068493E">
        <w:rPr>
          <w:rFonts w:ascii="Times New Roman" w:hAnsi="Times New Roman" w:cs="Times New Roman"/>
          <w:sz w:val="24"/>
          <w:szCs w:val="24"/>
          <w:lang w:val="sr-Cyrl-CS"/>
        </w:rPr>
        <w:t>-Законом о управљању отпадом није дефинисан начин управљања муљем из постројења за пречишћавање отпадних вода. Како је ова област веома неразвијена, а из разлога што се очекује изградња великог броја постројења за пречишћавање отпадних вода, неопходно је уредити ову материју.</w:t>
      </w:r>
    </w:p>
    <w:p w14:paraId="21C08C9B" w14:textId="35204BD9" w:rsidR="00FF7A2C" w:rsidRPr="0068493E" w:rsidRDefault="00FF7A2C" w:rsidP="00BC3CC9">
      <w:pPr>
        <w:spacing w:line="240" w:lineRule="auto"/>
        <w:jc w:val="both"/>
        <w:rPr>
          <w:rFonts w:ascii="Times New Roman" w:hAnsi="Times New Roman" w:cs="Times New Roman"/>
          <w:b/>
          <w:bCs/>
          <w:sz w:val="24"/>
          <w:szCs w:val="24"/>
          <w:lang w:val="sr-Cyrl-CS"/>
        </w:rPr>
      </w:pPr>
      <w:r w:rsidRPr="0068493E">
        <w:rPr>
          <w:rFonts w:ascii="Times New Roman" w:hAnsi="Times New Roman" w:cs="Times New Roman"/>
          <w:b/>
          <w:bCs/>
          <w:sz w:val="24"/>
          <w:szCs w:val="24"/>
          <w:lang w:val="sr-Cyrl-CS"/>
        </w:rPr>
        <w:t>Неусклађеност са другим законима у правном систему Републике Србије:</w:t>
      </w:r>
    </w:p>
    <w:p w14:paraId="7DB2F8B8" w14:textId="0A140EAB" w:rsidR="009878CA" w:rsidRPr="0068493E" w:rsidRDefault="00FF7A2C" w:rsidP="00FF7A2C">
      <w:pPr>
        <w:spacing w:after="0" w:line="240" w:lineRule="auto"/>
        <w:jc w:val="both"/>
        <w:rPr>
          <w:rFonts w:ascii="Times New Roman" w:eastAsia="Times New Roman" w:hAnsi="Times New Roman" w:cs="Times New Roman"/>
          <w:bCs/>
          <w:color w:val="FF0000"/>
          <w:sz w:val="24"/>
          <w:szCs w:val="24"/>
          <w:lang w:val="sr-Cyrl-CS"/>
        </w:rPr>
      </w:pPr>
      <w:r w:rsidRPr="0068493E">
        <w:rPr>
          <w:rFonts w:ascii="Times New Roman" w:hAnsi="Times New Roman" w:cs="Times New Roman"/>
          <w:sz w:val="24"/>
          <w:szCs w:val="24"/>
          <w:lang w:val="sr-Cyrl-CS"/>
        </w:rPr>
        <w:t xml:space="preserve">-Потреба усклађивања важећих одредаба Закона које се односе на изградњу и рад постројења за управљање отпадом са прописима којима се уређује планирање, и то у погледу изградње објеката и добијања решења о употреби објекта у коме се врши нека од операција управљања отпадом. </w:t>
      </w:r>
      <w:r w:rsidR="00886C7E" w:rsidRPr="0068493E">
        <w:rPr>
          <w:rFonts w:ascii="Times New Roman" w:hAnsi="Times New Roman" w:cs="Times New Roman"/>
          <w:sz w:val="24"/>
          <w:szCs w:val="24"/>
          <w:lang w:val="sr-Cyrl-CS"/>
        </w:rPr>
        <w:t>Предложеним изменама и допунама Закона бришу се ставови који прописују да министарство надлежно за послове заштите животне средине доноси одлуку о локацији за постројење за третман, односно поновно искоришћење и одлагање отпада. Планска документација, а на основу које се доносе Локацијски услови, јесу обавеза министарства надлежног за послове грађевинарства и урбанизма, а доста оператера се обраћало Министарству заштите животне средине са захтевом за одобрењем локације.</w:t>
      </w:r>
    </w:p>
    <w:p w14:paraId="43F8E67F" w14:textId="1C7FC635" w:rsidR="00FF7A2C" w:rsidRPr="0068493E" w:rsidRDefault="00FF7A2C" w:rsidP="00FF7A2C">
      <w:pPr>
        <w:spacing w:after="0" w:line="240" w:lineRule="auto"/>
        <w:jc w:val="both"/>
        <w:rPr>
          <w:rFonts w:ascii="Times New Roman" w:hAnsi="Times New Roman" w:cs="Times New Roman"/>
          <w:sz w:val="24"/>
          <w:szCs w:val="24"/>
          <w:lang w:val="sr-Cyrl-CS"/>
        </w:rPr>
      </w:pPr>
      <w:r w:rsidRPr="0068493E">
        <w:rPr>
          <w:rFonts w:ascii="Times New Roman" w:hAnsi="Times New Roman" w:cs="Times New Roman"/>
          <w:sz w:val="24"/>
          <w:szCs w:val="24"/>
          <w:lang w:val="sr-Cyrl-CS"/>
        </w:rPr>
        <w:t>- Осим наведених проблема које ова измена и допуна закона треба да реши, она треба да реши и проблем усклађивања прописа у области финансирања управљања отпадом са Законом о престанку важења Закона о Фонду за заштиту животне средине и другим прописима у области финансирања.</w:t>
      </w:r>
    </w:p>
    <w:p w14:paraId="6CE3B2F2" w14:textId="4DAB9A47" w:rsidR="00FF7A2C" w:rsidRPr="0068493E" w:rsidRDefault="00FF7A2C" w:rsidP="00FF7A2C">
      <w:pPr>
        <w:spacing w:after="0" w:line="240" w:lineRule="auto"/>
        <w:jc w:val="both"/>
        <w:rPr>
          <w:rFonts w:ascii="Times New Roman" w:hAnsi="Times New Roman" w:cs="Times New Roman"/>
          <w:sz w:val="24"/>
          <w:szCs w:val="24"/>
          <w:lang w:val="sr-Cyrl-CS"/>
        </w:rPr>
      </w:pPr>
      <w:r w:rsidRPr="0068493E">
        <w:rPr>
          <w:rFonts w:ascii="Times New Roman" w:hAnsi="Times New Roman" w:cs="Times New Roman"/>
          <w:sz w:val="24"/>
          <w:szCs w:val="24"/>
          <w:lang w:val="sr-Cyrl-CS"/>
        </w:rPr>
        <w:t xml:space="preserve">- Изменама и допунама Закона, врши се усклађивање са Законом о планском систему где се Стратегија управљања отпадом мења термином Програм управљања отпадом, а такође се </w:t>
      </w:r>
      <w:r w:rsidRPr="0068493E">
        <w:rPr>
          <w:rFonts w:ascii="Times New Roman" w:eastAsia="Times New Roman" w:hAnsi="Times New Roman" w:cs="Times New Roman"/>
          <w:bCs/>
          <w:sz w:val="24"/>
          <w:szCs w:val="24"/>
          <w:lang w:val="sr-Cyrl-CS"/>
        </w:rPr>
        <w:t>мења начин доношења стратешких докумената, као и период њихове важности.</w:t>
      </w:r>
    </w:p>
    <w:p w14:paraId="4502D5CD" w14:textId="1F74A328" w:rsidR="00FF7A2C" w:rsidRPr="0068493E" w:rsidRDefault="00FF7A2C" w:rsidP="00FF7A2C">
      <w:pPr>
        <w:spacing w:after="0" w:line="240" w:lineRule="auto"/>
        <w:jc w:val="both"/>
        <w:rPr>
          <w:rFonts w:ascii="Times New Roman" w:hAnsi="Times New Roman" w:cs="Times New Roman"/>
          <w:sz w:val="24"/>
          <w:szCs w:val="24"/>
          <w:lang w:val="sr-Cyrl-CS"/>
        </w:rPr>
      </w:pPr>
      <w:r w:rsidRPr="0068493E">
        <w:rPr>
          <w:rFonts w:ascii="Times New Roman" w:hAnsi="Times New Roman" w:cs="Times New Roman"/>
          <w:sz w:val="24"/>
          <w:szCs w:val="24"/>
          <w:lang w:val="sr-Cyrl-CS"/>
        </w:rPr>
        <w:t>- Законом о управљању отпадом прописан је и инспекцијски надзор над применом ових одредаба као и казнене одредбе. Предложеним изменама врши се усклађивање са прописима о инспекцијском надзору.</w:t>
      </w:r>
    </w:p>
    <w:p w14:paraId="58A3E868" w14:textId="02805703" w:rsidR="00FF7A2C" w:rsidRPr="0068493E" w:rsidRDefault="00FF7A2C" w:rsidP="00E00DAE">
      <w:pPr>
        <w:spacing w:after="0" w:line="240" w:lineRule="auto"/>
        <w:jc w:val="both"/>
        <w:rPr>
          <w:rFonts w:ascii="Times New Roman" w:hAnsi="Times New Roman" w:cs="Times New Roman"/>
          <w:sz w:val="24"/>
          <w:szCs w:val="24"/>
          <w:lang w:val="sr-Cyrl-CS"/>
        </w:rPr>
      </w:pPr>
      <w:r w:rsidRPr="0068493E">
        <w:rPr>
          <w:rFonts w:ascii="Times New Roman" w:hAnsi="Times New Roman" w:cs="Times New Roman"/>
          <w:sz w:val="24"/>
          <w:szCs w:val="24"/>
          <w:lang w:val="sr-Cyrl-CS"/>
        </w:rPr>
        <w:lastRenderedPageBreak/>
        <w:t>-Законом о општем управном поступку, у делу укидања решења на захтев странке. У пракси је често долазило до проблема укидања дозволе када странка сама поднесе захтев, те је у таквим случајевима поступано само у складу са ЗУП-ом, али не и са одредбама Закона о управљању отпадом којим се прописује поступак затварања постројења на самој локацији.</w:t>
      </w:r>
    </w:p>
    <w:p w14:paraId="1096AD6A" w14:textId="7DB49B77" w:rsidR="00E00DAE" w:rsidRPr="0068493E" w:rsidRDefault="00E00DAE" w:rsidP="00BC3CC9">
      <w:pPr>
        <w:spacing w:line="240" w:lineRule="auto"/>
        <w:jc w:val="both"/>
        <w:rPr>
          <w:rFonts w:ascii="Times New Roman" w:hAnsi="Times New Roman" w:cs="Times New Roman"/>
          <w:sz w:val="24"/>
          <w:szCs w:val="24"/>
          <w:lang w:val="sr-Cyrl-CS"/>
        </w:rPr>
      </w:pPr>
      <w:r w:rsidRPr="0068493E">
        <w:rPr>
          <w:rFonts w:ascii="Times New Roman" w:hAnsi="Times New Roman" w:cs="Times New Roman"/>
          <w:sz w:val="24"/>
          <w:szCs w:val="24"/>
          <w:lang w:val="sr-Cyrl-CS"/>
        </w:rPr>
        <w:t>-Утврђена је и потреба усклађивања са Законом о комуналним делатностима којима се ближе прописује управљање комуналним отпадом који настаје у домаћинствима, а посебно опасним отпадом.</w:t>
      </w:r>
    </w:p>
    <w:p w14:paraId="26A10EE8" w14:textId="77777777" w:rsidR="004E26BF" w:rsidRPr="0068493E" w:rsidRDefault="004E26BF" w:rsidP="00BC3CC9">
      <w:pPr>
        <w:spacing w:line="240" w:lineRule="auto"/>
        <w:rPr>
          <w:rFonts w:ascii="Times New Roman" w:hAnsi="Times New Roman" w:cs="Times New Roman"/>
          <w:b/>
          <w:sz w:val="24"/>
          <w:szCs w:val="24"/>
          <w:lang w:val="sr-Cyrl-CS"/>
        </w:rPr>
      </w:pPr>
      <w:r w:rsidRPr="0068493E">
        <w:rPr>
          <w:rFonts w:ascii="Times New Roman" w:hAnsi="Times New Roman" w:cs="Times New Roman"/>
          <w:b/>
          <w:sz w:val="24"/>
          <w:szCs w:val="24"/>
          <w:lang w:val="sr-Cyrl-CS"/>
        </w:rPr>
        <w:t>Прецизирање одредби и међусобно усаглашавање одредби закона</w:t>
      </w:r>
    </w:p>
    <w:p w14:paraId="0BC59A0C" w14:textId="77777777" w:rsidR="004E26BF" w:rsidRPr="0068493E" w:rsidRDefault="004E26BF" w:rsidP="00BC3CC9">
      <w:pPr>
        <w:spacing w:line="240" w:lineRule="auto"/>
        <w:jc w:val="both"/>
        <w:rPr>
          <w:rFonts w:ascii="Times New Roman" w:hAnsi="Times New Roman" w:cs="Times New Roman"/>
          <w:bCs/>
          <w:sz w:val="24"/>
          <w:szCs w:val="24"/>
          <w:lang w:val="sr-Cyrl-CS"/>
        </w:rPr>
      </w:pPr>
      <w:r w:rsidRPr="0068493E">
        <w:rPr>
          <w:rFonts w:ascii="Times New Roman" w:hAnsi="Times New Roman" w:cs="Times New Roman"/>
          <w:sz w:val="24"/>
          <w:szCs w:val="24"/>
          <w:lang w:val="sr-Cyrl-CS"/>
        </w:rPr>
        <w:t xml:space="preserve">Закон о изменама и допунама Закона о управљању отпадом не мења битно решења дата у постојећем Закону о управљању отпадом </w:t>
      </w:r>
      <w:r w:rsidRPr="0068493E">
        <w:rPr>
          <w:rFonts w:ascii="Times New Roman" w:hAnsi="Times New Roman" w:cs="Times New Roman"/>
          <w:bCs/>
          <w:sz w:val="24"/>
          <w:szCs w:val="24"/>
          <w:lang w:val="sr-Cyrl-CS"/>
        </w:rPr>
        <w:t>(„Службени гласник РС“, бр. 36/09, 88/10, 14/16 и 95/18 - др. закон)</w:t>
      </w:r>
      <w:r w:rsidR="00334901" w:rsidRPr="0068493E">
        <w:rPr>
          <w:rFonts w:ascii="Times New Roman" w:hAnsi="Times New Roman" w:cs="Times New Roman"/>
          <w:bCs/>
          <w:sz w:val="24"/>
          <w:szCs w:val="24"/>
          <w:lang w:val="sr-Cyrl-CS"/>
        </w:rPr>
        <w:t>.</w:t>
      </w:r>
    </w:p>
    <w:p w14:paraId="36B387F1" w14:textId="77777777" w:rsidR="00A334FF" w:rsidRPr="0068493E" w:rsidRDefault="00D26DE1" w:rsidP="00BC3CC9">
      <w:pPr>
        <w:spacing w:line="240" w:lineRule="auto"/>
        <w:jc w:val="both"/>
        <w:rPr>
          <w:rFonts w:ascii="Times New Roman" w:hAnsi="Times New Roman" w:cs="Times New Roman"/>
          <w:sz w:val="24"/>
          <w:szCs w:val="24"/>
          <w:lang w:val="sr-Cyrl-CS"/>
        </w:rPr>
      </w:pPr>
      <w:r w:rsidRPr="0068493E">
        <w:rPr>
          <w:rFonts w:ascii="Times New Roman" w:hAnsi="Times New Roman" w:cs="Times New Roman"/>
          <w:sz w:val="24"/>
          <w:szCs w:val="24"/>
          <w:lang w:val="sr-Cyrl-CS"/>
        </w:rPr>
        <w:t xml:space="preserve">У члану 2. закона предложена је измена тачке 6) у ставу 1. којим се прецизира </w:t>
      </w:r>
      <w:r w:rsidR="00A334FF" w:rsidRPr="0068493E">
        <w:rPr>
          <w:rFonts w:ascii="Times New Roman" w:hAnsi="Times New Roman" w:cs="Times New Roman"/>
          <w:sz w:val="24"/>
          <w:szCs w:val="24"/>
          <w:lang w:val="sr-Cyrl-CS"/>
        </w:rPr>
        <w:t xml:space="preserve">циљ праћења стања постојећих и новоформираних санитарних депонија. </w:t>
      </w:r>
    </w:p>
    <w:p w14:paraId="2072EA44" w14:textId="77777777" w:rsidR="00A334FF" w:rsidRPr="0068493E" w:rsidRDefault="00A334FF" w:rsidP="00BC3CC9">
      <w:pPr>
        <w:spacing w:line="240" w:lineRule="auto"/>
        <w:jc w:val="both"/>
        <w:rPr>
          <w:rFonts w:ascii="Times New Roman" w:hAnsi="Times New Roman" w:cs="Times New Roman"/>
          <w:sz w:val="24"/>
          <w:szCs w:val="24"/>
          <w:lang w:val="sr-Cyrl-CS"/>
        </w:rPr>
      </w:pPr>
      <w:r w:rsidRPr="0068493E">
        <w:rPr>
          <w:rFonts w:ascii="Times New Roman" w:hAnsi="Times New Roman" w:cs="Times New Roman"/>
          <w:sz w:val="24"/>
          <w:szCs w:val="24"/>
          <w:lang w:val="sr-Cyrl-CS"/>
        </w:rPr>
        <w:t>Предложеним изменама закона се у члану 4. став 2. тачка 2) врши усклађивање са Законом о ветерини, те се врши и усклађивање са одредбама Уредбе о одлагању отпада на депоније. Наведеном изменом, споредни производи животињског порекла неће моћи да се користе у постројењима за компостирање или да се одлажу на санитарну депонију.</w:t>
      </w:r>
    </w:p>
    <w:p w14:paraId="7391F1A4" w14:textId="2664E0A6" w:rsidR="00A334FF" w:rsidRPr="0068493E" w:rsidRDefault="00A334FF" w:rsidP="00BC3CC9">
      <w:pPr>
        <w:spacing w:line="240" w:lineRule="auto"/>
        <w:jc w:val="both"/>
        <w:rPr>
          <w:rFonts w:ascii="Times New Roman" w:hAnsi="Times New Roman" w:cs="Times New Roman"/>
          <w:sz w:val="24"/>
          <w:szCs w:val="24"/>
          <w:lang w:val="sr-Cyrl-CS"/>
        </w:rPr>
      </w:pPr>
      <w:r w:rsidRPr="0068493E">
        <w:rPr>
          <w:rFonts w:ascii="Times New Roman" w:hAnsi="Times New Roman" w:cs="Times New Roman"/>
          <w:sz w:val="24"/>
          <w:szCs w:val="24"/>
          <w:lang w:val="sr-Cyrl-CS"/>
        </w:rPr>
        <w:t>У члану 5. су предложена прецизирања дефиниција, као и усклађивање са другим прописима и Директивама ЕУ.</w:t>
      </w:r>
      <w:r w:rsidR="000F295F" w:rsidRPr="0068493E">
        <w:rPr>
          <w:rFonts w:ascii="Times New Roman" w:hAnsi="Times New Roman" w:cs="Times New Roman"/>
          <w:sz w:val="24"/>
          <w:szCs w:val="24"/>
          <w:lang w:val="sr-Cyrl-CS"/>
        </w:rPr>
        <w:t xml:space="preserve"> </w:t>
      </w:r>
      <w:r w:rsidR="006C571E" w:rsidRPr="0068493E">
        <w:rPr>
          <w:rFonts w:ascii="Times New Roman" w:hAnsi="Times New Roman" w:cs="Times New Roman"/>
          <w:sz w:val="24"/>
          <w:szCs w:val="24"/>
          <w:lang w:val="sr-Cyrl-CS"/>
        </w:rPr>
        <w:t>Тачком 5) прецизиран је дефиниција био отпада, тачком 5б) дефинисане су делатности у управљању отпадом, тачком 6) уређена је дефиниција дозволе за управљање отпадом, тачком 6б) су прецизиране дефиниције које се односе на фармацеутски отпад, тачком 13) је унапређена дефиниција комуналног отпада, т</w:t>
      </w:r>
      <w:r w:rsidR="000F295F" w:rsidRPr="0068493E">
        <w:rPr>
          <w:rFonts w:ascii="Times New Roman" w:hAnsi="Times New Roman" w:cs="Times New Roman"/>
          <w:sz w:val="24"/>
          <w:szCs w:val="24"/>
          <w:lang w:val="sr-Cyrl-CS"/>
        </w:rPr>
        <w:t xml:space="preserve">ачком 14) мобилно постројење није било предвиђено за вршење спаљивања отпада, </w:t>
      </w:r>
      <w:r w:rsidR="006C571E" w:rsidRPr="0068493E">
        <w:rPr>
          <w:rFonts w:ascii="Times New Roman" w:hAnsi="Times New Roman" w:cs="Times New Roman"/>
          <w:sz w:val="24"/>
          <w:szCs w:val="24"/>
          <w:lang w:val="sr-Cyrl-CS"/>
        </w:rPr>
        <w:t xml:space="preserve">тачком 17) је измењена дефиниција отпада од грађења и рушења, тачком 21) је усклађена дефиниција поновног искоришћења отпада, тачком 22) су боље дефинисани посебни токови отпада, односно врсте отпада које захтевају посебно поступање, тачком 30) је боље дефинисано складиштење отпада, тачком 30а) је дефинисан термин солидификације отпада, </w:t>
      </w:r>
      <w:r w:rsidR="000F295F" w:rsidRPr="0068493E">
        <w:rPr>
          <w:rFonts w:ascii="Times New Roman" w:hAnsi="Times New Roman" w:cs="Times New Roman"/>
          <w:sz w:val="24"/>
          <w:szCs w:val="24"/>
          <w:lang w:val="sr-Cyrl-CS"/>
        </w:rPr>
        <w:t>док је тачком 31) и 32) предвиђено спаљивање отпада у мобилним и стационарним техничким јединицама. Тачке 31) и 32) су усаглашене са одредбама Директиве о индустријском загађењу. Дефинисани су пиролиза (тачка 38), гасификација (тачка 39) и плазма поступак (тачка 40). у тачки 30) је извршено усклађивање са чланом 36. којим се дефинише складиштење отпада, али и са тачком 19).</w:t>
      </w:r>
    </w:p>
    <w:p w14:paraId="40F01099" w14:textId="77777777" w:rsidR="00A334FF" w:rsidRPr="0068493E" w:rsidRDefault="00A334FF" w:rsidP="00BC3CC9">
      <w:pPr>
        <w:spacing w:line="240" w:lineRule="auto"/>
        <w:jc w:val="both"/>
        <w:rPr>
          <w:rFonts w:ascii="Times New Roman" w:hAnsi="Times New Roman" w:cs="Times New Roman"/>
          <w:sz w:val="24"/>
          <w:szCs w:val="24"/>
          <w:lang w:val="sr-Cyrl-CS"/>
        </w:rPr>
      </w:pPr>
      <w:r w:rsidRPr="0068493E">
        <w:rPr>
          <w:rFonts w:ascii="Times New Roman" w:hAnsi="Times New Roman" w:cs="Times New Roman"/>
          <w:sz w:val="24"/>
          <w:szCs w:val="24"/>
          <w:lang w:val="sr-Cyrl-CS"/>
        </w:rPr>
        <w:t>Престанак статуса отпада је јасније прописан изменама у члану 8в, посебно јер након уписа у Регистар, отпада постаје производ, а имајући у виду одредбе Закона о техничким захтевима за производе и оцењивању усаглашености. Критеријуми за престанак статуса отпада су усаглашени са захтевима ЕУ.</w:t>
      </w:r>
    </w:p>
    <w:p w14:paraId="54B98656" w14:textId="6B50FB40" w:rsidR="00A334FF" w:rsidRPr="0068493E" w:rsidRDefault="00A334FF" w:rsidP="00BC3CC9">
      <w:pPr>
        <w:spacing w:line="240" w:lineRule="auto"/>
        <w:jc w:val="both"/>
        <w:rPr>
          <w:rFonts w:ascii="Times New Roman" w:hAnsi="Times New Roman" w:cs="Times New Roman"/>
          <w:sz w:val="24"/>
          <w:szCs w:val="24"/>
          <w:lang w:val="sr-Cyrl-CS"/>
        </w:rPr>
      </w:pPr>
      <w:r w:rsidRPr="0068493E">
        <w:rPr>
          <w:rFonts w:ascii="Times New Roman" w:hAnsi="Times New Roman" w:cs="Times New Roman"/>
          <w:sz w:val="24"/>
          <w:szCs w:val="24"/>
          <w:lang w:val="sr-Cyrl-CS"/>
        </w:rPr>
        <w:t xml:space="preserve">Изменама и допунама Закона, врши се усклађивање </w:t>
      </w:r>
      <w:r w:rsidR="000F295F" w:rsidRPr="0068493E">
        <w:rPr>
          <w:rFonts w:ascii="Times New Roman" w:hAnsi="Times New Roman" w:cs="Times New Roman"/>
          <w:sz w:val="24"/>
          <w:szCs w:val="24"/>
          <w:lang w:val="sr-Cyrl-CS"/>
        </w:rPr>
        <w:t>са Законом о планском систему у члану 9. и члану 10. где се Стратегија управљања отпадом мења термином Програм управљања отпадом, а такође се мења и период важења Програма.</w:t>
      </w:r>
    </w:p>
    <w:p w14:paraId="03B37E36" w14:textId="77777777" w:rsidR="00886C7E" w:rsidRPr="0068493E" w:rsidRDefault="00886C7E" w:rsidP="00886C7E">
      <w:pPr>
        <w:spacing w:after="0" w:line="240" w:lineRule="auto"/>
        <w:jc w:val="both"/>
        <w:rPr>
          <w:rFonts w:ascii="Times New Roman" w:hAnsi="Times New Roman" w:cs="Times New Roman"/>
          <w:sz w:val="24"/>
          <w:szCs w:val="24"/>
          <w:lang w:val="sr-Cyrl-CS"/>
        </w:rPr>
      </w:pPr>
      <w:r w:rsidRPr="0068493E">
        <w:rPr>
          <w:rFonts w:ascii="Times New Roman" w:hAnsi="Times New Roman" w:cs="Times New Roman"/>
          <w:sz w:val="24"/>
          <w:szCs w:val="24"/>
          <w:lang w:val="sr-Cyrl-CS"/>
        </w:rPr>
        <w:t xml:space="preserve">Предложеним изменама и допунама Закона, члан 16. би ближе дефинисао сврху и намену Радног плана постројења за управљање отпадом. Како се показало у досадашњој пракси да Радни план није могао бити квалитетно изведен, на основу постојеће регулативе, а чиме је долазило до проблема оператера који нису знали на који начин да </w:t>
      </w:r>
      <w:r w:rsidRPr="0068493E">
        <w:rPr>
          <w:rFonts w:ascii="Times New Roman" w:hAnsi="Times New Roman" w:cs="Times New Roman"/>
          <w:sz w:val="24"/>
          <w:szCs w:val="24"/>
          <w:lang w:val="sr-Cyrl-CS"/>
        </w:rPr>
        <w:lastRenderedPageBreak/>
        <w:t>израде овај документ, као и до проблема у администрацији која није имала начин да упути оператера на јасну одредбу, дошло је до потребе измене члана 16.</w:t>
      </w:r>
    </w:p>
    <w:p w14:paraId="1CC3AE07" w14:textId="27D1B840" w:rsidR="00886C7E" w:rsidRPr="0068493E" w:rsidRDefault="00886C7E" w:rsidP="00BC3CC9">
      <w:pPr>
        <w:spacing w:line="240" w:lineRule="auto"/>
        <w:jc w:val="both"/>
        <w:rPr>
          <w:rFonts w:ascii="Times New Roman" w:hAnsi="Times New Roman" w:cs="Times New Roman"/>
          <w:sz w:val="24"/>
          <w:szCs w:val="24"/>
          <w:lang w:val="sr-Cyrl-CS"/>
        </w:rPr>
      </w:pPr>
      <w:r w:rsidRPr="0068493E">
        <w:rPr>
          <w:rFonts w:ascii="Times New Roman" w:hAnsi="Times New Roman" w:cs="Times New Roman"/>
          <w:sz w:val="24"/>
          <w:szCs w:val="24"/>
          <w:lang w:val="sr-Cyrl-CS"/>
        </w:rPr>
        <w:t>Овом изменом ће се израђивати ефикаснија документа која ће послужити за израду дозволе за управљање отпадом. Садржина Радног плана се преузима из Студије о процени утицаја на животну средину, чији је садржај прописан посебним подзаконским актом, а предложене измене ће у великој мери бити усклађене са овим прописима, те олакшати оператерима и израду Радног плана, а и даљи рад.</w:t>
      </w:r>
    </w:p>
    <w:p w14:paraId="33962846" w14:textId="6F18B829" w:rsidR="00886C7E" w:rsidRPr="0068493E" w:rsidRDefault="00886C7E" w:rsidP="00BC3CC9">
      <w:pPr>
        <w:spacing w:line="240" w:lineRule="auto"/>
        <w:jc w:val="both"/>
        <w:rPr>
          <w:rFonts w:ascii="Times New Roman" w:hAnsi="Times New Roman" w:cs="Times New Roman"/>
          <w:sz w:val="24"/>
          <w:szCs w:val="24"/>
          <w:lang w:val="sr-Cyrl-CS"/>
        </w:rPr>
      </w:pPr>
      <w:r w:rsidRPr="0068493E">
        <w:rPr>
          <w:rFonts w:ascii="Times New Roman" w:hAnsi="Times New Roman" w:cs="Times New Roman"/>
          <w:sz w:val="24"/>
          <w:szCs w:val="24"/>
          <w:lang w:val="sr-Cyrl-CS"/>
        </w:rPr>
        <w:t>У члану 26. су предложене измене које се односе конкретно на обавезе произвођача отпада, који је према важећем закону у обавези да прибави дозволу за складиштење отпада или потврду да му дозвола није потребна. Садашњом одредом је произвођач отпада дакле у обавези да постане оператер постројења за складиштење отпада, а то постројење би обухватало складиштење сопственог отпада који код произвођача настаје. Практично, сваки произвођач отпада би морао да се обрати надлежном органу за добијање одговарајућег акта, сваки произвођач опасног отпада би постао оператер. Овим се намећу непотребни трошкови привреди, а сама заштита животне средине је упитна кроз ову одредбу јер не постоји толики број инспектора који може да врши ефикасну контролу оператера постројења, у овом случају произвођача отпада. Додатни трошкови за привреду се огледају кроз таксе за добијање дозвола, као и трошкова плаћања квалификованих лица прописаних Законом.</w:t>
      </w:r>
    </w:p>
    <w:p w14:paraId="6C637964" w14:textId="055E2BAC" w:rsidR="00C0422D" w:rsidRPr="0068493E" w:rsidRDefault="00F64D19" w:rsidP="00BC3CC9">
      <w:pPr>
        <w:spacing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У члану 28а</w:t>
      </w:r>
      <w:r w:rsidR="00C0422D" w:rsidRPr="0068493E">
        <w:rPr>
          <w:rFonts w:ascii="Times New Roman" w:hAnsi="Times New Roman" w:cs="Times New Roman"/>
          <w:sz w:val="24"/>
          <w:szCs w:val="24"/>
          <w:lang w:val="sr-Cyrl-CS"/>
        </w:rPr>
        <w:t xml:space="preserve"> предложено је брисање дела става 9. којим је прописано да посредник и трговац отпада треба да буду регистровани за ту делатност, а која није прописана у Агенцији за привредне регистре.</w:t>
      </w:r>
    </w:p>
    <w:p w14:paraId="3F34DD9A" w14:textId="77777777" w:rsidR="00C0422D" w:rsidRPr="0068493E" w:rsidRDefault="00C0422D" w:rsidP="00BC3CC9">
      <w:pPr>
        <w:spacing w:line="240" w:lineRule="auto"/>
        <w:jc w:val="both"/>
        <w:rPr>
          <w:rFonts w:ascii="Times New Roman" w:hAnsi="Times New Roman" w:cs="Times New Roman"/>
          <w:sz w:val="24"/>
          <w:szCs w:val="24"/>
          <w:lang w:val="sr-Cyrl-CS"/>
        </w:rPr>
      </w:pPr>
      <w:r w:rsidRPr="0068493E">
        <w:rPr>
          <w:rFonts w:ascii="Times New Roman" w:hAnsi="Times New Roman" w:cs="Times New Roman"/>
          <w:sz w:val="24"/>
          <w:szCs w:val="24"/>
          <w:lang w:val="sr-Cyrl-CS"/>
        </w:rPr>
        <w:t>У члану 30. је предложено прецизирање мониторинга.</w:t>
      </w:r>
    </w:p>
    <w:p w14:paraId="6A26228D" w14:textId="77777777" w:rsidR="00C0422D" w:rsidRPr="0068493E" w:rsidRDefault="00C0422D" w:rsidP="00BC3CC9">
      <w:pPr>
        <w:spacing w:line="240" w:lineRule="auto"/>
        <w:jc w:val="both"/>
        <w:rPr>
          <w:rFonts w:ascii="Times New Roman" w:hAnsi="Times New Roman" w:cs="Times New Roman"/>
          <w:sz w:val="24"/>
          <w:szCs w:val="24"/>
          <w:lang w:val="sr-Cyrl-CS"/>
        </w:rPr>
      </w:pPr>
      <w:r w:rsidRPr="0068493E">
        <w:rPr>
          <w:rFonts w:ascii="Times New Roman" w:hAnsi="Times New Roman" w:cs="Times New Roman"/>
          <w:sz w:val="24"/>
          <w:szCs w:val="24"/>
          <w:lang w:val="sr-Cyrl-CS"/>
        </w:rPr>
        <w:t>Предложена је допуна члана 32. којом се усклађују овлашћења инспектора са овлашћењима прописаним Законом о заштити животне средине. До сада Законом о управљању отпадом није било предвиђено да инспектор у случају сумње да је неки отпад опасан има право на узорковање предметног отпада, а што је Законом о заштити животне средине остављено као могућност у циљу спречавања загађења.</w:t>
      </w:r>
    </w:p>
    <w:p w14:paraId="5408719C" w14:textId="77777777" w:rsidR="00C0422D" w:rsidRPr="0068493E" w:rsidRDefault="00C0422D" w:rsidP="00BC3CC9">
      <w:pPr>
        <w:spacing w:line="240" w:lineRule="auto"/>
        <w:jc w:val="both"/>
        <w:rPr>
          <w:rFonts w:ascii="Times New Roman" w:hAnsi="Times New Roman" w:cs="Times New Roman"/>
          <w:sz w:val="24"/>
          <w:szCs w:val="24"/>
          <w:lang w:val="sr-Cyrl-CS"/>
        </w:rPr>
      </w:pPr>
      <w:r w:rsidRPr="0068493E">
        <w:rPr>
          <w:rFonts w:ascii="Times New Roman" w:hAnsi="Times New Roman" w:cs="Times New Roman"/>
          <w:sz w:val="24"/>
          <w:szCs w:val="24"/>
          <w:lang w:val="sr-Cyrl-CS"/>
        </w:rPr>
        <w:t>Предложеним изменама и допунама Закона, врши се усклађивање са одредбама Закона о планирању и изградњи, те се у члану 34. бришу ставови 2. и 3. који прописују да министарство надлежно за послове заштите животне средине доноси одлуку о локацији за постројење за третман, односно поновно искоришћење и одлагање отпада. Планска документација, а на основу које се доносе Локацијски услови, јесу обавеза министарства надлежног за послове грађевинарства и урбанизма.</w:t>
      </w:r>
    </w:p>
    <w:p w14:paraId="62FB4736" w14:textId="77777777" w:rsidR="00C0422D" w:rsidRPr="0068493E" w:rsidRDefault="00C0422D" w:rsidP="00BC3CC9">
      <w:pPr>
        <w:spacing w:line="240" w:lineRule="auto"/>
        <w:jc w:val="both"/>
        <w:rPr>
          <w:rFonts w:ascii="Times New Roman" w:hAnsi="Times New Roman" w:cs="Times New Roman"/>
          <w:sz w:val="24"/>
          <w:szCs w:val="24"/>
          <w:lang w:val="sr-Cyrl-CS"/>
        </w:rPr>
      </w:pPr>
      <w:r w:rsidRPr="0068493E">
        <w:rPr>
          <w:rFonts w:ascii="Times New Roman" w:hAnsi="Times New Roman" w:cs="Times New Roman"/>
          <w:sz w:val="24"/>
          <w:szCs w:val="24"/>
          <w:lang w:val="sr-Cyrl-CS"/>
        </w:rPr>
        <w:t>У члану 36. су предвиђене измене ради усклађивања са чланом 26. те прецизирање делатности складиштења отпада.</w:t>
      </w:r>
      <w:r w:rsidR="007A5CD0" w:rsidRPr="0068493E">
        <w:rPr>
          <w:rFonts w:ascii="Times New Roman" w:hAnsi="Times New Roman" w:cs="Times New Roman"/>
          <w:sz w:val="24"/>
          <w:szCs w:val="24"/>
          <w:lang w:val="sr-Cyrl-CS"/>
        </w:rPr>
        <w:t xml:space="preserve"> У овом члану се предлаже и продужење периода у коме отпад може да се чува на истој локацији до коначног збрињавања, јер се у досадашњној пракси показало да је рок од 12 месеци превише кратак, а да је након истека овог рока отпад најчешће премештан у друга складишта, уместо да се коначно збрине неким од поступака поновног искоришћења или одлагања.</w:t>
      </w:r>
    </w:p>
    <w:p w14:paraId="5CE7BEC7" w14:textId="0895F661" w:rsidR="007A5CD0" w:rsidRPr="0068493E" w:rsidRDefault="007A5CD0" w:rsidP="00BC3CC9">
      <w:pPr>
        <w:spacing w:line="240" w:lineRule="auto"/>
        <w:jc w:val="both"/>
        <w:rPr>
          <w:rFonts w:ascii="Times New Roman" w:hAnsi="Times New Roman" w:cs="Times New Roman"/>
          <w:sz w:val="24"/>
          <w:szCs w:val="24"/>
          <w:lang w:val="sr-Cyrl-CS"/>
        </w:rPr>
      </w:pPr>
      <w:r w:rsidRPr="0068493E">
        <w:rPr>
          <w:rFonts w:ascii="Times New Roman" w:hAnsi="Times New Roman" w:cs="Times New Roman"/>
          <w:sz w:val="24"/>
          <w:szCs w:val="24"/>
          <w:lang w:val="sr-Cyrl-CS"/>
        </w:rPr>
        <w:t xml:space="preserve">У члану 37. је предложено усаглашавање са чланом 5. став 1. тачка 14) али и пооштравање услова за рад мобилних постројења. У досадашњој пракси је вршено и погрешно тумачење Уредбе о листи постројења за које се може захтевати израда студије о процени утицаја, па су мобилна постројења са листе 2. ове уредбе по правилу увек ослобађана обавезе од израде студије. Тиме је долазило до злоупотреба, али и до великих загађења, јер ова постројења нису имала прописане услове за рад у складу са законом </w:t>
      </w:r>
      <w:r w:rsidRPr="0068493E">
        <w:rPr>
          <w:rFonts w:ascii="Times New Roman" w:hAnsi="Times New Roman" w:cs="Times New Roman"/>
          <w:sz w:val="24"/>
          <w:szCs w:val="24"/>
          <w:lang w:val="sr-Cyrl-CS"/>
        </w:rPr>
        <w:lastRenderedPageBreak/>
        <w:t>(на пример нису налагани услови за пречишћавање отпадних вода, или емисија у ваздух). Предложеним изменама ће оператери бити у обавези да врше израду Ст</w:t>
      </w:r>
      <w:r w:rsidR="00210E49">
        <w:rPr>
          <w:rFonts w:ascii="Times New Roman" w:hAnsi="Times New Roman" w:cs="Times New Roman"/>
          <w:sz w:val="24"/>
          <w:szCs w:val="24"/>
          <w:lang w:val="sr-Cyrl-CS"/>
        </w:rPr>
        <w:t>удије за технологију третмана о</w:t>
      </w:r>
      <w:r w:rsidRPr="0068493E">
        <w:rPr>
          <w:rFonts w:ascii="Times New Roman" w:hAnsi="Times New Roman" w:cs="Times New Roman"/>
          <w:sz w:val="24"/>
          <w:szCs w:val="24"/>
          <w:lang w:val="sr-Cyrl-CS"/>
        </w:rPr>
        <w:t>пасног отпада.</w:t>
      </w:r>
    </w:p>
    <w:p w14:paraId="418EC22B" w14:textId="77777777" w:rsidR="007A5CD0" w:rsidRPr="0068493E" w:rsidRDefault="007A5CD0" w:rsidP="00BC3CC9">
      <w:pPr>
        <w:spacing w:line="240" w:lineRule="auto"/>
        <w:jc w:val="both"/>
        <w:rPr>
          <w:rFonts w:ascii="Times New Roman" w:hAnsi="Times New Roman" w:cs="Times New Roman"/>
          <w:sz w:val="24"/>
          <w:szCs w:val="24"/>
          <w:lang w:val="sr-Cyrl-CS"/>
        </w:rPr>
      </w:pPr>
      <w:r w:rsidRPr="0068493E">
        <w:rPr>
          <w:rFonts w:ascii="Times New Roman" w:hAnsi="Times New Roman" w:cs="Times New Roman"/>
          <w:sz w:val="24"/>
          <w:szCs w:val="24"/>
          <w:lang w:val="sr-Cyrl-CS"/>
        </w:rPr>
        <w:t>У члану 40. је предложено брисање става 4. који се коси са ставом 1. истог члана, те се биолошки третман овим изменама односи само на третман неопасног биодеградибилног отпада.</w:t>
      </w:r>
    </w:p>
    <w:p w14:paraId="1CBBB85A" w14:textId="77777777" w:rsidR="007A5CD0" w:rsidRPr="0068493E" w:rsidRDefault="007A5CD0" w:rsidP="00BC3CC9">
      <w:pPr>
        <w:spacing w:line="240" w:lineRule="auto"/>
        <w:jc w:val="both"/>
        <w:rPr>
          <w:rFonts w:ascii="Times New Roman" w:hAnsi="Times New Roman" w:cs="Times New Roman"/>
          <w:sz w:val="24"/>
          <w:szCs w:val="24"/>
          <w:lang w:val="sr-Cyrl-CS"/>
        </w:rPr>
      </w:pPr>
      <w:r w:rsidRPr="0068493E">
        <w:rPr>
          <w:rFonts w:ascii="Times New Roman" w:hAnsi="Times New Roman" w:cs="Times New Roman"/>
          <w:sz w:val="24"/>
          <w:szCs w:val="24"/>
          <w:lang w:val="sr-Cyrl-CS"/>
        </w:rPr>
        <w:t>У изменама и допунама Закона је предложена комплетна измена члана 41. који се односи на термички третман отпада, чиме се овај члан повезује са чланом 5. као и Директивом о индустријском загађењу, али и са чланом 38. Закона.</w:t>
      </w:r>
    </w:p>
    <w:p w14:paraId="689C082B" w14:textId="77777777" w:rsidR="007A5CD0" w:rsidRPr="0068493E" w:rsidRDefault="007F4782" w:rsidP="00BC3CC9">
      <w:pPr>
        <w:spacing w:line="240" w:lineRule="auto"/>
        <w:jc w:val="both"/>
        <w:rPr>
          <w:rFonts w:ascii="Times New Roman" w:hAnsi="Times New Roman" w:cs="Times New Roman"/>
          <w:sz w:val="24"/>
          <w:szCs w:val="24"/>
          <w:lang w:val="sr-Cyrl-CS"/>
        </w:rPr>
      </w:pPr>
      <w:r w:rsidRPr="0068493E">
        <w:rPr>
          <w:rFonts w:ascii="Times New Roman" w:hAnsi="Times New Roman" w:cs="Times New Roman"/>
          <w:sz w:val="24"/>
          <w:szCs w:val="24"/>
          <w:lang w:val="sr-Cyrl-CS"/>
        </w:rPr>
        <w:t>Предложене измене у члану 42. се односе на пооштравање услова за одлагање отпада на депоније имплементацијом савремених стандарда управљања отпадом који захтевају знатно виши ниво техничких, административних и управљачких капацитета, прописаних изменама и допунама ЕУ Директиве о одлагању отпада на депоније.</w:t>
      </w:r>
    </w:p>
    <w:p w14:paraId="44F251A8" w14:textId="77777777" w:rsidR="009A2952" w:rsidRPr="0068493E" w:rsidRDefault="009A2952" w:rsidP="00BC3CC9">
      <w:pPr>
        <w:spacing w:line="240" w:lineRule="auto"/>
        <w:jc w:val="both"/>
        <w:rPr>
          <w:rFonts w:ascii="Times New Roman" w:hAnsi="Times New Roman" w:cs="Times New Roman"/>
          <w:sz w:val="24"/>
          <w:szCs w:val="24"/>
          <w:lang w:val="sr-Cyrl-CS"/>
        </w:rPr>
      </w:pPr>
      <w:r w:rsidRPr="0068493E">
        <w:rPr>
          <w:rFonts w:ascii="Times New Roman" w:hAnsi="Times New Roman" w:cs="Times New Roman"/>
          <w:sz w:val="24"/>
          <w:szCs w:val="24"/>
          <w:lang w:val="sr-Cyrl-CS"/>
        </w:rPr>
        <w:t>У члану 43. су предложене измене ради прецизнијег дефинисања управљања комуналним отпадом који настаје код грађана, како би се одредба ускладила са Законом о комуналним делатностима, али и чланом 5. којим се прописују центри за сакупљање отпада од грађана.</w:t>
      </w:r>
    </w:p>
    <w:p w14:paraId="1F33736C" w14:textId="77777777" w:rsidR="00D26DE1" w:rsidRPr="0068493E" w:rsidRDefault="00087B3B" w:rsidP="00BC3CC9">
      <w:pPr>
        <w:spacing w:line="240" w:lineRule="auto"/>
        <w:jc w:val="both"/>
        <w:rPr>
          <w:rFonts w:ascii="Times New Roman" w:hAnsi="Times New Roman" w:cs="Times New Roman"/>
          <w:sz w:val="24"/>
          <w:szCs w:val="24"/>
          <w:lang w:val="sr-Cyrl-CS"/>
        </w:rPr>
      </w:pPr>
      <w:r w:rsidRPr="0068493E">
        <w:rPr>
          <w:rFonts w:ascii="Times New Roman" w:hAnsi="Times New Roman" w:cs="Times New Roman"/>
          <w:sz w:val="24"/>
          <w:szCs w:val="24"/>
          <w:lang w:val="sr-Cyrl-CS"/>
        </w:rPr>
        <w:t>Предложеним изменама и допунама врши се усклађивање члана 59. са чланом 71. закона, јер до сада није прецизно дефинисано да се дозволе издају и за прекогранично кретање отпада. Такође, извршено је издвајање делатности складиштења отпада из делатности третмана отпада.</w:t>
      </w:r>
    </w:p>
    <w:p w14:paraId="13DFC476" w14:textId="77777777" w:rsidR="000F295F" w:rsidRPr="0068493E" w:rsidRDefault="00087B3B" w:rsidP="00BC3CC9">
      <w:pPr>
        <w:spacing w:after="0" w:line="240" w:lineRule="auto"/>
        <w:jc w:val="both"/>
        <w:rPr>
          <w:rFonts w:ascii="Times New Roman" w:hAnsi="Times New Roman" w:cs="Times New Roman"/>
          <w:sz w:val="24"/>
          <w:szCs w:val="24"/>
          <w:lang w:val="sr-Cyrl-CS"/>
        </w:rPr>
      </w:pPr>
      <w:r w:rsidRPr="0068493E">
        <w:rPr>
          <w:rFonts w:ascii="Times New Roman" w:hAnsi="Times New Roman" w:cs="Times New Roman"/>
          <w:sz w:val="24"/>
          <w:szCs w:val="24"/>
          <w:lang w:val="sr-Cyrl-CS"/>
        </w:rPr>
        <w:t>Предложеним изменама члана 60. прецизирају се надлежности за издавање дозвола, а надлежности се делимично усклађују и повезују са надлежностима за издавање грађевинске дозволе.</w:t>
      </w:r>
    </w:p>
    <w:p w14:paraId="0A80AEA0" w14:textId="77777777" w:rsidR="00087B3B" w:rsidRPr="0068493E" w:rsidRDefault="00087B3B" w:rsidP="00BC3CC9">
      <w:pPr>
        <w:spacing w:after="0" w:line="240" w:lineRule="auto"/>
        <w:jc w:val="both"/>
        <w:rPr>
          <w:rFonts w:ascii="Times New Roman" w:hAnsi="Times New Roman" w:cs="Times New Roman"/>
          <w:sz w:val="24"/>
          <w:szCs w:val="24"/>
          <w:lang w:val="sr-Cyrl-CS"/>
        </w:rPr>
      </w:pPr>
    </w:p>
    <w:p w14:paraId="05B7D5BE" w14:textId="77777777" w:rsidR="00087B3B" w:rsidRPr="0068493E" w:rsidRDefault="00087B3B" w:rsidP="00BC3CC9">
      <w:pPr>
        <w:spacing w:line="240" w:lineRule="auto"/>
        <w:jc w:val="both"/>
        <w:rPr>
          <w:rFonts w:ascii="Times New Roman" w:hAnsi="Times New Roman" w:cs="Times New Roman"/>
          <w:sz w:val="24"/>
          <w:szCs w:val="24"/>
          <w:lang w:val="sr-Cyrl-CS"/>
        </w:rPr>
      </w:pPr>
      <w:r w:rsidRPr="0068493E">
        <w:rPr>
          <w:rFonts w:ascii="Times New Roman" w:hAnsi="Times New Roman" w:cs="Times New Roman"/>
          <w:sz w:val="24"/>
          <w:szCs w:val="24"/>
          <w:lang w:val="sr-Cyrl-CS"/>
        </w:rPr>
        <w:t>У члану 61. су предложене измене комплетног члана, те повезивање и усклађивање са предлозима за члан 26. али и члан 43. предложено је брисање изузетака који су били подложни злоупотребама, посебно када су у питању потврде за складишта капацитета мањих од 2 тоне отпада (није прецизирано коме се могу дати, на који начин, за дневни капацитет од две тоне или годишњи и др).</w:t>
      </w:r>
    </w:p>
    <w:p w14:paraId="788F948A" w14:textId="77777777" w:rsidR="006C524C" w:rsidRPr="0068493E" w:rsidRDefault="006C524C" w:rsidP="00BC3CC9">
      <w:pPr>
        <w:spacing w:line="240" w:lineRule="auto"/>
        <w:jc w:val="both"/>
        <w:rPr>
          <w:rFonts w:ascii="Times New Roman" w:hAnsi="Times New Roman" w:cs="Times New Roman"/>
          <w:sz w:val="24"/>
          <w:szCs w:val="24"/>
          <w:lang w:val="sr-Cyrl-CS"/>
        </w:rPr>
      </w:pPr>
      <w:r w:rsidRPr="0068493E">
        <w:rPr>
          <w:rFonts w:ascii="Times New Roman" w:hAnsi="Times New Roman" w:cs="Times New Roman"/>
          <w:sz w:val="24"/>
          <w:szCs w:val="24"/>
          <w:lang w:val="sr-Cyrl-CS"/>
        </w:rPr>
        <w:t>Предложено је прецизирање захтева за издавање дозвола за управљање отпадом у члану 62. те повезивање овог члана са чланом 33. Закона о управљању отпадом, као и Закона о заштити вода, Закона о заштити ваздуха. Овим чланом се врши и пооштравање за одговорна лица која су у вршењу делатности починила криви</w:t>
      </w:r>
      <w:r w:rsidR="0031315C" w:rsidRPr="0068493E">
        <w:rPr>
          <w:rFonts w:ascii="Times New Roman" w:hAnsi="Times New Roman" w:cs="Times New Roman"/>
          <w:sz w:val="24"/>
          <w:szCs w:val="24"/>
          <w:lang w:val="sr-Cyrl-CS"/>
        </w:rPr>
        <w:t>чна дела против животне средине, што се повезује са чланом 63. и предлогом за унапређење процедуре издавања дозвола.</w:t>
      </w:r>
    </w:p>
    <w:p w14:paraId="37426D04" w14:textId="77777777" w:rsidR="00087B3B" w:rsidRPr="0068493E" w:rsidRDefault="0031315C" w:rsidP="00BC3CC9">
      <w:pPr>
        <w:spacing w:line="240" w:lineRule="auto"/>
        <w:jc w:val="both"/>
        <w:rPr>
          <w:rFonts w:ascii="Times New Roman" w:hAnsi="Times New Roman" w:cs="Times New Roman"/>
          <w:sz w:val="24"/>
          <w:szCs w:val="24"/>
          <w:lang w:val="sr-Cyrl-CS"/>
        </w:rPr>
      </w:pPr>
      <w:r w:rsidRPr="0068493E">
        <w:rPr>
          <w:rFonts w:ascii="Times New Roman" w:hAnsi="Times New Roman" w:cs="Times New Roman"/>
          <w:sz w:val="24"/>
          <w:szCs w:val="24"/>
          <w:lang w:val="sr-Cyrl-CS"/>
        </w:rPr>
        <w:t>У члану 67. се предлаже повезивање са одредбама Закона о привредним преступима, као и увођење заштитних мера за обављање делатности управљања отпадом у случају одузимања дозволе за рад. Такође, врши се и усаглашавање са одредбама Закона о општем управном поступку којим се предвиђа укидање Решења на захтев странке. Такође, врши се усаглашавање са другим прописима којим се утврђују прекиди обављања делатности и брисање из регистра АПР.</w:t>
      </w:r>
    </w:p>
    <w:p w14:paraId="0A5D081A" w14:textId="77777777" w:rsidR="00AF607D" w:rsidRPr="0068493E" w:rsidRDefault="00AF607D" w:rsidP="00BC3CC9">
      <w:pPr>
        <w:spacing w:line="240" w:lineRule="auto"/>
        <w:jc w:val="both"/>
        <w:rPr>
          <w:rFonts w:ascii="Times New Roman" w:hAnsi="Times New Roman" w:cs="Times New Roman"/>
          <w:sz w:val="24"/>
          <w:szCs w:val="24"/>
          <w:lang w:val="sr-Cyrl-CS"/>
        </w:rPr>
      </w:pPr>
      <w:r w:rsidRPr="0068493E">
        <w:rPr>
          <w:rFonts w:ascii="Times New Roman" w:hAnsi="Times New Roman" w:cs="Times New Roman"/>
          <w:sz w:val="24"/>
          <w:szCs w:val="24"/>
          <w:lang w:val="sr-Cyrl-CS"/>
        </w:rPr>
        <w:t>Чланом 68. се предлаже прецизирање обавеза оператера за п</w:t>
      </w:r>
      <w:r w:rsidR="007F4782" w:rsidRPr="0068493E">
        <w:rPr>
          <w:rFonts w:ascii="Times New Roman" w:hAnsi="Times New Roman" w:cs="Times New Roman"/>
          <w:sz w:val="24"/>
          <w:szCs w:val="24"/>
          <w:lang w:val="sr-Cyrl-CS"/>
        </w:rPr>
        <w:t>о</w:t>
      </w:r>
      <w:r w:rsidRPr="0068493E">
        <w:rPr>
          <w:rFonts w:ascii="Times New Roman" w:hAnsi="Times New Roman" w:cs="Times New Roman"/>
          <w:sz w:val="24"/>
          <w:szCs w:val="24"/>
          <w:lang w:val="sr-Cyrl-CS"/>
        </w:rPr>
        <w:t>дношење захтева за измене дозвола за управљање отпадом.</w:t>
      </w:r>
    </w:p>
    <w:p w14:paraId="2E0C7229" w14:textId="77777777" w:rsidR="00AF607D" w:rsidRPr="0068493E" w:rsidRDefault="00AF607D" w:rsidP="00BC3CC9">
      <w:pPr>
        <w:spacing w:line="240" w:lineRule="auto"/>
        <w:jc w:val="both"/>
        <w:rPr>
          <w:rFonts w:ascii="Times New Roman" w:hAnsi="Times New Roman" w:cs="Times New Roman"/>
          <w:sz w:val="24"/>
          <w:szCs w:val="24"/>
          <w:lang w:val="sr-Cyrl-CS"/>
        </w:rPr>
      </w:pPr>
      <w:r w:rsidRPr="0068493E">
        <w:rPr>
          <w:rFonts w:ascii="Times New Roman" w:hAnsi="Times New Roman" w:cs="Times New Roman"/>
          <w:sz w:val="24"/>
          <w:szCs w:val="24"/>
          <w:lang w:val="sr-Cyrl-CS"/>
        </w:rPr>
        <w:lastRenderedPageBreak/>
        <w:t>Предложеним изменама и допунама Закона се јасније дефинише делатност сакупљања и транспорта отпада у члану 70. такође, врши се повезивање овог члана са одредбама Закона о превозу у друмском саобраћају, као и Закона о транспорту опасне робе.</w:t>
      </w:r>
    </w:p>
    <w:p w14:paraId="2E8468E3" w14:textId="77777777" w:rsidR="00AF607D" w:rsidRPr="0068493E" w:rsidRDefault="00AF607D" w:rsidP="00BC3CC9">
      <w:pPr>
        <w:spacing w:line="240" w:lineRule="auto"/>
        <w:jc w:val="both"/>
        <w:rPr>
          <w:rFonts w:ascii="Times New Roman" w:hAnsi="Times New Roman" w:cs="Times New Roman"/>
          <w:sz w:val="24"/>
          <w:szCs w:val="24"/>
          <w:lang w:val="sr-Cyrl-CS"/>
        </w:rPr>
      </w:pPr>
      <w:r w:rsidRPr="0068493E">
        <w:rPr>
          <w:rFonts w:ascii="Times New Roman" w:hAnsi="Times New Roman" w:cs="Times New Roman"/>
          <w:sz w:val="24"/>
          <w:szCs w:val="24"/>
          <w:lang w:val="sr-Cyrl-CS"/>
        </w:rPr>
        <w:t>Чланом 82. се предлаже повезивање и усклађивање са одредбама Закона о републичким админситративним таксама, како странке не би долазиле у заблуду када су у питању трошкови издавања решења или других аката.</w:t>
      </w:r>
    </w:p>
    <w:p w14:paraId="28B885B6" w14:textId="77777777" w:rsidR="00AF607D" w:rsidRPr="0068493E" w:rsidRDefault="00AF607D" w:rsidP="00BC3CC9">
      <w:pPr>
        <w:spacing w:line="240" w:lineRule="auto"/>
        <w:jc w:val="both"/>
        <w:rPr>
          <w:rFonts w:ascii="Times New Roman" w:hAnsi="Times New Roman" w:cs="Times New Roman"/>
          <w:sz w:val="24"/>
          <w:szCs w:val="24"/>
          <w:lang w:val="sr-Cyrl-CS"/>
        </w:rPr>
      </w:pPr>
      <w:r w:rsidRPr="0068493E">
        <w:rPr>
          <w:rFonts w:ascii="Times New Roman" w:hAnsi="Times New Roman" w:cs="Times New Roman"/>
          <w:sz w:val="24"/>
          <w:szCs w:val="24"/>
          <w:lang w:val="sr-Cyrl-CS"/>
        </w:rPr>
        <w:t>Предложено је прецизирање и повезивање надлежности инспекције у члану 84. са надлежностима прописаним у члану 60. Како је до сада Град Београд издавао дозволе за управљање опасним отпадом, а није имао надлежност за контролу и надзор, изменом става 5. је дата надлежност градској инспекцији на ко</w:t>
      </w:r>
      <w:r w:rsidR="007F4782" w:rsidRPr="0068493E">
        <w:rPr>
          <w:rFonts w:ascii="Times New Roman" w:hAnsi="Times New Roman" w:cs="Times New Roman"/>
          <w:sz w:val="24"/>
          <w:szCs w:val="24"/>
          <w:lang w:val="sr-Cyrl-CS"/>
        </w:rPr>
        <w:t>н</w:t>
      </w:r>
      <w:r w:rsidRPr="0068493E">
        <w:rPr>
          <w:rFonts w:ascii="Times New Roman" w:hAnsi="Times New Roman" w:cs="Times New Roman"/>
          <w:sz w:val="24"/>
          <w:szCs w:val="24"/>
          <w:lang w:val="sr-Cyrl-CS"/>
        </w:rPr>
        <w:t>тролу постројења за које је дозволу издао Град Београд.</w:t>
      </w:r>
    </w:p>
    <w:p w14:paraId="49EE6844" w14:textId="6A5E8116" w:rsidR="007F4782" w:rsidRPr="0068493E" w:rsidRDefault="007F4782" w:rsidP="007F4782">
      <w:pPr>
        <w:spacing w:line="240" w:lineRule="auto"/>
        <w:jc w:val="both"/>
        <w:rPr>
          <w:rFonts w:ascii="Times New Roman" w:hAnsi="Times New Roman" w:cs="Times New Roman"/>
          <w:sz w:val="24"/>
          <w:szCs w:val="24"/>
          <w:lang w:val="sr-Cyrl-CS"/>
        </w:rPr>
      </w:pPr>
      <w:r w:rsidRPr="0068493E">
        <w:rPr>
          <w:rFonts w:ascii="Times New Roman" w:hAnsi="Times New Roman" w:cs="Times New Roman"/>
          <w:sz w:val="24"/>
          <w:szCs w:val="24"/>
          <w:lang w:val="sr-Cyrl-CS"/>
        </w:rPr>
        <w:t>Предложеним изменама и допунама Закона се јасније дефинишу чланови 71. и 72. из поглавља које се односи  на прекогранично кретање отпада, врши се повезивање ових чланова са одредбама Закона о потврђивању Базелске конвенције о контроли прекограничног кретања опасних</w:t>
      </w:r>
      <w:r w:rsidR="00F974C7">
        <w:rPr>
          <w:rFonts w:ascii="Times New Roman" w:hAnsi="Times New Roman" w:cs="Times New Roman"/>
          <w:sz w:val="24"/>
          <w:szCs w:val="24"/>
          <w:lang w:val="sr-Cyrl-CS"/>
        </w:rPr>
        <w:t xml:space="preserve"> отпада и њиховом одлагању („Службени</w:t>
      </w:r>
      <w:r w:rsidRPr="0068493E">
        <w:rPr>
          <w:rFonts w:ascii="Times New Roman" w:hAnsi="Times New Roman" w:cs="Times New Roman"/>
          <w:sz w:val="24"/>
          <w:szCs w:val="24"/>
          <w:lang w:val="sr-Cyrl-CS"/>
        </w:rPr>
        <w:t xml:space="preserve"> лист</w:t>
      </w:r>
      <w:r w:rsidR="00F974C7">
        <w:rPr>
          <w:rFonts w:ascii="Times New Roman" w:hAnsi="Times New Roman" w:cs="Times New Roman"/>
          <w:sz w:val="24"/>
          <w:szCs w:val="24"/>
          <w:lang w:val="sr-Cyrl-CS"/>
        </w:rPr>
        <w:t xml:space="preserve"> СРЈ - Међународни уговори”, број</w:t>
      </w:r>
      <w:r w:rsidRPr="0068493E">
        <w:rPr>
          <w:rFonts w:ascii="Times New Roman" w:hAnsi="Times New Roman" w:cs="Times New Roman"/>
          <w:sz w:val="24"/>
          <w:szCs w:val="24"/>
          <w:lang w:val="sr-Cyrl-CS"/>
        </w:rPr>
        <w:t xml:space="preserve"> 2/99) по питању с</w:t>
      </w:r>
      <w:r w:rsidR="00F974C7">
        <w:rPr>
          <w:rFonts w:ascii="Times New Roman" w:hAnsi="Times New Roman" w:cs="Times New Roman"/>
          <w:sz w:val="24"/>
          <w:szCs w:val="24"/>
          <w:lang w:val="sr-Cyrl-CS"/>
        </w:rPr>
        <w:t>провођења контролних поступака т</w:t>
      </w:r>
      <w:r w:rsidRPr="0068493E">
        <w:rPr>
          <w:rFonts w:ascii="Times New Roman" w:hAnsi="Times New Roman" w:cs="Times New Roman"/>
          <w:sz w:val="24"/>
          <w:szCs w:val="24"/>
          <w:lang w:val="sr-Cyrl-CS"/>
        </w:rPr>
        <w:t>зв. нотификационих поступака који има за циљ имплементацију и испуњавање међународних обавеза која су преузета ратификацијом овог закона. Уз захтeв за давања одoбрeња Министарство врши и издавање Дозволе, односно Потврде пријаве за пpекогранично кретање отпада, тако да се кроз допуне у члану 72. предложило прецизирање важења одобрења од 36 месеци односно годину дана за прекогранично кретање која су прописана важећим Уредбама о листама отпада. Наведеним Уредбама, планирана вишекратна испорука Извозника која је предмет поступка издавања Дозволе односно Потврде пријаве, може се покренути само уз Обавештењe о прекограничном кретању отпада (нотификацијом, Notification document) и Документом о прекограничном кретању отпада (Movement document),</w:t>
      </w:r>
      <w:r w:rsidR="00A51907">
        <w:rPr>
          <w:rFonts w:ascii="Times New Roman" w:hAnsi="Times New Roman" w:cs="Times New Roman"/>
          <w:sz w:val="24"/>
          <w:szCs w:val="24"/>
          <w:lang w:val="sr-Cyrl-CS"/>
        </w:rPr>
        <w:t xml:space="preserve"> </w:t>
      </w:r>
      <w:r w:rsidRPr="0068493E">
        <w:rPr>
          <w:rFonts w:ascii="Times New Roman" w:hAnsi="Times New Roman" w:cs="Times New Roman"/>
          <w:sz w:val="24"/>
          <w:szCs w:val="24"/>
          <w:lang w:val="sr-Cyrl-CS"/>
        </w:rPr>
        <w:t xml:space="preserve">који су попуњени у складу са важећим посебним прописом. </w:t>
      </w:r>
    </w:p>
    <w:p w14:paraId="5A22C7AD" w14:textId="77777777" w:rsidR="007F4782" w:rsidRPr="0068493E" w:rsidRDefault="007F4782" w:rsidP="007F4782">
      <w:pPr>
        <w:spacing w:line="240" w:lineRule="auto"/>
        <w:jc w:val="both"/>
        <w:rPr>
          <w:rFonts w:ascii="Times New Roman" w:hAnsi="Times New Roman" w:cs="Times New Roman"/>
          <w:sz w:val="24"/>
          <w:szCs w:val="24"/>
          <w:lang w:val="sr-Cyrl-CS"/>
        </w:rPr>
      </w:pPr>
      <w:r w:rsidRPr="0068493E">
        <w:rPr>
          <w:rFonts w:ascii="Times New Roman" w:hAnsi="Times New Roman" w:cs="Times New Roman"/>
          <w:sz w:val="24"/>
          <w:szCs w:val="24"/>
          <w:lang w:val="sr-Cyrl-CS"/>
        </w:rPr>
        <w:t>Новим чланом 72а) су утврђени услови за прекоранич</w:t>
      </w:r>
      <w:r w:rsidR="00B84504" w:rsidRPr="0068493E">
        <w:rPr>
          <w:rFonts w:ascii="Times New Roman" w:hAnsi="Times New Roman" w:cs="Times New Roman"/>
          <w:sz w:val="24"/>
          <w:szCs w:val="24"/>
          <w:lang w:val="sr-Cyrl-CS"/>
        </w:rPr>
        <w:t>н</w:t>
      </w:r>
      <w:r w:rsidRPr="0068493E">
        <w:rPr>
          <w:rFonts w:ascii="Times New Roman" w:hAnsi="Times New Roman" w:cs="Times New Roman"/>
          <w:sz w:val="24"/>
          <w:szCs w:val="24"/>
          <w:lang w:val="sr-Cyrl-CS"/>
        </w:rPr>
        <w:t xml:space="preserve">о кретање отпада и прописани обавезни подаци из Дозволе као и друга питања у вези са дозволом у року важења као што су измене дозволе и одузимање дозволе који законом нису били законом прописани. </w:t>
      </w:r>
    </w:p>
    <w:p w14:paraId="035322ED" w14:textId="77777777" w:rsidR="007F4782" w:rsidRPr="0068493E" w:rsidRDefault="007F4782" w:rsidP="007F4782">
      <w:pPr>
        <w:spacing w:line="240" w:lineRule="auto"/>
        <w:jc w:val="both"/>
        <w:rPr>
          <w:rFonts w:ascii="Times New Roman" w:hAnsi="Times New Roman" w:cs="Times New Roman"/>
          <w:sz w:val="24"/>
          <w:szCs w:val="24"/>
          <w:lang w:val="sr-Cyrl-CS"/>
        </w:rPr>
      </w:pPr>
      <w:r w:rsidRPr="0068493E">
        <w:rPr>
          <w:rFonts w:ascii="Times New Roman" w:hAnsi="Times New Roman" w:cs="Times New Roman"/>
          <w:sz w:val="24"/>
          <w:szCs w:val="24"/>
          <w:lang w:val="sr-Cyrl-CS"/>
        </w:rPr>
        <w:t xml:space="preserve">У члану 72. се предлаже и доношење посебног Правилника којим ће се прописати образац захтева и документација која се подноси уз захтев за издавање дозволе. </w:t>
      </w:r>
    </w:p>
    <w:p w14:paraId="276F80DE" w14:textId="77777777" w:rsidR="007F4782" w:rsidRPr="0068493E" w:rsidRDefault="007F4782" w:rsidP="00BC3CC9">
      <w:pPr>
        <w:spacing w:line="240" w:lineRule="auto"/>
        <w:jc w:val="both"/>
        <w:rPr>
          <w:rFonts w:ascii="Times New Roman" w:hAnsi="Times New Roman" w:cs="Times New Roman"/>
          <w:sz w:val="24"/>
          <w:szCs w:val="24"/>
          <w:lang w:val="sr-Cyrl-CS"/>
        </w:rPr>
      </w:pPr>
      <w:r w:rsidRPr="0068493E">
        <w:rPr>
          <w:rFonts w:ascii="Times New Roman" w:hAnsi="Times New Roman" w:cs="Times New Roman"/>
          <w:sz w:val="24"/>
          <w:szCs w:val="24"/>
          <w:lang w:val="sr-Cyrl-CS"/>
        </w:rPr>
        <w:t>Увођењем ових одредби везаних за нотификационе поступке омогућава надлежним органима земаља да имају приступ информацијама које су потребне за процену прихватљивости предложеног кретања отпада, и поступак претходнoг писанoг обавештења (нотификације) и давања одoбрeња и информација које се односе на поступке прекограничног кретања отпада у оквиру имплементације Базелске конвенције поштујући Европску регулативу о пошиљкама отпада (ЕК) бр. 1013/2006.</w:t>
      </w:r>
    </w:p>
    <w:p w14:paraId="7BAF82EA" w14:textId="77777777" w:rsidR="0031315C" w:rsidRPr="0068493E" w:rsidRDefault="0031315C" w:rsidP="00BC3CC9">
      <w:pPr>
        <w:spacing w:after="0" w:line="240" w:lineRule="auto"/>
        <w:jc w:val="both"/>
        <w:rPr>
          <w:rFonts w:ascii="Times New Roman" w:hAnsi="Times New Roman" w:cs="Times New Roman"/>
          <w:sz w:val="24"/>
          <w:szCs w:val="24"/>
          <w:lang w:val="sr-Cyrl-CS"/>
        </w:rPr>
      </w:pPr>
    </w:p>
    <w:p w14:paraId="173E39AE" w14:textId="77777777" w:rsidR="000F295F" w:rsidRPr="0068493E" w:rsidRDefault="000F295F" w:rsidP="00BC3CC9">
      <w:pPr>
        <w:spacing w:after="0" w:line="240" w:lineRule="auto"/>
        <w:jc w:val="both"/>
        <w:rPr>
          <w:rFonts w:ascii="Times New Roman" w:hAnsi="Times New Roman" w:cs="Times New Roman"/>
          <w:b/>
          <w:sz w:val="24"/>
          <w:szCs w:val="24"/>
          <w:lang w:val="sr-Cyrl-CS"/>
        </w:rPr>
      </w:pPr>
      <w:r w:rsidRPr="0068493E">
        <w:rPr>
          <w:rFonts w:ascii="Times New Roman" w:hAnsi="Times New Roman" w:cs="Times New Roman"/>
          <w:b/>
          <w:sz w:val="24"/>
          <w:szCs w:val="24"/>
          <w:lang w:val="sr-Cyrl-CS"/>
        </w:rPr>
        <w:t>Ефикаснија заштита животне средине уз одрживи привредни развој</w:t>
      </w:r>
    </w:p>
    <w:p w14:paraId="493786A0" w14:textId="77777777" w:rsidR="000F295F" w:rsidRPr="0068493E" w:rsidRDefault="000F295F" w:rsidP="00BC3CC9">
      <w:pPr>
        <w:spacing w:after="0" w:line="240" w:lineRule="auto"/>
        <w:jc w:val="both"/>
        <w:rPr>
          <w:lang w:val="sr-Cyrl-CS"/>
        </w:rPr>
      </w:pPr>
    </w:p>
    <w:p w14:paraId="72348DBA" w14:textId="77777777" w:rsidR="000C4E98" w:rsidRPr="0068493E" w:rsidRDefault="000F295F" w:rsidP="00BC3CC9">
      <w:pPr>
        <w:spacing w:after="0" w:line="240" w:lineRule="auto"/>
        <w:jc w:val="both"/>
        <w:rPr>
          <w:rFonts w:ascii="Times New Roman" w:hAnsi="Times New Roman" w:cs="Times New Roman"/>
          <w:sz w:val="24"/>
          <w:szCs w:val="24"/>
          <w:lang w:val="sr-Cyrl-CS"/>
        </w:rPr>
      </w:pPr>
      <w:r w:rsidRPr="0068493E">
        <w:rPr>
          <w:rFonts w:ascii="Times New Roman" w:hAnsi="Times New Roman" w:cs="Times New Roman"/>
          <w:sz w:val="24"/>
          <w:szCs w:val="24"/>
          <w:lang w:val="sr-Cyrl-CS"/>
        </w:rPr>
        <w:t xml:space="preserve">Предложеним изменама и допунама Закона, члан 16. би ближе дефинисао сврху и намену Радног плана постројења за управљање отпадом. Како се показало у досадашњој пракси да Радни план није могао бити квалитетно изведен, на основу постојеће регулативе, а чиме је долазило до проблема оператера који нису знали на који начин да </w:t>
      </w:r>
      <w:r w:rsidRPr="0068493E">
        <w:rPr>
          <w:rFonts w:ascii="Times New Roman" w:hAnsi="Times New Roman" w:cs="Times New Roman"/>
          <w:sz w:val="24"/>
          <w:szCs w:val="24"/>
          <w:lang w:val="sr-Cyrl-CS"/>
        </w:rPr>
        <w:lastRenderedPageBreak/>
        <w:t xml:space="preserve">израде овај документ, као и до проблема </w:t>
      </w:r>
      <w:r w:rsidR="000C4E98" w:rsidRPr="0068493E">
        <w:rPr>
          <w:rFonts w:ascii="Times New Roman" w:hAnsi="Times New Roman" w:cs="Times New Roman"/>
          <w:sz w:val="24"/>
          <w:szCs w:val="24"/>
          <w:lang w:val="sr-Cyrl-CS"/>
        </w:rPr>
        <w:t>у администрацији која није имала начин да упути оператера на јасну одредбу, дошло је до потребе измене члана 16.</w:t>
      </w:r>
    </w:p>
    <w:p w14:paraId="652DFE19" w14:textId="77777777" w:rsidR="000F295F" w:rsidRPr="0068493E" w:rsidRDefault="000C4E98" w:rsidP="00BC3CC9">
      <w:pPr>
        <w:spacing w:line="240" w:lineRule="auto"/>
        <w:jc w:val="both"/>
        <w:rPr>
          <w:rFonts w:ascii="Times New Roman" w:hAnsi="Times New Roman" w:cs="Times New Roman"/>
          <w:sz w:val="24"/>
          <w:szCs w:val="24"/>
          <w:lang w:val="sr-Cyrl-CS"/>
        </w:rPr>
      </w:pPr>
      <w:r w:rsidRPr="0068493E">
        <w:rPr>
          <w:rFonts w:ascii="Times New Roman" w:hAnsi="Times New Roman" w:cs="Times New Roman"/>
          <w:sz w:val="24"/>
          <w:szCs w:val="24"/>
          <w:lang w:val="sr-Cyrl-CS"/>
        </w:rPr>
        <w:t>Овом изменом ће се израђивати ефикаснија документа која ће послужити за израду дозволе за управљање отпадом. Садржина Радног плана се преузима из Студије о процени утицаја на животну средину, чији је садржај прописан посебним подзаконским актом, а предложене измене ће у великој мери бити усклађене са овим прописима, те олакшати оператерима и израду Радног плана, а и даљи рад.</w:t>
      </w:r>
    </w:p>
    <w:p w14:paraId="3079E3B8" w14:textId="57A4106D" w:rsidR="000C4E98" w:rsidRPr="0068493E" w:rsidRDefault="000C4E98" w:rsidP="00BC3CC9">
      <w:pPr>
        <w:spacing w:line="240" w:lineRule="auto"/>
        <w:jc w:val="both"/>
        <w:rPr>
          <w:rFonts w:ascii="Times New Roman" w:hAnsi="Times New Roman" w:cs="Times New Roman"/>
          <w:sz w:val="24"/>
          <w:szCs w:val="24"/>
          <w:lang w:val="sr-Cyrl-CS"/>
        </w:rPr>
      </w:pPr>
      <w:r w:rsidRPr="0068493E">
        <w:rPr>
          <w:rFonts w:ascii="Times New Roman" w:hAnsi="Times New Roman" w:cs="Times New Roman"/>
          <w:sz w:val="24"/>
          <w:szCs w:val="24"/>
          <w:lang w:val="sr-Cyrl-CS"/>
        </w:rPr>
        <w:t xml:space="preserve">У члану 26. су предложене измене које се односе конкретно на обавезе произвођача отпада, који би морао да прибави дозволу за складиштење отпада или потврду да му дозвола није потребна. Садашњом одредом је произвођач отпада дакле </w:t>
      </w:r>
      <w:r w:rsidR="00C0422D" w:rsidRPr="0068493E">
        <w:rPr>
          <w:rFonts w:ascii="Times New Roman" w:hAnsi="Times New Roman" w:cs="Times New Roman"/>
          <w:sz w:val="24"/>
          <w:szCs w:val="24"/>
          <w:lang w:val="sr-Cyrl-CS"/>
        </w:rPr>
        <w:t>у обавези да постане оператер постројења за складиштење отпада, а то постројење би обухватало складиштење сопственог отпада који код произвођача настаје. Практично, сваки произвођач отпада би морао да се обрати надлежном органу за добијање одговарајућег акта, сваки произвођач опасног отпада би постао оператер. Овим се намећу непотребни трошкови привреди, а сама заштита животне средине је у</w:t>
      </w:r>
      <w:r w:rsidR="00BA12F1">
        <w:rPr>
          <w:rFonts w:ascii="Times New Roman" w:hAnsi="Times New Roman" w:cs="Times New Roman"/>
          <w:sz w:val="24"/>
          <w:szCs w:val="24"/>
          <w:lang w:val="sr-Cyrl-CS"/>
        </w:rPr>
        <w:t>п</w:t>
      </w:r>
      <w:r w:rsidR="00C0422D" w:rsidRPr="0068493E">
        <w:rPr>
          <w:rFonts w:ascii="Times New Roman" w:hAnsi="Times New Roman" w:cs="Times New Roman"/>
          <w:sz w:val="24"/>
          <w:szCs w:val="24"/>
          <w:lang w:val="sr-Cyrl-CS"/>
        </w:rPr>
        <w:t>итна кроз ову одредбу јер не постоји толики број инспектора који може да врши ефикасну контролу оператера постројења, у овом случају произвођача отпада. Додатни трошкови за привреду се огледају кроз таксе за добијање дозвола, као и трошкова плаћања квалификованих лица прописаних Законом.</w:t>
      </w:r>
    </w:p>
    <w:p w14:paraId="4F21CD21" w14:textId="77777777" w:rsidR="007A5CD0" w:rsidRPr="0068493E" w:rsidRDefault="007A5CD0" w:rsidP="00BC3CC9">
      <w:pPr>
        <w:spacing w:line="240" w:lineRule="auto"/>
        <w:jc w:val="both"/>
        <w:rPr>
          <w:rFonts w:ascii="Times New Roman" w:hAnsi="Times New Roman" w:cs="Times New Roman"/>
          <w:sz w:val="24"/>
          <w:szCs w:val="24"/>
          <w:lang w:val="sr-Cyrl-CS"/>
        </w:rPr>
      </w:pPr>
      <w:r w:rsidRPr="0068493E">
        <w:rPr>
          <w:rFonts w:ascii="Times New Roman" w:hAnsi="Times New Roman" w:cs="Times New Roman"/>
          <w:sz w:val="24"/>
          <w:szCs w:val="24"/>
          <w:lang w:val="sr-Cyrl-CS"/>
        </w:rPr>
        <w:t xml:space="preserve">Предложеним изменама и допунама Закона јесу минимално извршене измене у члану 39. који прописује физичко-хемијски третман отпада, односно предложено је брисање назива поступака третмана јер се већина односи на третман отпадних вода. </w:t>
      </w:r>
    </w:p>
    <w:p w14:paraId="5EC7492C" w14:textId="78307176" w:rsidR="009A2952" w:rsidRPr="0068493E" w:rsidRDefault="00E9017E" w:rsidP="00BC3CC9">
      <w:pPr>
        <w:spacing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Новим чланом 51а</w:t>
      </w:r>
      <w:r w:rsidR="007F4782" w:rsidRPr="0068493E">
        <w:rPr>
          <w:rFonts w:ascii="Times New Roman" w:hAnsi="Times New Roman" w:cs="Times New Roman"/>
          <w:sz w:val="24"/>
          <w:szCs w:val="24"/>
          <w:lang w:val="sr-Cyrl-CS"/>
        </w:rPr>
        <w:t xml:space="preserve"> се предлаже дефинисање управљања отпадном живом и живиним једињењима ради примене одредби Минамата конвенције, и рестрикција које је ЕУ увела и ставила на снагу 2018. године Уредбом EU 2017/852, о ограничењу употребе живе и забрани њеног увоза, извоза. Члан 51а. омог</w:t>
      </w:r>
      <w:r w:rsidR="00CD3F96">
        <w:rPr>
          <w:rFonts w:ascii="Times New Roman" w:hAnsi="Times New Roman" w:cs="Times New Roman"/>
          <w:sz w:val="24"/>
          <w:szCs w:val="24"/>
          <w:lang w:val="sr-Cyrl-CS"/>
        </w:rPr>
        <w:t>ућава прописивање техничких зах</w:t>
      </w:r>
      <w:r w:rsidR="007F4782" w:rsidRPr="0068493E">
        <w:rPr>
          <w:rFonts w:ascii="Times New Roman" w:hAnsi="Times New Roman" w:cs="Times New Roman"/>
          <w:sz w:val="24"/>
          <w:szCs w:val="24"/>
          <w:lang w:val="sr-Cyrl-CS"/>
        </w:rPr>
        <w:t>т</w:t>
      </w:r>
      <w:r w:rsidR="00CD3F96">
        <w:rPr>
          <w:rFonts w:ascii="Times New Roman" w:hAnsi="Times New Roman" w:cs="Times New Roman"/>
          <w:sz w:val="24"/>
          <w:szCs w:val="24"/>
          <w:lang w:val="sr-Cyrl-CS"/>
        </w:rPr>
        <w:t>е</w:t>
      </w:r>
      <w:r w:rsidR="007F4782" w:rsidRPr="0068493E">
        <w:rPr>
          <w:rFonts w:ascii="Times New Roman" w:hAnsi="Times New Roman" w:cs="Times New Roman"/>
          <w:sz w:val="24"/>
          <w:szCs w:val="24"/>
          <w:lang w:val="sr-Cyrl-CS"/>
        </w:rPr>
        <w:t>ва за безбедно, привремено складиштење отпадне живе и производа који садрже живу а постају посебни токови отпада, као и процедуре третмана и трајног одлагања живе и њених једињења.</w:t>
      </w:r>
    </w:p>
    <w:p w14:paraId="1E4F0330" w14:textId="3591F468" w:rsidR="00C0422D" w:rsidRPr="0068493E" w:rsidRDefault="00E9017E" w:rsidP="00BC3CC9">
      <w:pPr>
        <w:spacing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Новим чланом 58а</w:t>
      </w:r>
      <w:r w:rsidR="009A2952" w:rsidRPr="0068493E">
        <w:rPr>
          <w:rFonts w:ascii="Times New Roman" w:hAnsi="Times New Roman" w:cs="Times New Roman"/>
          <w:sz w:val="24"/>
          <w:szCs w:val="24"/>
          <w:lang w:val="sr-Cyrl-CS"/>
        </w:rPr>
        <w:t xml:space="preserve"> се предлаже дефинисање управљања грађевинским отпадом, што ће послужити као основ за доношење Уредбе о управљању грађевинским отпадом. Овим предлогом ће доћи до великог доприноса одрживом развоју у смислу разраде аката којим ће се прописати поновна употреба грађевинског отпада у корисне сврхе.</w:t>
      </w:r>
    </w:p>
    <w:p w14:paraId="583A18FC" w14:textId="569F3D82" w:rsidR="009A2952" w:rsidRPr="0068493E" w:rsidRDefault="00E9017E" w:rsidP="00BC3CC9">
      <w:pPr>
        <w:spacing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Новим чланом 58б</w:t>
      </w:r>
      <w:r w:rsidR="009A2952" w:rsidRPr="0068493E">
        <w:rPr>
          <w:rFonts w:ascii="Times New Roman" w:hAnsi="Times New Roman" w:cs="Times New Roman"/>
          <w:sz w:val="24"/>
          <w:szCs w:val="24"/>
          <w:lang w:val="sr-Cyrl-CS"/>
        </w:rPr>
        <w:t xml:space="preserve"> се предлаже ближе дефинисање управљања муљем из постројења за пречишћавање комуналних отпадних вода.</w:t>
      </w:r>
      <w:r w:rsidR="00087B3B" w:rsidRPr="0068493E">
        <w:rPr>
          <w:rFonts w:ascii="Times New Roman" w:hAnsi="Times New Roman" w:cs="Times New Roman"/>
          <w:sz w:val="24"/>
          <w:szCs w:val="24"/>
          <w:lang w:val="sr-Cyrl-CS"/>
        </w:rPr>
        <w:t xml:space="preserve"> </w:t>
      </w:r>
      <w:r w:rsidR="00087B3B" w:rsidRPr="0068493E">
        <w:rPr>
          <w:rFonts w:ascii="Times New Roman" w:eastAsia="Arial" w:hAnsi="Times New Roman" w:cs="Times New Roman"/>
          <w:color w:val="000000"/>
          <w:sz w:val="24"/>
          <w:szCs w:val="24"/>
          <w:lang w:val="sr-Cyrl-CS"/>
        </w:rPr>
        <w:t xml:space="preserve">Разлог за допуну закона овим чланом јесте што у Републици Србији до сада није </w:t>
      </w:r>
      <w:r w:rsidR="00A01A6B">
        <w:rPr>
          <w:rFonts w:ascii="Times New Roman" w:eastAsia="Arial" w:hAnsi="Times New Roman" w:cs="Times New Roman"/>
          <w:color w:val="000000"/>
          <w:sz w:val="24"/>
          <w:szCs w:val="24"/>
          <w:lang w:val="sr-Cyrl-CS"/>
        </w:rPr>
        <w:t>регулисан начин управљања отпад</w:t>
      </w:r>
      <w:r w:rsidR="00087B3B" w:rsidRPr="0068493E">
        <w:rPr>
          <w:rFonts w:ascii="Times New Roman" w:eastAsia="Arial" w:hAnsi="Times New Roman" w:cs="Times New Roman"/>
          <w:color w:val="000000"/>
          <w:sz w:val="24"/>
          <w:szCs w:val="24"/>
          <w:lang w:val="sr-Cyrl-CS"/>
        </w:rPr>
        <w:t>ним муљем из постројења за пречишћавање комуналних или индустријских отпадних вода, а како се планира изградња све већег броја ових постројења, мора се водити рачуна о каснијем збрињавању ове врсте муља.</w:t>
      </w:r>
    </w:p>
    <w:p w14:paraId="47DD5F80" w14:textId="77777777" w:rsidR="007F4782" w:rsidRPr="0068493E" w:rsidRDefault="00087B3B" w:rsidP="00BC3CC9">
      <w:pPr>
        <w:spacing w:line="240" w:lineRule="auto"/>
        <w:jc w:val="both"/>
        <w:rPr>
          <w:rFonts w:ascii="Times New Roman" w:hAnsi="Times New Roman" w:cs="Times New Roman"/>
          <w:sz w:val="24"/>
          <w:szCs w:val="24"/>
          <w:lang w:val="sr-Cyrl-CS"/>
        </w:rPr>
      </w:pPr>
      <w:r w:rsidRPr="0068493E">
        <w:rPr>
          <w:rFonts w:ascii="Times New Roman" w:hAnsi="Times New Roman" w:cs="Times New Roman"/>
          <w:sz w:val="24"/>
          <w:szCs w:val="24"/>
          <w:lang w:val="sr-Cyrl-CS"/>
        </w:rPr>
        <w:t>Чланом 59а. је предложено дефинисање финансијских гаранција</w:t>
      </w:r>
      <w:r w:rsidR="00D82D2E" w:rsidRPr="0068493E">
        <w:rPr>
          <w:rFonts w:ascii="Times New Roman" w:hAnsi="Times New Roman" w:cs="Times New Roman"/>
          <w:sz w:val="24"/>
          <w:szCs w:val="24"/>
          <w:lang w:val="sr-Cyrl-CS"/>
        </w:rPr>
        <w:t xml:space="preserve">, односно успостављен је основ за доношење Уредбе којом би се извршило утврђивање економских инструмената и финансијских механизама у области управљања отпадом, </w:t>
      </w:r>
      <w:r w:rsidR="00D82D2E" w:rsidRPr="0068493E">
        <w:rPr>
          <w:rFonts w:ascii="Times New Roman" w:hAnsi="Times New Roman" w:cs="Times New Roman"/>
          <w:sz w:val="24"/>
          <w:szCs w:val="24"/>
          <w:shd w:val="clear" w:color="auto" w:fill="FFFFFF"/>
          <w:lang w:val="sr-Cyrl-CS"/>
        </w:rPr>
        <w:t>како би се осигурао систем за домаћа и инострана улагања у дугорочно одрживе активности.</w:t>
      </w:r>
    </w:p>
    <w:p w14:paraId="12A5972E" w14:textId="77777777" w:rsidR="00C0422D" w:rsidRPr="0068493E" w:rsidRDefault="002510F4" w:rsidP="00BC3CC9">
      <w:pPr>
        <w:spacing w:line="240" w:lineRule="auto"/>
        <w:jc w:val="both"/>
        <w:rPr>
          <w:rFonts w:ascii="Times New Roman" w:hAnsi="Times New Roman" w:cs="Times New Roman"/>
          <w:b/>
          <w:sz w:val="24"/>
          <w:szCs w:val="24"/>
          <w:lang w:val="sr-Cyrl-CS"/>
        </w:rPr>
      </w:pPr>
      <w:r w:rsidRPr="0068493E">
        <w:rPr>
          <w:rFonts w:ascii="Times New Roman" w:hAnsi="Times New Roman" w:cs="Times New Roman"/>
          <w:b/>
          <w:sz w:val="24"/>
          <w:szCs w:val="24"/>
          <w:lang w:val="sr-Cyrl-CS"/>
        </w:rPr>
        <w:t>Циљ који се законом постиже</w:t>
      </w:r>
    </w:p>
    <w:p w14:paraId="75A585D7" w14:textId="77777777" w:rsidR="007F4782" w:rsidRPr="0068493E" w:rsidRDefault="007F4782" w:rsidP="00BC3CC9">
      <w:pPr>
        <w:spacing w:line="240" w:lineRule="auto"/>
        <w:jc w:val="both"/>
        <w:rPr>
          <w:rFonts w:ascii="Times New Roman" w:hAnsi="Times New Roman" w:cs="Times New Roman"/>
          <w:sz w:val="24"/>
          <w:szCs w:val="24"/>
          <w:lang w:val="sr-Cyrl-CS"/>
        </w:rPr>
      </w:pPr>
      <w:r w:rsidRPr="0068493E">
        <w:rPr>
          <w:rFonts w:ascii="Times New Roman" w:hAnsi="Times New Roman" w:cs="Times New Roman"/>
          <w:sz w:val="24"/>
          <w:szCs w:val="24"/>
          <w:lang w:val="sr-Cyrl-CS"/>
        </w:rPr>
        <w:lastRenderedPageBreak/>
        <w:t>Општи циљ Републике Србије је да обезбеди систем за примену донетих закона, између осталог и у циљу заштите животне средине, како би се обезбедио бољи квалитет живота људи и заштитила животна средина.</w:t>
      </w:r>
    </w:p>
    <w:p w14:paraId="6A0C89E8" w14:textId="77777777" w:rsidR="00986C70" w:rsidRPr="0068493E" w:rsidRDefault="00554AAF" w:rsidP="00BC3CC9">
      <w:pPr>
        <w:spacing w:line="240" w:lineRule="auto"/>
        <w:jc w:val="both"/>
        <w:rPr>
          <w:rFonts w:ascii="Times New Roman" w:hAnsi="Times New Roman" w:cs="Times New Roman"/>
          <w:sz w:val="24"/>
          <w:szCs w:val="24"/>
          <w:lang w:val="sr-Cyrl-CS"/>
        </w:rPr>
      </w:pPr>
      <w:r w:rsidRPr="0068493E">
        <w:rPr>
          <w:rFonts w:ascii="Times New Roman" w:hAnsi="Times New Roman" w:cs="Times New Roman"/>
          <w:sz w:val="24"/>
          <w:szCs w:val="24"/>
          <w:lang w:val="sr-Cyrl-CS"/>
        </w:rPr>
        <w:t xml:space="preserve">Овакав циљ је могуће спровести једино уз успостављање закона који имплементирају политике о отпаду створених на европском нивоу, а које гарантују реализацију </w:t>
      </w:r>
      <w:r w:rsidR="006B510F" w:rsidRPr="0068493E">
        <w:rPr>
          <w:rFonts w:ascii="Times New Roman" w:hAnsi="Times New Roman" w:cs="Times New Roman"/>
          <w:sz w:val="24"/>
          <w:szCs w:val="24"/>
          <w:lang w:val="sr-Cyrl-CS"/>
        </w:rPr>
        <w:t>акционих програма и планова у систему управљања отпадом.</w:t>
      </w:r>
    </w:p>
    <w:p w14:paraId="7E136C68" w14:textId="29C36BAC" w:rsidR="006B510F" w:rsidRPr="0068493E" w:rsidRDefault="006B510F" w:rsidP="00BC3CC9">
      <w:pPr>
        <w:spacing w:line="240" w:lineRule="auto"/>
        <w:jc w:val="both"/>
        <w:rPr>
          <w:rFonts w:ascii="Times New Roman" w:hAnsi="Times New Roman" w:cs="Times New Roman"/>
          <w:sz w:val="24"/>
          <w:szCs w:val="24"/>
          <w:lang w:val="sr-Cyrl-CS"/>
        </w:rPr>
      </w:pPr>
      <w:r w:rsidRPr="0068493E">
        <w:rPr>
          <w:rFonts w:ascii="Times New Roman" w:hAnsi="Times New Roman" w:cs="Times New Roman"/>
          <w:sz w:val="24"/>
          <w:szCs w:val="24"/>
          <w:lang w:val="sr-Cyrl-CS"/>
        </w:rPr>
        <w:t>Специфични циљеви су они који се односе на унапређење управљања посебним токовима отпада, односно успостављање основа за д</w:t>
      </w:r>
      <w:r w:rsidR="00B278F5">
        <w:rPr>
          <w:rFonts w:ascii="Times New Roman" w:hAnsi="Times New Roman" w:cs="Times New Roman"/>
          <w:sz w:val="24"/>
          <w:szCs w:val="24"/>
          <w:lang w:val="sr-Cyrl-CS"/>
        </w:rPr>
        <w:t>оношење мера којим се доноси ви</w:t>
      </w:r>
      <w:r w:rsidRPr="0068493E">
        <w:rPr>
          <w:rFonts w:ascii="Times New Roman" w:hAnsi="Times New Roman" w:cs="Times New Roman"/>
          <w:sz w:val="24"/>
          <w:szCs w:val="24"/>
          <w:lang w:val="sr-Cyrl-CS"/>
        </w:rPr>
        <w:t>с</w:t>
      </w:r>
      <w:r w:rsidR="00B278F5">
        <w:rPr>
          <w:rFonts w:ascii="Times New Roman" w:hAnsi="Times New Roman" w:cs="Times New Roman"/>
          <w:sz w:val="24"/>
          <w:szCs w:val="24"/>
          <w:lang w:val="sr-Cyrl-CS"/>
        </w:rPr>
        <w:t>о</w:t>
      </w:r>
      <w:r w:rsidRPr="0068493E">
        <w:rPr>
          <w:rFonts w:ascii="Times New Roman" w:hAnsi="Times New Roman" w:cs="Times New Roman"/>
          <w:sz w:val="24"/>
          <w:szCs w:val="24"/>
          <w:lang w:val="sr-Cyrl-CS"/>
        </w:rPr>
        <w:t>ки степен заштите животне средине и здравља људи.</w:t>
      </w:r>
    </w:p>
    <w:p w14:paraId="0C089615" w14:textId="77777777" w:rsidR="00A75E28" w:rsidRPr="0068493E" w:rsidRDefault="00A75E28" w:rsidP="00A75E28">
      <w:pPr>
        <w:spacing w:after="0" w:line="240" w:lineRule="auto"/>
        <w:jc w:val="both"/>
        <w:rPr>
          <w:rFonts w:ascii="Times New Roman" w:hAnsi="Times New Roman" w:cs="Times New Roman"/>
          <w:sz w:val="24"/>
          <w:szCs w:val="24"/>
          <w:lang w:val="sr-Cyrl-CS"/>
        </w:rPr>
      </w:pPr>
      <w:r w:rsidRPr="0068493E">
        <w:rPr>
          <w:rFonts w:ascii="Times New Roman" w:hAnsi="Times New Roman" w:cs="Times New Roman"/>
          <w:sz w:val="24"/>
          <w:szCs w:val="24"/>
          <w:lang w:val="sr-Cyrl-CS"/>
        </w:rPr>
        <w:t xml:space="preserve">Предложена решења израз су и потребе усклађивања са захтевима прописа ЕУ у области управљања отпадом, и то у циљу: </w:t>
      </w:r>
    </w:p>
    <w:p w14:paraId="4E39532B" w14:textId="01B8EC7E" w:rsidR="00A75E28" w:rsidRPr="0068493E" w:rsidRDefault="00A75E28" w:rsidP="00A75E28">
      <w:pPr>
        <w:spacing w:after="0" w:line="240" w:lineRule="auto"/>
        <w:jc w:val="both"/>
        <w:rPr>
          <w:rFonts w:ascii="Times New Roman" w:hAnsi="Times New Roman" w:cs="Times New Roman"/>
          <w:sz w:val="24"/>
          <w:szCs w:val="24"/>
          <w:lang w:val="sr-Cyrl-CS"/>
        </w:rPr>
      </w:pPr>
      <w:r w:rsidRPr="0068493E">
        <w:rPr>
          <w:rFonts w:ascii="Times New Roman" w:hAnsi="Times New Roman" w:cs="Times New Roman"/>
          <w:sz w:val="24"/>
          <w:szCs w:val="24"/>
          <w:lang w:val="sr-Cyrl-CS"/>
        </w:rPr>
        <w:sym w:font="Symbol" w:char="F0B7"/>
      </w:r>
      <w:r w:rsidRPr="0068493E">
        <w:rPr>
          <w:rFonts w:ascii="Times New Roman" w:hAnsi="Times New Roman" w:cs="Times New Roman"/>
          <w:sz w:val="24"/>
          <w:szCs w:val="24"/>
          <w:lang w:val="sr-Cyrl-CS"/>
        </w:rPr>
        <w:t xml:space="preserve"> Транспозиције Оквирне директиве о отпаду</w:t>
      </w:r>
    </w:p>
    <w:p w14:paraId="65A8B0CA" w14:textId="57D03110" w:rsidR="00A75E28" w:rsidRPr="0068493E" w:rsidRDefault="00A75E28" w:rsidP="00A75E28">
      <w:pPr>
        <w:spacing w:after="0" w:line="240" w:lineRule="auto"/>
        <w:jc w:val="both"/>
        <w:rPr>
          <w:rFonts w:ascii="Times New Roman" w:hAnsi="Times New Roman" w:cs="Times New Roman"/>
          <w:sz w:val="24"/>
          <w:szCs w:val="24"/>
          <w:lang w:val="sr-Cyrl-CS"/>
        </w:rPr>
      </w:pPr>
      <w:r w:rsidRPr="0068493E">
        <w:rPr>
          <w:rFonts w:ascii="Times New Roman" w:hAnsi="Times New Roman" w:cs="Times New Roman"/>
          <w:sz w:val="24"/>
          <w:szCs w:val="24"/>
          <w:lang w:val="sr-Cyrl-CS"/>
        </w:rPr>
        <w:t>Изменама и допунама дефиниција и термина, усклађивањем захтева за упис у регистар престанка статуса отпада, ближим уређивањем дела који се односи на комунални отпад, додавањем чланова који се односе на отпад од грађења и рушења и отпадни муљ из постројења за пречишћавање отпадних вода, прецизније уређивање планирања и одговорности субјеката управљања отпадом (произвођача, оператера), организације управљања отпадом (сакупљање, транспорт, третман, поновна употреба, рециклажа и одлагање отпада), врши се транспоновање Оквирне директиве о отпаду.</w:t>
      </w:r>
    </w:p>
    <w:p w14:paraId="00811615" w14:textId="338FEC23" w:rsidR="00A75E28" w:rsidRPr="0068493E" w:rsidRDefault="00A75E28" w:rsidP="00A75E28">
      <w:pPr>
        <w:spacing w:after="0" w:line="240" w:lineRule="auto"/>
        <w:jc w:val="both"/>
        <w:rPr>
          <w:rFonts w:ascii="Times New Roman" w:hAnsi="Times New Roman" w:cs="Times New Roman"/>
          <w:sz w:val="24"/>
          <w:szCs w:val="24"/>
          <w:lang w:val="sr-Cyrl-CS"/>
        </w:rPr>
      </w:pPr>
      <w:r w:rsidRPr="0068493E">
        <w:rPr>
          <w:rFonts w:ascii="Times New Roman" w:hAnsi="Times New Roman" w:cs="Times New Roman"/>
          <w:sz w:val="24"/>
          <w:szCs w:val="24"/>
          <w:lang w:val="sr-Cyrl-CS"/>
        </w:rPr>
        <w:sym w:font="Symbol" w:char="F0B7"/>
      </w:r>
      <w:r w:rsidRPr="0068493E">
        <w:rPr>
          <w:rFonts w:ascii="Times New Roman" w:hAnsi="Times New Roman" w:cs="Times New Roman"/>
          <w:sz w:val="24"/>
          <w:szCs w:val="24"/>
          <w:lang w:val="sr-Cyrl-CS"/>
        </w:rPr>
        <w:t xml:space="preserve"> Отклањања непрецизности и недостатака у транспоновању: Директиве o депонијама</w:t>
      </w:r>
    </w:p>
    <w:p w14:paraId="3362C26C" w14:textId="60BF3A5C" w:rsidR="00A75E28" w:rsidRPr="0068493E" w:rsidRDefault="00A75E28" w:rsidP="00A75E28">
      <w:pPr>
        <w:spacing w:after="0" w:line="240" w:lineRule="auto"/>
        <w:jc w:val="both"/>
        <w:rPr>
          <w:rFonts w:ascii="Times New Roman" w:hAnsi="Times New Roman" w:cs="Times New Roman"/>
          <w:sz w:val="24"/>
          <w:szCs w:val="24"/>
          <w:lang w:val="sr-Cyrl-CS"/>
        </w:rPr>
      </w:pPr>
      <w:r w:rsidRPr="0068493E">
        <w:rPr>
          <w:rFonts w:ascii="Times New Roman" w:hAnsi="Times New Roman" w:cs="Times New Roman"/>
          <w:sz w:val="24"/>
          <w:szCs w:val="24"/>
          <w:lang w:val="sr-Cyrl-CS"/>
        </w:rPr>
        <w:t>У делу Закона који се односи на дефиниције одлагања, уређивање несанитарних депонија, мониторинг, као и других захтева, врши се отклањање непрецизности и недостатака у транспоновању Директиве o депонијама.</w:t>
      </w:r>
    </w:p>
    <w:p w14:paraId="051D6322" w14:textId="232EBD35" w:rsidR="00A75E28" w:rsidRPr="0068493E" w:rsidRDefault="00A75E28" w:rsidP="00A75E28">
      <w:pPr>
        <w:spacing w:after="0" w:line="240" w:lineRule="auto"/>
        <w:jc w:val="both"/>
        <w:rPr>
          <w:rFonts w:ascii="Times New Roman" w:hAnsi="Times New Roman" w:cs="Times New Roman"/>
          <w:sz w:val="24"/>
          <w:szCs w:val="24"/>
          <w:lang w:val="sr-Cyrl-CS"/>
        </w:rPr>
      </w:pPr>
      <w:r w:rsidRPr="0068493E">
        <w:rPr>
          <w:rFonts w:ascii="Times New Roman" w:hAnsi="Times New Roman" w:cs="Times New Roman"/>
          <w:sz w:val="24"/>
          <w:szCs w:val="24"/>
          <w:lang w:val="sr-Cyrl-CS"/>
        </w:rPr>
        <w:sym w:font="Symbol" w:char="F0B7"/>
      </w:r>
      <w:r w:rsidRPr="0068493E">
        <w:rPr>
          <w:rFonts w:ascii="Times New Roman" w:hAnsi="Times New Roman" w:cs="Times New Roman"/>
          <w:sz w:val="24"/>
          <w:szCs w:val="24"/>
          <w:lang w:val="sr-Cyrl-CS"/>
        </w:rPr>
        <w:t xml:space="preserve"> отклањања непрецизности и недостатака у транспоновању: Директиве o индустријском загађењу</w:t>
      </w:r>
    </w:p>
    <w:p w14:paraId="531D4F4D" w14:textId="22BA84F5" w:rsidR="00A75E28" w:rsidRPr="0068493E" w:rsidRDefault="00A75E28" w:rsidP="00A75E28">
      <w:pPr>
        <w:spacing w:after="0" w:line="240" w:lineRule="auto"/>
        <w:jc w:val="both"/>
        <w:rPr>
          <w:rFonts w:ascii="Times New Roman" w:hAnsi="Times New Roman" w:cs="Times New Roman"/>
          <w:sz w:val="24"/>
          <w:szCs w:val="24"/>
          <w:lang w:val="sr-Cyrl-CS"/>
        </w:rPr>
      </w:pPr>
      <w:r w:rsidRPr="0068493E">
        <w:rPr>
          <w:rFonts w:ascii="Times New Roman" w:hAnsi="Times New Roman" w:cs="Times New Roman"/>
          <w:sz w:val="24"/>
          <w:szCs w:val="24"/>
          <w:lang w:val="sr-Cyrl-CS"/>
        </w:rPr>
        <w:t>Законом је прописан термички третман у складу са Директивом о спаљивању отпада која је замењена Директивом o индустријском загађењу, те је неопходно вршење отклањања непрецизности и недостатака.</w:t>
      </w:r>
    </w:p>
    <w:p w14:paraId="49D25EBB" w14:textId="1D9BFEC2" w:rsidR="00A75E28" w:rsidRPr="0068493E" w:rsidRDefault="00A75E28" w:rsidP="00A75E28">
      <w:pPr>
        <w:spacing w:after="0" w:line="240" w:lineRule="auto"/>
        <w:jc w:val="both"/>
        <w:rPr>
          <w:rFonts w:ascii="Times New Roman" w:hAnsi="Times New Roman" w:cs="Times New Roman"/>
          <w:sz w:val="24"/>
          <w:szCs w:val="24"/>
          <w:lang w:val="sr-Cyrl-CS"/>
        </w:rPr>
      </w:pPr>
      <w:r w:rsidRPr="0068493E">
        <w:rPr>
          <w:rFonts w:ascii="Times New Roman" w:hAnsi="Times New Roman" w:cs="Times New Roman"/>
          <w:sz w:val="24"/>
          <w:szCs w:val="24"/>
          <w:lang w:val="sr-Cyrl-CS"/>
        </w:rPr>
        <w:sym w:font="Symbol" w:char="F0B7"/>
      </w:r>
      <w:r w:rsidRPr="0068493E">
        <w:rPr>
          <w:rFonts w:ascii="Times New Roman" w:hAnsi="Times New Roman" w:cs="Times New Roman"/>
          <w:sz w:val="24"/>
          <w:szCs w:val="24"/>
          <w:lang w:val="sr-Cyrl-CS"/>
        </w:rPr>
        <w:t xml:space="preserve"> транспозиције Уредбе о пошиљкама отпада</w:t>
      </w:r>
    </w:p>
    <w:p w14:paraId="04890DFB" w14:textId="62E91943" w:rsidR="00A75E28" w:rsidRPr="0068493E" w:rsidRDefault="00A75E28" w:rsidP="00A75E28">
      <w:pPr>
        <w:spacing w:after="0" w:line="240" w:lineRule="auto"/>
        <w:jc w:val="both"/>
        <w:rPr>
          <w:rFonts w:ascii="Times New Roman" w:hAnsi="Times New Roman" w:cs="Times New Roman"/>
          <w:sz w:val="24"/>
          <w:szCs w:val="24"/>
          <w:lang w:val="sr-Cyrl-CS"/>
        </w:rPr>
      </w:pPr>
      <w:r w:rsidRPr="0068493E">
        <w:rPr>
          <w:rFonts w:ascii="Times New Roman" w:hAnsi="Times New Roman" w:cs="Times New Roman"/>
          <w:sz w:val="24"/>
          <w:szCs w:val="24"/>
          <w:lang w:val="sr-Cyrl-CS"/>
        </w:rPr>
        <w:t xml:space="preserve">Законом је прописано прекогранично кретање отпада које се врши у складу са одредбама Уредбе о пошиљкама отпада, а која се односи и на примену Базелске </w:t>
      </w:r>
      <w:r w:rsidR="00820245">
        <w:rPr>
          <w:rFonts w:ascii="Times New Roman" w:hAnsi="Times New Roman" w:cs="Times New Roman"/>
          <w:sz w:val="24"/>
          <w:szCs w:val="24"/>
          <w:lang w:val="sr-Cyrl-CS"/>
        </w:rPr>
        <w:t>конвенције, као и других међуна</w:t>
      </w:r>
      <w:r w:rsidRPr="0068493E">
        <w:rPr>
          <w:rFonts w:ascii="Times New Roman" w:hAnsi="Times New Roman" w:cs="Times New Roman"/>
          <w:sz w:val="24"/>
          <w:szCs w:val="24"/>
          <w:lang w:val="sr-Cyrl-CS"/>
        </w:rPr>
        <w:t>р</w:t>
      </w:r>
      <w:r w:rsidR="00820245">
        <w:rPr>
          <w:rFonts w:ascii="Times New Roman" w:hAnsi="Times New Roman" w:cs="Times New Roman"/>
          <w:sz w:val="24"/>
          <w:szCs w:val="24"/>
          <w:lang w:val="sr-Cyrl-CS"/>
        </w:rPr>
        <w:t>од</w:t>
      </w:r>
      <w:r w:rsidRPr="0068493E">
        <w:rPr>
          <w:rFonts w:ascii="Times New Roman" w:hAnsi="Times New Roman" w:cs="Times New Roman"/>
          <w:sz w:val="24"/>
          <w:szCs w:val="24"/>
          <w:lang w:val="sr-Cyrl-CS"/>
        </w:rPr>
        <w:t>них прописа. Предложене измене ће унапредити транспозицију Уредбе о пошиљкама отпада.</w:t>
      </w:r>
    </w:p>
    <w:p w14:paraId="03CE54E8" w14:textId="77777777" w:rsidR="00A75E28" w:rsidRPr="0068493E" w:rsidRDefault="00A75E28" w:rsidP="00A75E28">
      <w:pPr>
        <w:spacing w:after="0" w:line="240" w:lineRule="auto"/>
        <w:jc w:val="both"/>
        <w:rPr>
          <w:rFonts w:ascii="Times New Roman" w:hAnsi="Times New Roman" w:cs="Times New Roman"/>
          <w:sz w:val="24"/>
          <w:szCs w:val="24"/>
          <w:lang w:val="sr-Cyrl-CS"/>
        </w:rPr>
      </w:pPr>
    </w:p>
    <w:p w14:paraId="4A32DDE6" w14:textId="77777777" w:rsidR="00986C70" w:rsidRPr="0068493E" w:rsidRDefault="00986C70" w:rsidP="00BC3CC9">
      <w:pPr>
        <w:pStyle w:val="basic-paragraph"/>
        <w:tabs>
          <w:tab w:val="left" w:pos="851"/>
        </w:tabs>
        <w:spacing w:before="0" w:beforeAutospacing="0" w:after="0" w:afterAutospacing="0"/>
        <w:jc w:val="both"/>
        <w:rPr>
          <w:b/>
          <w:lang w:val="sr-Cyrl-CS"/>
        </w:rPr>
      </w:pPr>
      <w:r w:rsidRPr="0068493E">
        <w:rPr>
          <w:b/>
          <w:lang w:val="sr-Cyrl-CS"/>
        </w:rPr>
        <w:t>Да ли је промена заиста неопходна и у ком обиму?</w:t>
      </w:r>
    </w:p>
    <w:p w14:paraId="1C778DCF" w14:textId="77777777" w:rsidR="00986C70" w:rsidRPr="0068493E" w:rsidRDefault="00986C70" w:rsidP="00BC3CC9">
      <w:pPr>
        <w:spacing w:after="0" w:line="240" w:lineRule="auto"/>
        <w:jc w:val="both"/>
        <w:rPr>
          <w:rFonts w:ascii="Times New Roman" w:eastAsia="Times New Roman" w:hAnsi="Times New Roman" w:cs="Times New Roman"/>
          <w:bCs/>
          <w:sz w:val="24"/>
          <w:szCs w:val="24"/>
          <w:lang w:val="sr-Cyrl-CS" w:eastAsia="sr-Latn-RS"/>
        </w:rPr>
      </w:pPr>
    </w:p>
    <w:p w14:paraId="3ECFB002" w14:textId="409FFF7D" w:rsidR="00B60EC4" w:rsidRPr="0068493E" w:rsidRDefault="00B60EC4" w:rsidP="00BC3CC9">
      <w:pPr>
        <w:spacing w:after="0" w:line="240" w:lineRule="auto"/>
        <w:jc w:val="both"/>
        <w:rPr>
          <w:rFonts w:ascii="Times New Roman" w:hAnsi="Times New Roman" w:cs="Times New Roman"/>
          <w:sz w:val="24"/>
          <w:szCs w:val="24"/>
          <w:lang w:val="sr-Cyrl-CS"/>
        </w:rPr>
      </w:pPr>
      <w:r w:rsidRPr="0068493E">
        <w:rPr>
          <w:rFonts w:ascii="Times New Roman" w:hAnsi="Times New Roman" w:cs="Times New Roman"/>
          <w:sz w:val="24"/>
          <w:szCs w:val="24"/>
          <w:lang w:val="sr-Cyrl-CS"/>
        </w:rPr>
        <w:t xml:space="preserve">Питања која су предмет измена и допуна овог закона су системске природе и њихово решавање је могуће једино законом којим се ова питања уређују. </w:t>
      </w:r>
    </w:p>
    <w:p w14:paraId="291E25AC" w14:textId="438ACC62" w:rsidR="00B60EC4" w:rsidRPr="0068493E" w:rsidRDefault="00B60EC4" w:rsidP="00BC3CC9">
      <w:pPr>
        <w:spacing w:after="0" w:line="240" w:lineRule="auto"/>
        <w:jc w:val="both"/>
        <w:rPr>
          <w:rFonts w:ascii="Times New Roman" w:hAnsi="Times New Roman" w:cs="Times New Roman"/>
          <w:sz w:val="24"/>
          <w:szCs w:val="24"/>
          <w:lang w:val="sr-Cyrl-CS"/>
        </w:rPr>
      </w:pPr>
      <w:r w:rsidRPr="0068493E">
        <w:rPr>
          <w:rFonts w:ascii="Times New Roman" w:hAnsi="Times New Roman" w:cs="Times New Roman"/>
          <w:sz w:val="24"/>
          <w:szCs w:val="24"/>
          <w:lang w:val="sr-Cyrl-CS"/>
        </w:rPr>
        <w:t xml:space="preserve">Материја којом се целовито уређује област планирања, организовања управљања отпадом, издавања дозвола и извештавања у области управљања отпадом не може се такође устројити без постојања законског акта којим се уређују права и обавезе привредних субјеката и других правних лица у области управљања отпадом, од његовог настајања до коначног одлагања, а ради остваривања постављених циљева. </w:t>
      </w:r>
    </w:p>
    <w:p w14:paraId="3187FC17" w14:textId="68DE0978" w:rsidR="00986C70" w:rsidRPr="0068493E" w:rsidRDefault="00986C70" w:rsidP="00BC3CC9">
      <w:pPr>
        <w:spacing w:after="0" w:line="240" w:lineRule="auto"/>
        <w:jc w:val="both"/>
        <w:rPr>
          <w:rFonts w:ascii="Times New Roman" w:eastAsia="Times New Roman" w:hAnsi="Times New Roman" w:cs="Times New Roman"/>
          <w:bCs/>
          <w:sz w:val="24"/>
          <w:szCs w:val="24"/>
          <w:lang w:val="sr-Cyrl-CS" w:eastAsia="sr-Latn-RS"/>
        </w:rPr>
      </w:pPr>
      <w:r w:rsidRPr="0068493E">
        <w:rPr>
          <w:rFonts w:ascii="Times New Roman" w:eastAsia="Times New Roman" w:hAnsi="Times New Roman" w:cs="Times New Roman"/>
          <w:bCs/>
          <w:sz w:val="24"/>
          <w:szCs w:val="24"/>
          <w:lang w:val="sr-Cyrl-CS" w:eastAsia="sr-Latn-RS"/>
        </w:rPr>
        <w:t xml:space="preserve">Доношењем Закона о изменама и допунама Закона о управљању отпадом уредиће се права и обавезе свих учесника </w:t>
      </w:r>
      <w:r w:rsidR="00AD08A6" w:rsidRPr="0068493E">
        <w:rPr>
          <w:rFonts w:ascii="Times New Roman" w:hAnsi="Times New Roman" w:cs="Times New Roman"/>
          <w:bCs/>
          <w:sz w:val="24"/>
          <w:szCs w:val="24"/>
          <w:lang w:val="sr-Cyrl-CS"/>
        </w:rPr>
        <w:t xml:space="preserve">у области управљања отпадом од </w:t>
      </w:r>
      <w:r w:rsidR="00AD08A6" w:rsidRPr="0068493E">
        <w:rPr>
          <w:rFonts w:ascii="Times New Roman" w:hAnsi="Times New Roman" w:cs="Times New Roman"/>
          <w:sz w:val="24"/>
          <w:szCs w:val="24"/>
          <w:lang w:val="sr-Cyrl-CS"/>
        </w:rPr>
        <w:t xml:space="preserve">надлежних органа Републике, </w:t>
      </w:r>
      <w:r w:rsidR="00AD08A6" w:rsidRPr="0068493E">
        <w:rPr>
          <w:rFonts w:ascii="Times New Roman" w:hAnsi="Times New Roman" w:cs="Times New Roman"/>
          <w:bCs/>
          <w:sz w:val="24"/>
          <w:szCs w:val="24"/>
          <w:lang w:val="sr-Cyrl-CS"/>
        </w:rPr>
        <w:t>јединице локалне самоуправе, привредних субјеката и других правних лица до грађана,</w:t>
      </w:r>
      <w:r w:rsidR="00AD08A6" w:rsidRPr="0068493E">
        <w:rPr>
          <w:rFonts w:ascii="Times New Roman" w:eastAsia="Times New Roman" w:hAnsi="Times New Roman" w:cs="Times New Roman"/>
          <w:bCs/>
          <w:sz w:val="24"/>
          <w:szCs w:val="24"/>
          <w:lang w:val="sr-Cyrl-CS" w:eastAsia="sr-Latn-RS"/>
        </w:rPr>
        <w:t xml:space="preserve"> </w:t>
      </w:r>
      <w:r w:rsidR="00AD08A6" w:rsidRPr="0068493E">
        <w:rPr>
          <w:rFonts w:ascii="Times New Roman" w:hAnsi="Times New Roman" w:cs="Times New Roman"/>
          <w:bCs/>
          <w:sz w:val="24"/>
          <w:szCs w:val="24"/>
          <w:lang w:val="sr-Cyrl-CS"/>
        </w:rPr>
        <w:t>ради остваривања постављених циљева, усклађивања са прописима ЕУ и изградње ефикасног система управљања отпадом</w:t>
      </w:r>
      <w:r w:rsidRPr="0068493E">
        <w:rPr>
          <w:rFonts w:ascii="Times New Roman" w:eastAsia="Times New Roman" w:hAnsi="Times New Roman" w:cs="Times New Roman"/>
          <w:bCs/>
          <w:sz w:val="24"/>
          <w:szCs w:val="24"/>
          <w:lang w:val="sr-Cyrl-CS" w:eastAsia="sr-Latn-RS"/>
        </w:rPr>
        <w:t>.</w:t>
      </w:r>
    </w:p>
    <w:p w14:paraId="48DED98B" w14:textId="77777777" w:rsidR="00986C70" w:rsidRPr="0068493E" w:rsidRDefault="00986C70" w:rsidP="00BC3CC9">
      <w:pPr>
        <w:spacing w:after="0" w:line="240" w:lineRule="auto"/>
        <w:jc w:val="both"/>
        <w:rPr>
          <w:rFonts w:ascii="Times New Roman" w:eastAsia="Times New Roman" w:hAnsi="Times New Roman" w:cs="Times New Roman"/>
          <w:bCs/>
          <w:sz w:val="24"/>
          <w:szCs w:val="24"/>
          <w:lang w:val="sr-Cyrl-CS" w:eastAsia="sr-Latn-RS"/>
        </w:rPr>
      </w:pPr>
      <w:r w:rsidRPr="0068493E">
        <w:rPr>
          <w:rFonts w:ascii="Times New Roman" w:eastAsia="Times New Roman" w:hAnsi="Times New Roman" w:cs="Times New Roman"/>
          <w:bCs/>
          <w:sz w:val="24"/>
          <w:szCs w:val="24"/>
          <w:lang w:val="sr-Cyrl-CS" w:eastAsia="sr-Latn-RS"/>
        </w:rPr>
        <w:lastRenderedPageBreak/>
        <w:t>Промена је потребна у предложеном обиму, јер се закон усклађује са Директивом 200</w:t>
      </w:r>
      <w:r w:rsidR="00AD08A6" w:rsidRPr="0068493E">
        <w:rPr>
          <w:rFonts w:ascii="Times New Roman" w:eastAsia="Times New Roman" w:hAnsi="Times New Roman" w:cs="Times New Roman"/>
          <w:bCs/>
          <w:sz w:val="24"/>
          <w:szCs w:val="24"/>
          <w:lang w:val="sr-Cyrl-CS" w:eastAsia="sr-Latn-RS"/>
        </w:rPr>
        <w:t>8</w:t>
      </w:r>
      <w:r w:rsidRPr="0068493E">
        <w:rPr>
          <w:rFonts w:ascii="Times New Roman" w:eastAsia="Times New Roman" w:hAnsi="Times New Roman" w:cs="Times New Roman"/>
          <w:bCs/>
          <w:sz w:val="24"/>
          <w:szCs w:val="24"/>
          <w:lang w:val="sr-Cyrl-CS" w:eastAsia="sr-Latn-RS"/>
        </w:rPr>
        <w:t>/</w:t>
      </w:r>
      <w:r w:rsidR="00AD08A6" w:rsidRPr="0068493E">
        <w:rPr>
          <w:rFonts w:ascii="Times New Roman" w:eastAsia="Times New Roman" w:hAnsi="Times New Roman" w:cs="Times New Roman"/>
          <w:bCs/>
          <w:sz w:val="24"/>
          <w:szCs w:val="24"/>
          <w:lang w:val="sr-Cyrl-CS" w:eastAsia="sr-Latn-RS"/>
        </w:rPr>
        <w:t>98/ЕЗ</w:t>
      </w:r>
      <w:r w:rsidRPr="0068493E">
        <w:rPr>
          <w:rFonts w:ascii="Times New Roman" w:eastAsia="Times New Roman" w:hAnsi="Times New Roman" w:cs="Times New Roman"/>
          <w:bCs/>
          <w:sz w:val="24"/>
          <w:szCs w:val="24"/>
          <w:lang w:val="sr-Cyrl-CS" w:eastAsia="sr-Latn-RS"/>
        </w:rPr>
        <w:t>, а с обзиром да је проблем управљања отпадом све присутнији и да неодговорно управљање отпадом у животној средини може да представља ризик по здравље људи, прецизирају се досадашње одредбе које имају за циљ да спрече или смање штетне ефекте отпада на здравље људи и животну средину.</w:t>
      </w:r>
    </w:p>
    <w:p w14:paraId="284C8583" w14:textId="77777777" w:rsidR="00986C70" w:rsidRPr="0068493E" w:rsidRDefault="00986C70" w:rsidP="000C4E98">
      <w:pPr>
        <w:jc w:val="both"/>
        <w:rPr>
          <w:rFonts w:ascii="Times New Roman" w:hAnsi="Times New Roman" w:cs="Times New Roman"/>
          <w:sz w:val="24"/>
          <w:szCs w:val="24"/>
          <w:lang w:val="sr-Cyrl-CS"/>
        </w:rPr>
      </w:pPr>
    </w:p>
    <w:p w14:paraId="1AAAA82B" w14:textId="77777777" w:rsidR="00BC3CC9" w:rsidRPr="0068493E" w:rsidRDefault="00BC3CC9" w:rsidP="00BC3CC9">
      <w:pPr>
        <w:pStyle w:val="basic-paragraph"/>
        <w:tabs>
          <w:tab w:val="left" w:pos="851"/>
        </w:tabs>
        <w:spacing w:before="0" w:beforeAutospacing="0" w:after="0" w:afterAutospacing="0" w:line="276" w:lineRule="auto"/>
        <w:jc w:val="both"/>
        <w:rPr>
          <w:b/>
          <w:lang w:val="sr-Cyrl-CS"/>
        </w:rPr>
      </w:pPr>
      <w:r w:rsidRPr="0068493E">
        <w:rPr>
          <w:b/>
          <w:lang w:val="sr-Cyrl-CS"/>
        </w:rPr>
        <w:t>На које циљне групе ће утицати предложена промена? Утврдити и представити циљне групе на које ће промена имати непосредан односно посредан утицај.</w:t>
      </w:r>
    </w:p>
    <w:p w14:paraId="2002283B" w14:textId="77777777" w:rsidR="00BC3CC9" w:rsidRPr="0068493E" w:rsidRDefault="00BC3CC9" w:rsidP="00BC3CC9">
      <w:pPr>
        <w:pStyle w:val="basic-paragraph"/>
        <w:tabs>
          <w:tab w:val="left" w:pos="851"/>
        </w:tabs>
        <w:spacing w:before="0" w:beforeAutospacing="0" w:after="0" w:afterAutospacing="0" w:line="276" w:lineRule="auto"/>
        <w:jc w:val="both"/>
        <w:rPr>
          <w:rStyle w:val="Strong"/>
          <w:lang w:val="sr-Cyrl-CS"/>
        </w:rPr>
      </w:pPr>
    </w:p>
    <w:p w14:paraId="0DCE122A" w14:textId="77777777" w:rsidR="00BC3CC9" w:rsidRPr="0068493E" w:rsidRDefault="00BC3CC9" w:rsidP="00BC3CC9">
      <w:pPr>
        <w:pStyle w:val="basic-paragraph"/>
        <w:tabs>
          <w:tab w:val="left" w:pos="851"/>
        </w:tabs>
        <w:spacing w:before="0" w:beforeAutospacing="0" w:after="0" w:afterAutospacing="0"/>
        <w:jc w:val="both"/>
        <w:rPr>
          <w:rStyle w:val="Strong"/>
          <w:b w:val="0"/>
          <w:lang w:val="sr-Cyrl-CS"/>
        </w:rPr>
      </w:pPr>
      <w:r w:rsidRPr="0068493E">
        <w:rPr>
          <w:rStyle w:val="Strong"/>
          <w:b w:val="0"/>
          <w:lang w:val="sr-Cyrl-CS"/>
        </w:rPr>
        <w:t>С обзиром на материју коју регулише, решења предложена у Закону утицаће највише на администрацију и привреду, али и на све грађане. Тим решењима би требало успоставити бољи и јачи систем управљања отпадом.</w:t>
      </w:r>
    </w:p>
    <w:p w14:paraId="359B879C" w14:textId="77777777" w:rsidR="00290DA3" w:rsidRPr="0068493E" w:rsidRDefault="00290DA3" w:rsidP="00290DA3">
      <w:pPr>
        <w:pStyle w:val="basic-paragraph"/>
        <w:tabs>
          <w:tab w:val="left" w:pos="851"/>
        </w:tabs>
        <w:spacing w:before="0" w:beforeAutospacing="0" w:after="0" w:afterAutospacing="0"/>
        <w:jc w:val="both"/>
        <w:rPr>
          <w:lang w:val="sr-Cyrl-CS"/>
        </w:rPr>
      </w:pPr>
    </w:p>
    <w:p w14:paraId="2AAE47E9" w14:textId="77777777" w:rsidR="00290DA3" w:rsidRPr="0068493E" w:rsidRDefault="00290DA3" w:rsidP="00290DA3">
      <w:pPr>
        <w:pStyle w:val="basic-paragraph"/>
        <w:tabs>
          <w:tab w:val="left" w:pos="851"/>
        </w:tabs>
        <w:spacing w:before="0" w:beforeAutospacing="0" w:after="0" w:afterAutospacing="0"/>
        <w:jc w:val="both"/>
        <w:rPr>
          <w:lang w:val="sr-Cyrl-CS"/>
        </w:rPr>
      </w:pPr>
      <w:r w:rsidRPr="0068493E">
        <w:rPr>
          <w:lang w:val="sr-Cyrl-CS"/>
        </w:rPr>
        <w:t xml:space="preserve">Закон ће имати позитиван утицај на: </w:t>
      </w:r>
    </w:p>
    <w:p w14:paraId="7B09801F" w14:textId="77777777" w:rsidR="00290DA3" w:rsidRPr="0068493E" w:rsidRDefault="00290DA3" w:rsidP="00290DA3">
      <w:pPr>
        <w:pStyle w:val="basic-paragraph"/>
        <w:tabs>
          <w:tab w:val="left" w:pos="851"/>
        </w:tabs>
        <w:spacing w:before="0" w:beforeAutospacing="0" w:after="0" w:afterAutospacing="0"/>
        <w:jc w:val="both"/>
        <w:rPr>
          <w:lang w:val="sr-Cyrl-CS"/>
        </w:rPr>
      </w:pPr>
      <w:r w:rsidRPr="0068493E">
        <w:rPr>
          <w:lang w:val="sr-Cyrl-CS"/>
        </w:rPr>
        <w:t xml:space="preserve">1) држаоца производног остатка – утврђивањем обавезе да, приликом одлучивања о начину поступања, поштује услове и критеријуме прописане у складу са овим законом, укључујући упутства Европске уније о нуспроизводима; </w:t>
      </w:r>
    </w:p>
    <w:p w14:paraId="3685143B" w14:textId="77777777" w:rsidR="00290DA3" w:rsidRPr="0068493E" w:rsidRDefault="00290DA3" w:rsidP="00290DA3">
      <w:pPr>
        <w:pStyle w:val="basic-paragraph"/>
        <w:tabs>
          <w:tab w:val="left" w:pos="851"/>
        </w:tabs>
        <w:spacing w:before="0" w:beforeAutospacing="0" w:after="0" w:afterAutospacing="0"/>
        <w:jc w:val="both"/>
        <w:rPr>
          <w:lang w:val="sr-Cyrl-CS"/>
        </w:rPr>
      </w:pPr>
      <w:r w:rsidRPr="0068493E">
        <w:rPr>
          <w:lang w:val="sr-Cyrl-CS"/>
        </w:rPr>
        <w:t xml:space="preserve">2) држаоца отпада – утврђивањем обавезе да спроведе оцену усаглашености са техничке захтеве за поједине врсте отпада које, у складу са прописима Европске уније, престају да буду отпад; </w:t>
      </w:r>
    </w:p>
    <w:p w14:paraId="2A65F5B9" w14:textId="3F54D792" w:rsidR="00290DA3" w:rsidRPr="0068493E" w:rsidRDefault="00290DA3" w:rsidP="00290DA3">
      <w:pPr>
        <w:pStyle w:val="basic-paragraph"/>
        <w:tabs>
          <w:tab w:val="left" w:pos="851"/>
        </w:tabs>
        <w:spacing w:before="0" w:beforeAutospacing="0" w:after="0" w:afterAutospacing="0"/>
        <w:jc w:val="both"/>
        <w:rPr>
          <w:lang w:val="sr-Cyrl-CS"/>
        </w:rPr>
      </w:pPr>
      <w:r w:rsidRPr="0068493E">
        <w:rPr>
          <w:lang w:val="sr-Cyrl-CS"/>
        </w:rPr>
        <w:t>3) произвођаче отпада – утврђивањем да немају обавезу прибављања дозволе за складиштење сопственог отпада у складу са Окв</w:t>
      </w:r>
      <w:r w:rsidR="000D0F1C">
        <w:rPr>
          <w:lang w:val="sr-Cyrl-CS"/>
        </w:rPr>
        <w:t>ир</w:t>
      </w:r>
      <w:r w:rsidRPr="0068493E">
        <w:rPr>
          <w:lang w:val="sr-Cyrl-CS"/>
        </w:rPr>
        <w:t>ном директивом;</w:t>
      </w:r>
    </w:p>
    <w:p w14:paraId="24908F54" w14:textId="03AB565B" w:rsidR="00290DA3" w:rsidRPr="0068493E" w:rsidRDefault="00B84504" w:rsidP="00290DA3">
      <w:pPr>
        <w:pStyle w:val="basic-paragraph"/>
        <w:tabs>
          <w:tab w:val="left" w:pos="851"/>
        </w:tabs>
        <w:spacing w:before="0" w:beforeAutospacing="0" w:after="0" w:afterAutospacing="0"/>
        <w:jc w:val="both"/>
        <w:rPr>
          <w:lang w:val="sr-Cyrl-CS"/>
        </w:rPr>
      </w:pPr>
      <w:r w:rsidRPr="0068493E">
        <w:rPr>
          <w:lang w:val="sr-Cyrl-CS"/>
        </w:rPr>
        <w:t>4</w:t>
      </w:r>
      <w:r w:rsidR="00290DA3" w:rsidRPr="0068493E">
        <w:rPr>
          <w:lang w:val="sr-Cyrl-CS"/>
        </w:rPr>
        <w:t>) надлежни орган за издавање дозволе – предложеним решењима се јасно олакшава рад посебно у делу издавања дозвола јер се обавезе прецизирају, као и елементи документације која се дост</w:t>
      </w:r>
      <w:r w:rsidR="000D0F1C">
        <w:rPr>
          <w:lang w:val="sr-Cyrl-CS"/>
        </w:rPr>
        <w:t>а</w:t>
      </w:r>
      <w:r w:rsidR="00290DA3" w:rsidRPr="0068493E">
        <w:rPr>
          <w:lang w:val="sr-Cyrl-CS"/>
        </w:rPr>
        <w:t>вља уз захтев за издавање дозволе;</w:t>
      </w:r>
    </w:p>
    <w:p w14:paraId="58D74A2D" w14:textId="77777777" w:rsidR="00290DA3" w:rsidRPr="0068493E" w:rsidRDefault="00B84504" w:rsidP="00290DA3">
      <w:pPr>
        <w:pStyle w:val="basic-paragraph"/>
        <w:tabs>
          <w:tab w:val="left" w:pos="851"/>
        </w:tabs>
        <w:spacing w:before="0" w:beforeAutospacing="0" w:after="0" w:afterAutospacing="0"/>
        <w:jc w:val="both"/>
        <w:rPr>
          <w:lang w:val="sr-Cyrl-CS"/>
        </w:rPr>
      </w:pPr>
      <w:r w:rsidRPr="0068493E">
        <w:rPr>
          <w:lang w:val="sr-Cyrl-CS"/>
        </w:rPr>
        <w:t>5</w:t>
      </w:r>
      <w:r w:rsidR="00290DA3" w:rsidRPr="0068493E">
        <w:rPr>
          <w:lang w:val="sr-Cyrl-CS"/>
        </w:rPr>
        <w:t>) надлежне органе – јасно се дефинишу све надлежности свих органа.</w:t>
      </w:r>
    </w:p>
    <w:p w14:paraId="5645972F" w14:textId="77777777" w:rsidR="00290DA3" w:rsidRPr="0068493E" w:rsidRDefault="00290DA3" w:rsidP="00290DA3">
      <w:pPr>
        <w:pStyle w:val="basic-paragraph"/>
        <w:tabs>
          <w:tab w:val="left" w:pos="851"/>
        </w:tabs>
        <w:spacing w:before="0" w:beforeAutospacing="0" w:after="0" w:afterAutospacing="0"/>
        <w:jc w:val="both"/>
        <w:rPr>
          <w:lang w:val="sr-Cyrl-CS"/>
        </w:rPr>
      </w:pPr>
    </w:p>
    <w:p w14:paraId="46C5C30F" w14:textId="77777777" w:rsidR="00290DA3" w:rsidRPr="0068493E" w:rsidRDefault="00290DA3" w:rsidP="00827110">
      <w:pPr>
        <w:pStyle w:val="basic-paragraph"/>
        <w:tabs>
          <w:tab w:val="left" w:pos="851"/>
        </w:tabs>
        <w:spacing w:before="0" w:beforeAutospacing="0" w:after="240" w:afterAutospacing="0"/>
        <w:jc w:val="both"/>
        <w:rPr>
          <w:lang w:val="sr-Cyrl-CS"/>
        </w:rPr>
      </w:pPr>
      <w:r w:rsidRPr="0068493E">
        <w:rPr>
          <w:lang w:val="sr-Cyrl-CS"/>
        </w:rPr>
        <w:t>Предложеним решењима у закону обезбеђује се одговорност свих горе наведених субјеката у области управљања отпадом.</w:t>
      </w:r>
    </w:p>
    <w:p w14:paraId="2BD90040" w14:textId="77777777" w:rsidR="00BC3CC9" w:rsidRPr="0068493E" w:rsidRDefault="00BC3CC9" w:rsidP="00BC3CC9">
      <w:pPr>
        <w:pStyle w:val="basic-paragraph"/>
        <w:tabs>
          <w:tab w:val="left" w:pos="851"/>
        </w:tabs>
        <w:spacing w:before="0" w:beforeAutospacing="0" w:after="0" w:afterAutospacing="0"/>
        <w:jc w:val="both"/>
        <w:rPr>
          <w:rStyle w:val="Strong"/>
          <w:b w:val="0"/>
          <w:lang w:val="sr-Cyrl-CS"/>
        </w:rPr>
      </w:pPr>
    </w:p>
    <w:p w14:paraId="3EEB5D02" w14:textId="77777777" w:rsidR="00BC3CC9" w:rsidRPr="0068493E" w:rsidRDefault="00BC3CC9" w:rsidP="00BC3CC9">
      <w:pPr>
        <w:jc w:val="both"/>
        <w:rPr>
          <w:rFonts w:ascii="Times New Roman" w:hAnsi="Times New Roman" w:cs="Times New Roman"/>
          <w:b/>
          <w:sz w:val="24"/>
          <w:szCs w:val="24"/>
          <w:lang w:val="sr-Cyrl-CS"/>
        </w:rPr>
      </w:pPr>
      <w:r w:rsidRPr="0068493E">
        <w:rPr>
          <w:rFonts w:ascii="Times New Roman" w:hAnsi="Times New Roman" w:cs="Times New Roman"/>
          <w:b/>
          <w:sz w:val="24"/>
          <w:szCs w:val="24"/>
          <w:lang w:val="sr-Cyrl-CS"/>
        </w:rPr>
        <w:t>Да ли су разматране друге могућности за решавање проблема?</w:t>
      </w:r>
    </w:p>
    <w:p w14:paraId="665BF3AF" w14:textId="77777777" w:rsidR="00BC3CC9" w:rsidRPr="0068493E" w:rsidRDefault="00BC3CC9" w:rsidP="00290DA3">
      <w:pPr>
        <w:spacing w:after="0"/>
        <w:jc w:val="both"/>
        <w:rPr>
          <w:rFonts w:ascii="Times New Roman" w:hAnsi="Times New Roman" w:cs="Times New Roman"/>
          <w:sz w:val="24"/>
          <w:szCs w:val="24"/>
          <w:lang w:val="sr-Cyrl-CS"/>
        </w:rPr>
      </w:pPr>
      <w:r w:rsidRPr="0068493E">
        <w:rPr>
          <w:rFonts w:ascii="Times New Roman" w:hAnsi="Times New Roman" w:cs="Times New Roman"/>
          <w:sz w:val="24"/>
          <w:szCs w:val="24"/>
          <w:lang w:val="sr-Cyrl-CS"/>
        </w:rPr>
        <w:t>Питања која су предмет измена и допуна о</w:t>
      </w:r>
      <w:r w:rsidR="00290DA3" w:rsidRPr="0068493E">
        <w:rPr>
          <w:rFonts w:ascii="Times New Roman" w:hAnsi="Times New Roman" w:cs="Times New Roman"/>
          <w:sz w:val="24"/>
          <w:szCs w:val="24"/>
          <w:lang w:val="sr-Cyrl-CS"/>
        </w:rPr>
        <w:t xml:space="preserve">вог закона су системске природе </w:t>
      </w:r>
      <w:r w:rsidRPr="0068493E">
        <w:rPr>
          <w:rFonts w:ascii="Times New Roman" w:hAnsi="Times New Roman" w:cs="Times New Roman"/>
          <w:sz w:val="24"/>
          <w:szCs w:val="24"/>
          <w:lang w:val="sr-Cyrl-CS"/>
        </w:rPr>
        <w:t>и њихово решавање је могуће једино законом који</w:t>
      </w:r>
      <w:r w:rsidR="00290DA3" w:rsidRPr="0068493E">
        <w:rPr>
          <w:rFonts w:ascii="Times New Roman" w:hAnsi="Times New Roman" w:cs="Times New Roman"/>
          <w:sz w:val="24"/>
          <w:szCs w:val="24"/>
          <w:lang w:val="sr-Cyrl-CS"/>
        </w:rPr>
        <w:t xml:space="preserve">м се ова питања уређују. То се </w:t>
      </w:r>
      <w:r w:rsidRPr="0068493E">
        <w:rPr>
          <w:rFonts w:ascii="Times New Roman" w:hAnsi="Times New Roman" w:cs="Times New Roman"/>
          <w:sz w:val="24"/>
          <w:szCs w:val="24"/>
          <w:lang w:val="sr-Cyrl-CS"/>
        </w:rPr>
        <w:t>посебно односи на усклађивање Закона о у</w:t>
      </w:r>
      <w:r w:rsidR="00290DA3" w:rsidRPr="0068493E">
        <w:rPr>
          <w:rFonts w:ascii="Times New Roman" w:hAnsi="Times New Roman" w:cs="Times New Roman"/>
          <w:sz w:val="24"/>
          <w:szCs w:val="24"/>
          <w:lang w:val="sr-Cyrl-CS"/>
        </w:rPr>
        <w:t xml:space="preserve">прављању отпадом у делу који се </w:t>
      </w:r>
      <w:r w:rsidRPr="0068493E">
        <w:rPr>
          <w:rFonts w:ascii="Times New Roman" w:hAnsi="Times New Roman" w:cs="Times New Roman"/>
          <w:sz w:val="24"/>
          <w:szCs w:val="24"/>
          <w:lang w:val="sr-Cyrl-CS"/>
        </w:rPr>
        <w:t xml:space="preserve">односи на </w:t>
      </w:r>
      <w:r w:rsidR="00290DA3" w:rsidRPr="0068493E">
        <w:rPr>
          <w:rFonts w:ascii="Times New Roman" w:hAnsi="Times New Roman" w:cs="Times New Roman"/>
          <w:sz w:val="24"/>
          <w:szCs w:val="24"/>
          <w:lang w:val="sr-Cyrl-CS"/>
        </w:rPr>
        <w:t xml:space="preserve">усклађивање закона са законским решењима </w:t>
      </w:r>
      <w:r w:rsidRPr="0068493E">
        <w:rPr>
          <w:rFonts w:ascii="Times New Roman" w:hAnsi="Times New Roman" w:cs="Times New Roman"/>
          <w:sz w:val="24"/>
          <w:szCs w:val="24"/>
          <w:lang w:val="sr-Cyrl-CS"/>
        </w:rPr>
        <w:t>садржаним у другим законима и прописима који с</w:t>
      </w:r>
      <w:r w:rsidR="00290DA3" w:rsidRPr="0068493E">
        <w:rPr>
          <w:rFonts w:ascii="Times New Roman" w:hAnsi="Times New Roman" w:cs="Times New Roman"/>
          <w:sz w:val="24"/>
          <w:szCs w:val="24"/>
          <w:lang w:val="sr-Cyrl-CS"/>
        </w:rPr>
        <w:t xml:space="preserve">е односе на техничке захтеве за </w:t>
      </w:r>
      <w:r w:rsidR="00B84504" w:rsidRPr="0068493E">
        <w:rPr>
          <w:rFonts w:ascii="Times New Roman" w:hAnsi="Times New Roman" w:cs="Times New Roman"/>
          <w:sz w:val="24"/>
          <w:szCs w:val="24"/>
          <w:lang w:val="sr-Cyrl-CS"/>
        </w:rPr>
        <w:t>производе, односно отпад</w:t>
      </w:r>
      <w:r w:rsidRPr="0068493E">
        <w:rPr>
          <w:rFonts w:ascii="Times New Roman" w:hAnsi="Times New Roman" w:cs="Times New Roman"/>
          <w:sz w:val="24"/>
          <w:szCs w:val="24"/>
          <w:lang w:val="sr-Cyrl-CS"/>
        </w:rPr>
        <w:t>. Наиме, функционисање система финансирања заштите животне средине,</w:t>
      </w:r>
      <w:r w:rsidR="00290DA3" w:rsidRPr="0068493E">
        <w:rPr>
          <w:rFonts w:ascii="Times New Roman" w:hAnsi="Times New Roman" w:cs="Times New Roman"/>
          <w:sz w:val="24"/>
          <w:szCs w:val="24"/>
          <w:lang w:val="sr-Cyrl-CS"/>
        </w:rPr>
        <w:t xml:space="preserve"> </w:t>
      </w:r>
      <w:r w:rsidRPr="0068493E">
        <w:rPr>
          <w:rFonts w:ascii="Times New Roman" w:hAnsi="Times New Roman" w:cs="Times New Roman"/>
          <w:sz w:val="24"/>
          <w:szCs w:val="24"/>
          <w:lang w:val="sr-Cyrl-CS"/>
        </w:rPr>
        <w:t>самим тим и система накнада у области</w:t>
      </w:r>
      <w:r w:rsidR="00290DA3" w:rsidRPr="0068493E">
        <w:rPr>
          <w:rFonts w:ascii="Times New Roman" w:hAnsi="Times New Roman" w:cs="Times New Roman"/>
          <w:sz w:val="24"/>
          <w:szCs w:val="24"/>
          <w:lang w:val="sr-Cyrl-CS"/>
        </w:rPr>
        <w:t xml:space="preserve"> управљања отпадом, потребно је </w:t>
      </w:r>
      <w:r w:rsidRPr="0068493E">
        <w:rPr>
          <w:rFonts w:ascii="Times New Roman" w:hAnsi="Times New Roman" w:cs="Times New Roman"/>
          <w:sz w:val="24"/>
          <w:szCs w:val="24"/>
          <w:lang w:val="sr-Cyrl-CS"/>
        </w:rPr>
        <w:t>ускладити са стањем након укидања Фон</w:t>
      </w:r>
      <w:r w:rsidR="00290DA3" w:rsidRPr="0068493E">
        <w:rPr>
          <w:rFonts w:ascii="Times New Roman" w:hAnsi="Times New Roman" w:cs="Times New Roman"/>
          <w:sz w:val="24"/>
          <w:szCs w:val="24"/>
          <w:lang w:val="sr-Cyrl-CS"/>
        </w:rPr>
        <w:t xml:space="preserve">да. Такође, системско уређивање </w:t>
      </w:r>
      <w:r w:rsidRPr="0068493E">
        <w:rPr>
          <w:rFonts w:ascii="Times New Roman" w:hAnsi="Times New Roman" w:cs="Times New Roman"/>
          <w:sz w:val="24"/>
          <w:szCs w:val="24"/>
          <w:lang w:val="sr-Cyrl-CS"/>
        </w:rPr>
        <w:t>издавања дозвола за управљање отпадом, однос</w:t>
      </w:r>
      <w:r w:rsidR="00290DA3" w:rsidRPr="0068493E">
        <w:rPr>
          <w:rFonts w:ascii="Times New Roman" w:hAnsi="Times New Roman" w:cs="Times New Roman"/>
          <w:sz w:val="24"/>
          <w:szCs w:val="24"/>
          <w:lang w:val="sr-Cyrl-CS"/>
        </w:rPr>
        <w:t xml:space="preserve">но дозвола за рад постројења за </w:t>
      </w:r>
      <w:r w:rsidRPr="0068493E">
        <w:rPr>
          <w:rFonts w:ascii="Times New Roman" w:hAnsi="Times New Roman" w:cs="Times New Roman"/>
          <w:sz w:val="24"/>
          <w:szCs w:val="24"/>
          <w:lang w:val="sr-Cyrl-CS"/>
        </w:rPr>
        <w:t>која се издаје интегрисана дозвола, може се само зак</w:t>
      </w:r>
      <w:r w:rsidR="00290DA3" w:rsidRPr="0068493E">
        <w:rPr>
          <w:rFonts w:ascii="Times New Roman" w:hAnsi="Times New Roman" w:cs="Times New Roman"/>
          <w:sz w:val="24"/>
          <w:szCs w:val="24"/>
          <w:lang w:val="sr-Cyrl-CS"/>
        </w:rPr>
        <w:t xml:space="preserve">оном уредити и не постоје </w:t>
      </w:r>
      <w:r w:rsidRPr="0068493E">
        <w:rPr>
          <w:rFonts w:ascii="Times New Roman" w:hAnsi="Times New Roman" w:cs="Times New Roman"/>
          <w:sz w:val="24"/>
          <w:szCs w:val="24"/>
          <w:lang w:val="sr-Cyrl-CS"/>
        </w:rPr>
        <w:t>друге могућности за решавање наведених пробл</w:t>
      </w:r>
      <w:r w:rsidR="00290DA3" w:rsidRPr="0068493E">
        <w:rPr>
          <w:rFonts w:ascii="Times New Roman" w:hAnsi="Times New Roman" w:cs="Times New Roman"/>
          <w:sz w:val="24"/>
          <w:szCs w:val="24"/>
          <w:lang w:val="sr-Cyrl-CS"/>
        </w:rPr>
        <w:t xml:space="preserve">ема. Прописивање правног основа </w:t>
      </w:r>
      <w:r w:rsidRPr="0068493E">
        <w:rPr>
          <w:rFonts w:ascii="Times New Roman" w:hAnsi="Times New Roman" w:cs="Times New Roman"/>
          <w:sz w:val="24"/>
          <w:szCs w:val="24"/>
          <w:lang w:val="sr-Cyrl-CS"/>
        </w:rPr>
        <w:t xml:space="preserve">за </w:t>
      </w:r>
      <w:r w:rsidR="00290DA3" w:rsidRPr="0068493E">
        <w:rPr>
          <w:rFonts w:ascii="Times New Roman" w:hAnsi="Times New Roman" w:cs="Times New Roman"/>
          <w:sz w:val="24"/>
          <w:szCs w:val="24"/>
          <w:lang w:val="sr-Cyrl-CS"/>
        </w:rPr>
        <w:t>посебне токове отпада,</w:t>
      </w:r>
      <w:r w:rsidRPr="0068493E">
        <w:rPr>
          <w:rFonts w:ascii="Times New Roman" w:hAnsi="Times New Roman" w:cs="Times New Roman"/>
          <w:sz w:val="24"/>
          <w:szCs w:val="24"/>
          <w:lang w:val="sr-Cyrl-CS"/>
        </w:rPr>
        <w:t xml:space="preserve"> кој</w:t>
      </w:r>
      <w:r w:rsidR="00290DA3" w:rsidRPr="0068493E">
        <w:rPr>
          <w:rFonts w:ascii="Times New Roman" w:hAnsi="Times New Roman" w:cs="Times New Roman"/>
          <w:sz w:val="24"/>
          <w:szCs w:val="24"/>
          <w:lang w:val="sr-Cyrl-CS"/>
        </w:rPr>
        <w:t>и</w:t>
      </w:r>
      <w:r w:rsidRPr="0068493E">
        <w:rPr>
          <w:rFonts w:ascii="Times New Roman" w:hAnsi="Times New Roman" w:cs="Times New Roman"/>
          <w:sz w:val="24"/>
          <w:szCs w:val="24"/>
          <w:lang w:val="sr-Cyrl-CS"/>
        </w:rPr>
        <w:t xml:space="preserve"> ће допринети систе</w:t>
      </w:r>
      <w:r w:rsidR="00AD08A6" w:rsidRPr="0068493E">
        <w:rPr>
          <w:rFonts w:ascii="Times New Roman" w:hAnsi="Times New Roman" w:cs="Times New Roman"/>
          <w:sz w:val="24"/>
          <w:szCs w:val="24"/>
          <w:lang w:val="sr-Cyrl-CS"/>
        </w:rPr>
        <w:t>м</w:t>
      </w:r>
      <w:r w:rsidRPr="0068493E">
        <w:rPr>
          <w:rFonts w:ascii="Times New Roman" w:hAnsi="Times New Roman" w:cs="Times New Roman"/>
          <w:sz w:val="24"/>
          <w:szCs w:val="24"/>
          <w:lang w:val="sr-Cyrl-CS"/>
        </w:rPr>
        <w:t>ском унапређењу управљања</w:t>
      </w:r>
    </w:p>
    <w:p w14:paraId="70A0783B" w14:textId="77777777" w:rsidR="00BC3CC9" w:rsidRPr="0068493E" w:rsidRDefault="00BC3CC9" w:rsidP="00290DA3">
      <w:pPr>
        <w:spacing w:after="0"/>
        <w:jc w:val="both"/>
        <w:rPr>
          <w:rFonts w:ascii="Times New Roman" w:hAnsi="Times New Roman" w:cs="Times New Roman"/>
          <w:sz w:val="24"/>
          <w:szCs w:val="24"/>
          <w:lang w:val="sr-Cyrl-CS"/>
        </w:rPr>
      </w:pPr>
      <w:r w:rsidRPr="0068493E">
        <w:rPr>
          <w:rFonts w:ascii="Times New Roman" w:hAnsi="Times New Roman" w:cs="Times New Roman"/>
          <w:sz w:val="24"/>
          <w:szCs w:val="24"/>
          <w:lang w:val="sr-Cyrl-CS"/>
        </w:rPr>
        <w:t xml:space="preserve">отпадом, могуће једино </w:t>
      </w:r>
      <w:r w:rsidR="00AD08A6" w:rsidRPr="0068493E">
        <w:rPr>
          <w:rFonts w:ascii="Times New Roman" w:hAnsi="Times New Roman" w:cs="Times New Roman"/>
          <w:sz w:val="24"/>
          <w:szCs w:val="24"/>
          <w:lang w:val="sr-Cyrl-CS"/>
        </w:rPr>
        <w:t xml:space="preserve">остварити </w:t>
      </w:r>
      <w:r w:rsidRPr="0068493E">
        <w:rPr>
          <w:rFonts w:ascii="Times New Roman" w:hAnsi="Times New Roman" w:cs="Times New Roman"/>
          <w:sz w:val="24"/>
          <w:szCs w:val="24"/>
          <w:lang w:val="sr-Cyrl-CS"/>
        </w:rPr>
        <w:t>законом којим се ова питања уређују.</w:t>
      </w:r>
    </w:p>
    <w:p w14:paraId="573172B5" w14:textId="77777777" w:rsidR="00290DA3" w:rsidRPr="0068493E" w:rsidRDefault="00290DA3" w:rsidP="00290DA3">
      <w:pPr>
        <w:spacing w:after="0"/>
        <w:jc w:val="both"/>
        <w:rPr>
          <w:rFonts w:ascii="Times New Roman" w:hAnsi="Times New Roman" w:cs="Times New Roman"/>
          <w:sz w:val="24"/>
          <w:szCs w:val="24"/>
          <w:lang w:val="sr-Cyrl-CS"/>
        </w:rPr>
      </w:pPr>
    </w:p>
    <w:p w14:paraId="1F0A6C96" w14:textId="77777777" w:rsidR="00290DA3" w:rsidRPr="0068493E" w:rsidRDefault="00290DA3" w:rsidP="00290DA3">
      <w:pPr>
        <w:spacing w:after="0"/>
        <w:jc w:val="both"/>
        <w:rPr>
          <w:rFonts w:ascii="Times New Roman" w:hAnsi="Times New Roman" w:cs="Times New Roman"/>
          <w:b/>
          <w:sz w:val="24"/>
          <w:szCs w:val="24"/>
          <w:lang w:val="sr-Cyrl-CS"/>
        </w:rPr>
      </w:pPr>
      <w:r w:rsidRPr="0068493E">
        <w:rPr>
          <w:rFonts w:ascii="Times New Roman" w:hAnsi="Times New Roman" w:cs="Times New Roman"/>
          <w:b/>
          <w:sz w:val="24"/>
          <w:szCs w:val="24"/>
          <w:lang w:val="sr-Cyrl-CS"/>
        </w:rPr>
        <w:t xml:space="preserve">Зашто је доношење закона најбоље решење проблема? </w:t>
      </w:r>
    </w:p>
    <w:p w14:paraId="6DF4805E" w14:textId="77777777" w:rsidR="00290DA3" w:rsidRPr="0068493E" w:rsidRDefault="00290DA3" w:rsidP="00290DA3">
      <w:pPr>
        <w:spacing w:after="0"/>
        <w:jc w:val="both"/>
        <w:rPr>
          <w:rFonts w:ascii="Times New Roman" w:hAnsi="Times New Roman" w:cs="Times New Roman"/>
          <w:sz w:val="24"/>
          <w:szCs w:val="24"/>
          <w:lang w:val="sr-Cyrl-CS"/>
        </w:rPr>
      </w:pPr>
    </w:p>
    <w:p w14:paraId="57ED9A19" w14:textId="1DB1B5DB" w:rsidR="00290DA3" w:rsidRPr="0068493E" w:rsidRDefault="00290DA3" w:rsidP="00290DA3">
      <w:pPr>
        <w:spacing w:after="0"/>
        <w:jc w:val="both"/>
        <w:rPr>
          <w:rFonts w:ascii="Times New Roman" w:hAnsi="Times New Roman" w:cs="Times New Roman"/>
          <w:sz w:val="24"/>
          <w:szCs w:val="24"/>
          <w:lang w:val="sr-Cyrl-CS"/>
        </w:rPr>
      </w:pPr>
      <w:r w:rsidRPr="0068493E">
        <w:rPr>
          <w:rFonts w:ascii="Times New Roman" w:hAnsi="Times New Roman" w:cs="Times New Roman"/>
          <w:sz w:val="24"/>
          <w:szCs w:val="24"/>
          <w:lang w:val="sr-Cyrl-CS"/>
        </w:rPr>
        <w:lastRenderedPageBreak/>
        <w:t xml:space="preserve">Материја којом се целовито уређује област планирања, организовања управљања отпадом, издавања дозвола и извештавања у области управљања отпадом не може се такође устројити без постојања законског акта којим се уређују права и обавезе привредних субјеката и других правних лица у области управљања отпадом, од његовог настајања до коначног одлагања, а ради остваривања постављених циљева. </w:t>
      </w:r>
    </w:p>
    <w:p w14:paraId="459A5399" w14:textId="4C85E188" w:rsidR="002001C9" w:rsidRPr="0068493E" w:rsidRDefault="002001C9" w:rsidP="00290DA3">
      <w:pPr>
        <w:spacing w:after="0"/>
        <w:jc w:val="both"/>
        <w:rPr>
          <w:rFonts w:ascii="Times New Roman" w:hAnsi="Times New Roman" w:cs="Times New Roman"/>
          <w:sz w:val="24"/>
          <w:szCs w:val="24"/>
          <w:lang w:val="sr-Cyrl-CS"/>
        </w:rPr>
      </w:pPr>
    </w:p>
    <w:p w14:paraId="472A0D26" w14:textId="31BBD0FA" w:rsidR="002001C9" w:rsidRPr="0068493E" w:rsidRDefault="002001C9" w:rsidP="00290DA3">
      <w:pPr>
        <w:spacing w:after="0"/>
        <w:jc w:val="both"/>
        <w:rPr>
          <w:rFonts w:ascii="Times New Roman" w:hAnsi="Times New Roman" w:cs="Times New Roman"/>
          <w:b/>
          <w:iCs/>
          <w:sz w:val="24"/>
          <w:szCs w:val="24"/>
          <w:lang w:val="sr-Cyrl-CS"/>
        </w:rPr>
      </w:pPr>
      <w:r w:rsidRPr="0068493E">
        <w:rPr>
          <w:rFonts w:ascii="Times New Roman" w:eastAsia="Times New Roman" w:hAnsi="Times New Roman" w:cs="Times New Roman"/>
          <w:b/>
          <w:iCs/>
          <w:sz w:val="24"/>
          <w:szCs w:val="24"/>
          <w:lang w:val="sr-Cyrl-CS"/>
        </w:rPr>
        <w:t>Анализа ефеката на животну средину</w:t>
      </w:r>
    </w:p>
    <w:p w14:paraId="513D85FA" w14:textId="267C86C7" w:rsidR="00290DA3" w:rsidRPr="0068493E" w:rsidRDefault="00290DA3" w:rsidP="00290DA3">
      <w:pPr>
        <w:spacing w:after="0"/>
        <w:jc w:val="both"/>
        <w:rPr>
          <w:rFonts w:ascii="Times New Roman" w:hAnsi="Times New Roman" w:cs="Times New Roman"/>
          <w:sz w:val="24"/>
          <w:szCs w:val="24"/>
          <w:lang w:val="sr-Cyrl-CS"/>
        </w:rPr>
      </w:pPr>
    </w:p>
    <w:p w14:paraId="124B54AA" w14:textId="0157D37C" w:rsidR="00AD6DA8" w:rsidRPr="0068493E" w:rsidRDefault="00AD6DA8" w:rsidP="00290DA3">
      <w:pPr>
        <w:spacing w:after="0"/>
        <w:jc w:val="both"/>
        <w:rPr>
          <w:rFonts w:ascii="Times New Roman" w:hAnsi="Times New Roman" w:cs="Times New Roman"/>
          <w:sz w:val="24"/>
          <w:szCs w:val="24"/>
          <w:lang w:val="sr-Cyrl-CS"/>
        </w:rPr>
      </w:pPr>
      <w:r w:rsidRPr="0068493E">
        <w:rPr>
          <w:rFonts w:ascii="Times New Roman" w:hAnsi="Times New Roman" w:cs="Times New Roman"/>
          <w:sz w:val="24"/>
          <w:szCs w:val="24"/>
          <w:lang w:val="sr-Cyrl-CS"/>
        </w:rPr>
        <w:t>Доношењем измена и допуна Закона, знатно ће се унапредити стање животне средине и здравља људи.</w:t>
      </w:r>
    </w:p>
    <w:p w14:paraId="2158ED47" w14:textId="18193B89" w:rsidR="00AD6DA8" w:rsidRPr="0068493E" w:rsidRDefault="00AD6DA8" w:rsidP="00290DA3">
      <w:pPr>
        <w:spacing w:after="0"/>
        <w:jc w:val="both"/>
        <w:rPr>
          <w:rFonts w:ascii="Times New Roman" w:hAnsi="Times New Roman" w:cs="Times New Roman"/>
          <w:sz w:val="24"/>
          <w:szCs w:val="24"/>
          <w:lang w:val="sr-Cyrl-CS"/>
        </w:rPr>
      </w:pPr>
      <w:r w:rsidRPr="0068493E">
        <w:rPr>
          <w:rFonts w:ascii="Times New Roman" w:hAnsi="Times New Roman" w:cs="Times New Roman"/>
          <w:sz w:val="24"/>
          <w:szCs w:val="24"/>
          <w:lang w:val="sr-Cyrl-CS"/>
        </w:rPr>
        <w:t>Изменама и допунама члана којим се прописују услови за престанак статуса отпада, уређују се посебни критеријуми којим се спречава загађење животне средине и предвиђа се испуњавање стандарда које прописује Европска Унија за ову материју.</w:t>
      </w:r>
    </w:p>
    <w:p w14:paraId="1B0DA707" w14:textId="263C9AD1" w:rsidR="00AD6DA8" w:rsidRPr="0068493E" w:rsidRDefault="00AD6DA8" w:rsidP="00290DA3">
      <w:pPr>
        <w:spacing w:after="0"/>
        <w:jc w:val="both"/>
        <w:rPr>
          <w:rFonts w:ascii="Times New Roman" w:hAnsi="Times New Roman" w:cs="Times New Roman"/>
          <w:sz w:val="24"/>
          <w:szCs w:val="24"/>
          <w:lang w:val="sr-Cyrl-CS"/>
        </w:rPr>
      </w:pPr>
      <w:r w:rsidRPr="0068493E">
        <w:rPr>
          <w:rFonts w:ascii="Times New Roman" w:hAnsi="Times New Roman" w:cs="Times New Roman"/>
          <w:sz w:val="24"/>
          <w:szCs w:val="24"/>
          <w:lang w:val="sr-Cyrl-CS"/>
        </w:rPr>
        <w:t>У делу који се односи на израду Радног плана управљања отпадом ближе се дефинишу потребе за спровођење мера којима ће се спречити загађење и којима ће се смањити утицај отпада на животну средину.</w:t>
      </w:r>
    </w:p>
    <w:p w14:paraId="7E0BFE24" w14:textId="47D4EA25" w:rsidR="004A7693" w:rsidRPr="0068493E" w:rsidRDefault="004A7693" w:rsidP="00290DA3">
      <w:pPr>
        <w:spacing w:after="0"/>
        <w:jc w:val="both"/>
        <w:rPr>
          <w:rFonts w:ascii="Times New Roman" w:hAnsi="Times New Roman" w:cs="Times New Roman"/>
          <w:sz w:val="24"/>
          <w:szCs w:val="24"/>
          <w:lang w:val="sr-Cyrl-CS"/>
        </w:rPr>
      </w:pPr>
      <w:r w:rsidRPr="0068493E">
        <w:rPr>
          <w:rFonts w:ascii="Times New Roman" w:hAnsi="Times New Roman" w:cs="Times New Roman"/>
          <w:sz w:val="24"/>
          <w:szCs w:val="24"/>
          <w:lang w:val="sr-Cyrl-CS"/>
        </w:rPr>
        <w:t>Предложеним допунама се уређује и обавеза вршења процене утицаја на животну средину за мобилна постројења у којима се врши третман опасног отпада, чиме се у будуће минимиз</w:t>
      </w:r>
      <w:r w:rsidR="00100EDC">
        <w:rPr>
          <w:rFonts w:ascii="Times New Roman" w:hAnsi="Times New Roman" w:cs="Times New Roman"/>
          <w:sz w:val="24"/>
          <w:szCs w:val="24"/>
          <w:lang w:val="sr-Cyrl-CS"/>
        </w:rPr>
        <w:t>и</w:t>
      </w:r>
      <w:r w:rsidRPr="0068493E">
        <w:rPr>
          <w:rFonts w:ascii="Times New Roman" w:hAnsi="Times New Roman" w:cs="Times New Roman"/>
          <w:sz w:val="24"/>
          <w:szCs w:val="24"/>
          <w:lang w:val="sr-Cyrl-CS"/>
        </w:rPr>
        <w:t>р</w:t>
      </w:r>
      <w:r w:rsidR="00100EDC">
        <w:rPr>
          <w:rFonts w:ascii="Times New Roman" w:hAnsi="Times New Roman" w:cs="Times New Roman"/>
          <w:sz w:val="24"/>
          <w:szCs w:val="24"/>
          <w:lang w:val="sr-Cyrl-CS"/>
        </w:rPr>
        <w:t>а</w:t>
      </w:r>
      <w:r w:rsidRPr="0068493E">
        <w:rPr>
          <w:rFonts w:ascii="Times New Roman" w:hAnsi="Times New Roman" w:cs="Times New Roman"/>
          <w:sz w:val="24"/>
          <w:szCs w:val="24"/>
          <w:lang w:val="sr-Cyrl-CS"/>
        </w:rPr>
        <w:t>ју шансе за разне акцидентне ситуације. Такође, за мобилна постројења ће оператери м</w:t>
      </w:r>
      <w:r w:rsidR="00100EDC">
        <w:rPr>
          <w:rFonts w:ascii="Times New Roman" w:hAnsi="Times New Roman" w:cs="Times New Roman"/>
          <w:sz w:val="24"/>
          <w:szCs w:val="24"/>
          <w:lang w:val="sr-Cyrl-CS"/>
        </w:rPr>
        <w:t>орати да имају и сагласност јед</w:t>
      </w:r>
      <w:r w:rsidRPr="0068493E">
        <w:rPr>
          <w:rFonts w:ascii="Times New Roman" w:hAnsi="Times New Roman" w:cs="Times New Roman"/>
          <w:sz w:val="24"/>
          <w:szCs w:val="24"/>
          <w:lang w:val="sr-Cyrl-CS"/>
        </w:rPr>
        <w:t>инице локалне самоуправе за рад, чиме ће се избећи досадашња злоупотреба ових уређаја, а којима је остављено да могу да врше третман опасног отпада и у стамбеним зонама.</w:t>
      </w:r>
    </w:p>
    <w:p w14:paraId="1FEB8F6F" w14:textId="556AE5F0" w:rsidR="004A7693" w:rsidRPr="0068493E" w:rsidRDefault="004A7693" w:rsidP="00290DA3">
      <w:pPr>
        <w:spacing w:after="0"/>
        <w:jc w:val="both"/>
        <w:rPr>
          <w:rFonts w:ascii="Times New Roman" w:hAnsi="Times New Roman" w:cs="Times New Roman"/>
          <w:sz w:val="24"/>
          <w:szCs w:val="24"/>
          <w:lang w:val="sr-Cyrl-CS"/>
        </w:rPr>
      </w:pPr>
      <w:r w:rsidRPr="0068493E">
        <w:rPr>
          <w:rFonts w:ascii="Times New Roman" w:hAnsi="Times New Roman" w:cs="Times New Roman"/>
          <w:sz w:val="24"/>
          <w:szCs w:val="24"/>
          <w:lang w:val="sr-Cyrl-CS"/>
        </w:rPr>
        <w:t>Такође, измене и допуне у погледу уређивања и посебног управљања отпадном живом, отпадом од грађења и рушења, као и отпадним муљем из постројења за пречишћавање отпадних вода, допринеће очувању животне средине и заштити земљишта и вода, најпре јер се овај отпад до сада неконтролисано одлагао на сметлиштима и неадекватним депонијама.</w:t>
      </w:r>
    </w:p>
    <w:p w14:paraId="35ED6C2C" w14:textId="705BB46A" w:rsidR="004A7693" w:rsidRPr="0068493E" w:rsidRDefault="004A7693" w:rsidP="00290DA3">
      <w:pPr>
        <w:spacing w:after="0"/>
        <w:jc w:val="both"/>
        <w:rPr>
          <w:rFonts w:ascii="Times New Roman" w:hAnsi="Times New Roman" w:cs="Times New Roman"/>
          <w:sz w:val="24"/>
          <w:szCs w:val="24"/>
          <w:lang w:val="sr-Cyrl-CS"/>
        </w:rPr>
      </w:pPr>
      <w:r w:rsidRPr="0068493E">
        <w:rPr>
          <w:rFonts w:ascii="Times New Roman" w:hAnsi="Times New Roman" w:cs="Times New Roman"/>
          <w:sz w:val="24"/>
          <w:szCs w:val="24"/>
          <w:lang w:val="sr-Cyrl-CS"/>
        </w:rPr>
        <w:t>Управљање отпадом ће бити мање штетно по животну средину и из разлога побољшања политике заштите од удеса и уређења питања заштите од пожара.</w:t>
      </w:r>
    </w:p>
    <w:p w14:paraId="55965022" w14:textId="028CF8FA" w:rsidR="002001C9" w:rsidRPr="0068493E" w:rsidRDefault="002001C9" w:rsidP="00290DA3">
      <w:pPr>
        <w:spacing w:after="0"/>
        <w:jc w:val="both"/>
        <w:rPr>
          <w:rFonts w:ascii="Times New Roman" w:hAnsi="Times New Roman" w:cs="Times New Roman"/>
          <w:sz w:val="24"/>
          <w:szCs w:val="24"/>
          <w:lang w:val="sr-Cyrl-CS"/>
        </w:rPr>
      </w:pPr>
    </w:p>
    <w:p w14:paraId="75385360" w14:textId="77777777" w:rsidR="002001C9" w:rsidRPr="0068493E" w:rsidRDefault="002001C9" w:rsidP="00290DA3">
      <w:pPr>
        <w:spacing w:after="0"/>
        <w:jc w:val="both"/>
        <w:rPr>
          <w:rFonts w:ascii="Times New Roman" w:hAnsi="Times New Roman" w:cs="Times New Roman"/>
          <w:sz w:val="24"/>
          <w:szCs w:val="24"/>
          <w:lang w:val="sr-Cyrl-CS"/>
        </w:rPr>
      </w:pPr>
    </w:p>
    <w:p w14:paraId="404999F1" w14:textId="77777777" w:rsidR="00290DA3" w:rsidRPr="0068493E" w:rsidRDefault="00290DA3" w:rsidP="00290DA3">
      <w:pPr>
        <w:spacing w:after="0"/>
        <w:jc w:val="both"/>
        <w:rPr>
          <w:rFonts w:ascii="Times New Roman" w:hAnsi="Times New Roman" w:cs="Times New Roman"/>
          <w:b/>
          <w:sz w:val="24"/>
          <w:szCs w:val="24"/>
          <w:lang w:val="sr-Cyrl-CS"/>
        </w:rPr>
      </w:pPr>
      <w:commentRangeStart w:id="1"/>
      <w:r w:rsidRPr="0068493E">
        <w:rPr>
          <w:rFonts w:ascii="Times New Roman" w:hAnsi="Times New Roman" w:cs="Times New Roman"/>
          <w:b/>
          <w:sz w:val="24"/>
          <w:szCs w:val="24"/>
          <w:lang w:val="sr-Cyrl-CS"/>
        </w:rPr>
        <w:t>Који су трошкови које ће примена закона изазвати грађанима и привреди, посебно малим и средњим предузећима</w:t>
      </w:r>
      <w:commentRangeEnd w:id="1"/>
      <w:r w:rsidR="00C12591" w:rsidRPr="0068493E">
        <w:rPr>
          <w:rStyle w:val="CommentReference"/>
          <w:lang w:val="sr-Cyrl-CS"/>
        </w:rPr>
        <w:commentReference w:id="1"/>
      </w:r>
      <w:r w:rsidRPr="0068493E">
        <w:rPr>
          <w:rFonts w:ascii="Times New Roman" w:hAnsi="Times New Roman" w:cs="Times New Roman"/>
          <w:b/>
          <w:sz w:val="24"/>
          <w:szCs w:val="24"/>
          <w:lang w:val="sr-Cyrl-CS"/>
        </w:rPr>
        <w:t xml:space="preserve">? </w:t>
      </w:r>
    </w:p>
    <w:p w14:paraId="62A38F63" w14:textId="77777777" w:rsidR="00290DA3" w:rsidRPr="0068493E" w:rsidRDefault="00290DA3" w:rsidP="00290DA3">
      <w:pPr>
        <w:spacing w:after="0"/>
        <w:jc w:val="both"/>
        <w:rPr>
          <w:rFonts w:ascii="Times New Roman" w:hAnsi="Times New Roman" w:cs="Times New Roman"/>
          <w:sz w:val="24"/>
          <w:szCs w:val="24"/>
          <w:lang w:val="sr-Cyrl-CS"/>
        </w:rPr>
      </w:pPr>
    </w:p>
    <w:p w14:paraId="37C0A4D4" w14:textId="171B346E" w:rsidR="00290DA3" w:rsidRPr="0068493E" w:rsidRDefault="00E96B17" w:rsidP="00290DA3">
      <w:pPr>
        <w:spacing w:after="0"/>
        <w:jc w:val="both"/>
        <w:rPr>
          <w:rFonts w:ascii="Times New Roman" w:hAnsi="Times New Roman" w:cs="Times New Roman"/>
          <w:sz w:val="24"/>
          <w:szCs w:val="24"/>
          <w:lang w:val="sr-Cyrl-CS"/>
        </w:rPr>
      </w:pPr>
      <w:r w:rsidRPr="0068493E">
        <w:rPr>
          <w:rFonts w:ascii="Times New Roman" w:hAnsi="Times New Roman" w:cs="Times New Roman"/>
          <w:sz w:val="24"/>
          <w:szCs w:val="24"/>
          <w:lang w:val="sr-Cyrl-CS"/>
        </w:rPr>
        <w:t>Предвиђеним изменама и допунама Закона су у</w:t>
      </w:r>
      <w:r w:rsidR="00290DA3" w:rsidRPr="0068493E">
        <w:rPr>
          <w:rFonts w:ascii="Times New Roman" w:hAnsi="Times New Roman" w:cs="Times New Roman"/>
          <w:sz w:val="24"/>
          <w:szCs w:val="24"/>
          <w:lang w:val="sr-Cyrl-CS"/>
        </w:rPr>
        <w:t xml:space="preserve">кинути трошкови које су мала и средња предузећа плаћа за издавање потврда </w:t>
      </w:r>
      <w:r w:rsidRPr="0068493E">
        <w:rPr>
          <w:rFonts w:ascii="Times New Roman" w:hAnsi="Times New Roman" w:cs="Times New Roman"/>
          <w:sz w:val="24"/>
          <w:szCs w:val="24"/>
          <w:lang w:val="sr-Cyrl-CS"/>
        </w:rPr>
        <w:t>о изузимању од</w:t>
      </w:r>
      <w:r w:rsidR="00290DA3" w:rsidRPr="0068493E">
        <w:rPr>
          <w:rFonts w:ascii="Times New Roman" w:hAnsi="Times New Roman" w:cs="Times New Roman"/>
          <w:sz w:val="24"/>
          <w:szCs w:val="24"/>
          <w:lang w:val="sr-Cyrl-CS"/>
        </w:rPr>
        <w:t xml:space="preserve"> обавезе прибављања дозвола, односно укинути су трошкови издавања дозвола малим и средњим предузећима који су произвођачи отпада.</w:t>
      </w:r>
      <w:r w:rsidRPr="0068493E">
        <w:rPr>
          <w:rFonts w:ascii="Times New Roman" w:hAnsi="Times New Roman" w:cs="Times New Roman"/>
          <w:sz w:val="24"/>
          <w:szCs w:val="24"/>
          <w:lang w:val="sr-Cyrl-CS"/>
        </w:rPr>
        <w:t xml:space="preserve"> Произвођачи отпада су према важећем Закону и обавези да израде извештај о испитивању отпада и чувају га пет година, док је изменама прецизирано да се након пет година прибавља нови извештај, те из наведеног произилази да у овом делу нема додатних трошкова за произвођаче отпада.</w:t>
      </w:r>
    </w:p>
    <w:p w14:paraId="09B72BB8" w14:textId="3618EFBD" w:rsidR="00E96B17" w:rsidRPr="0068493E" w:rsidRDefault="00E96B17" w:rsidP="00290DA3">
      <w:pPr>
        <w:spacing w:after="0"/>
        <w:jc w:val="both"/>
        <w:rPr>
          <w:rFonts w:ascii="Times New Roman" w:hAnsi="Times New Roman" w:cs="Times New Roman"/>
          <w:sz w:val="24"/>
          <w:szCs w:val="24"/>
          <w:lang w:val="sr-Cyrl-CS"/>
        </w:rPr>
      </w:pPr>
      <w:r w:rsidRPr="0068493E">
        <w:rPr>
          <w:rFonts w:ascii="Times New Roman" w:hAnsi="Times New Roman" w:cs="Times New Roman"/>
          <w:sz w:val="24"/>
          <w:szCs w:val="24"/>
          <w:lang w:val="sr-Cyrl-CS"/>
        </w:rPr>
        <w:t xml:space="preserve">Посредници и трговци управљања отпадом ће моћи да се региструју за обављање ове делатности на две године, што ће узрковати додатне трошкове </w:t>
      </w:r>
      <w:r w:rsidR="00766FD3" w:rsidRPr="0068493E">
        <w:rPr>
          <w:rFonts w:ascii="Times New Roman" w:hAnsi="Times New Roman" w:cs="Times New Roman"/>
          <w:sz w:val="24"/>
          <w:szCs w:val="24"/>
          <w:lang w:val="sr-Cyrl-CS"/>
        </w:rPr>
        <w:t xml:space="preserve">плаћања таксе </w:t>
      </w:r>
      <w:r w:rsidRPr="0068493E">
        <w:rPr>
          <w:rFonts w:ascii="Times New Roman" w:hAnsi="Times New Roman" w:cs="Times New Roman"/>
          <w:sz w:val="24"/>
          <w:szCs w:val="24"/>
          <w:lang w:val="sr-Cyrl-CS"/>
        </w:rPr>
        <w:t xml:space="preserve">приликом регистрације која постојећим законом важи пет година. Разлог за скраћење овог рока се огледа у чињеници да </w:t>
      </w:r>
      <w:r w:rsidR="00766FD3" w:rsidRPr="0068493E">
        <w:rPr>
          <w:rFonts w:ascii="Times New Roman" w:hAnsi="Times New Roman" w:cs="Times New Roman"/>
          <w:sz w:val="24"/>
          <w:szCs w:val="24"/>
          <w:lang w:val="sr-Cyrl-CS"/>
        </w:rPr>
        <w:t xml:space="preserve">посредници и трговци не поседују често адекватне финансијске </w:t>
      </w:r>
      <w:r w:rsidR="00766FD3" w:rsidRPr="0068493E">
        <w:rPr>
          <w:rFonts w:ascii="Times New Roman" w:hAnsi="Times New Roman" w:cs="Times New Roman"/>
          <w:sz w:val="24"/>
          <w:szCs w:val="24"/>
          <w:lang w:val="sr-Cyrl-CS"/>
        </w:rPr>
        <w:lastRenderedPageBreak/>
        <w:t>гаранције прописане Законом за период од пет година, те њихове финансијске гаранције обухватају краће временске периоде.</w:t>
      </w:r>
    </w:p>
    <w:p w14:paraId="0480F425" w14:textId="4F4A54AD" w:rsidR="00E96B17" w:rsidRPr="0068493E" w:rsidRDefault="00E714BA" w:rsidP="00290DA3">
      <w:pPr>
        <w:spacing w:after="0"/>
        <w:jc w:val="both"/>
        <w:rPr>
          <w:rFonts w:ascii="Times New Roman" w:hAnsi="Times New Roman" w:cs="Times New Roman"/>
          <w:sz w:val="24"/>
          <w:szCs w:val="24"/>
          <w:lang w:val="sr-Cyrl-CS"/>
        </w:rPr>
      </w:pPr>
      <w:r w:rsidRPr="0068493E">
        <w:rPr>
          <w:rFonts w:ascii="Times New Roman" w:hAnsi="Times New Roman" w:cs="Times New Roman"/>
          <w:sz w:val="24"/>
          <w:szCs w:val="24"/>
          <w:lang w:val="sr-Cyrl-CS"/>
        </w:rPr>
        <w:t>Додатни трошкови за израду пројектно-техничке документације за изградњу постројења за управљање отпадом нису предвиђени овим Законом, већ законом којим се прописује планирање и изградња. Додатни трошкови у смислу прибављања решења о употреби објеката и прибављања сагласности на заштиту од пожара су прописани посебним актима, а овим Законом се прецизира да се делатност управљања отпадом може вршити само у објектима који поседују одговарајуће дозволе и сагласности.</w:t>
      </w:r>
    </w:p>
    <w:p w14:paraId="719F473D" w14:textId="602A3DC2" w:rsidR="00111149" w:rsidRPr="0068493E" w:rsidRDefault="0062498B" w:rsidP="00290DA3">
      <w:pPr>
        <w:spacing w:after="0"/>
        <w:jc w:val="both"/>
        <w:rPr>
          <w:rFonts w:ascii="Times New Roman" w:eastAsia="Times New Roman" w:hAnsi="Times New Roman" w:cs="Times New Roman"/>
          <w:b/>
          <w:color w:val="000000"/>
          <w:sz w:val="24"/>
          <w:szCs w:val="24"/>
          <w:lang w:val="sr-Cyrl-CS" w:eastAsia="en-GB"/>
        </w:rPr>
      </w:pPr>
      <w:r w:rsidRPr="0068493E">
        <w:rPr>
          <w:rFonts w:ascii="Times New Roman" w:hAnsi="Times New Roman" w:cs="Times New Roman"/>
          <w:b/>
          <w:sz w:val="24"/>
          <w:szCs w:val="24"/>
          <w:lang w:val="sr-Cyrl-CS"/>
        </w:rPr>
        <w:t>Законом је предвиђено да о</w:t>
      </w:r>
      <w:r w:rsidR="00111149" w:rsidRPr="0068493E">
        <w:rPr>
          <w:rFonts w:ascii="Times New Roman" w:hAnsi="Times New Roman" w:cs="Times New Roman"/>
          <w:b/>
          <w:sz w:val="24"/>
          <w:szCs w:val="24"/>
          <w:lang w:val="sr-Cyrl-CS"/>
        </w:rPr>
        <w:t>ператери мобилних постројења</w:t>
      </w:r>
      <w:r w:rsidRPr="0068493E">
        <w:rPr>
          <w:rFonts w:ascii="Times New Roman" w:hAnsi="Times New Roman" w:cs="Times New Roman"/>
          <w:b/>
          <w:sz w:val="24"/>
          <w:szCs w:val="24"/>
          <w:lang w:val="sr-Cyrl-CS"/>
        </w:rPr>
        <w:t xml:space="preserve"> морају да прибаве сагласност јединица локалне самоуправе на чијој територији желе да обављају делатност. Међутим, за прибављање те сагласности није предвиђено  плаћање</w:t>
      </w:r>
      <w:r w:rsidR="00111149" w:rsidRPr="0068493E">
        <w:rPr>
          <w:rFonts w:ascii="Times New Roman" w:hAnsi="Times New Roman" w:cs="Times New Roman"/>
          <w:b/>
          <w:sz w:val="24"/>
          <w:szCs w:val="24"/>
          <w:lang w:val="sr-Cyrl-CS"/>
        </w:rPr>
        <w:t xml:space="preserve"> таксе и накнаде</w:t>
      </w:r>
      <w:r w:rsidR="00111149" w:rsidRPr="0068493E">
        <w:rPr>
          <w:rFonts w:ascii="Times New Roman" w:eastAsia="Times New Roman" w:hAnsi="Times New Roman" w:cs="Times New Roman"/>
          <w:b/>
          <w:color w:val="000000"/>
          <w:sz w:val="24"/>
          <w:szCs w:val="24"/>
          <w:lang w:val="sr-Cyrl-CS" w:eastAsia="en-GB"/>
        </w:rPr>
        <w:t>.</w:t>
      </w:r>
    </w:p>
    <w:p w14:paraId="28B4733B" w14:textId="6E908BDF" w:rsidR="0062498B" w:rsidRPr="0068493E" w:rsidRDefault="0062498B" w:rsidP="0062498B">
      <w:pPr>
        <w:spacing w:after="0"/>
        <w:jc w:val="both"/>
        <w:rPr>
          <w:rFonts w:ascii="Times New Roman" w:eastAsia="Times New Roman" w:hAnsi="Times New Roman" w:cs="Times New Roman"/>
          <w:b/>
          <w:color w:val="000000"/>
          <w:sz w:val="24"/>
          <w:szCs w:val="24"/>
          <w:lang w:val="sr-Cyrl-CS" w:eastAsia="en-GB"/>
        </w:rPr>
      </w:pPr>
      <w:r w:rsidRPr="0068493E">
        <w:rPr>
          <w:rFonts w:ascii="Times New Roman" w:eastAsia="Times New Roman" w:hAnsi="Times New Roman" w:cs="Times New Roman"/>
          <w:b/>
          <w:color w:val="000000"/>
          <w:sz w:val="24"/>
          <w:szCs w:val="24"/>
          <w:lang w:val="sr-Cyrl-CS" w:eastAsia="en-GB"/>
        </w:rPr>
        <w:t>Такође, п</w:t>
      </w:r>
      <w:r w:rsidR="00111149" w:rsidRPr="0068493E">
        <w:rPr>
          <w:rFonts w:ascii="Times New Roman" w:eastAsia="Times New Roman" w:hAnsi="Times New Roman" w:cs="Times New Roman"/>
          <w:b/>
          <w:color w:val="000000"/>
          <w:sz w:val="24"/>
          <w:szCs w:val="24"/>
          <w:lang w:val="sr-Cyrl-CS" w:eastAsia="en-GB"/>
        </w:rPr>
        <w:t>ривредни субјекти који врше управљање отпадом од грађења и рушења, као и субјекти који врше управљање отпадним муљем из постројења за п</w:t>
      </w:r>
      <w:r w:rsidRPr="0068493E">
        <w:rPr>
          <w:rFonts w:ascii="Times New Roman" w:eastAsia="Times New Roman" w:hAnsi="Times New Roman" w:cs="Times New Roman"/>
          <w:b/>
          <w:color w:val="000000"/>
          <w:sz w:val="24"/>
          <w:szCs w:val="24"/>
          <w:lang w:val="sr-Cyrl-CS" w:eastAsia="en-GB"/>
        </w:rPr>
        <w:t>речишћавање отпадних вода неће имати</w:t>
      </w:r>
      <w:r w:rsidR="00111149" w:rsidRPr="0068493E">
        <w:rPr>
          <w:rFonts w:ascii="Times New Roman" w:eastAsia="Times New Roman" w:hAnsi="Times New Roman" w:cs="Times New Roman"/>
          <w:b/>
          <w:color w:val="000000"/>
          <w:sz w:val="24"/>
          <w:szCs w:val="24"/>
          <w:lang w:val="sr-Cyrl-CS" w:eastAsia="en-GB"/>
        </w:rPr>
        <w:t xml:space="preserve"> додатне </w:t>
      </w:r>
      <w:r w:rsidRPr="0068493E">
        <w:rPr>
          <w:rFonts w:ascii="Times New Roman" w:eastAsia="Times New Roman" w:hAnsi="Times New Roman" w:cs="Times New Roman"/>
          <w:b/>
          <w:color w:val="000000"/>
          <w:sz w:val="24"/>
          <w:szCs w:val="24"/>
          <w:lang w:val="sr-Cyrl-CS" w:eastAsia="en-GB"/>
        </w:rPr>
        <w:t xml:space="preserve">трошкове </w:t>
      </w:r>
      <w:r w:rsidRPr="0068493E">
        <w:rPr>
          <w:rFonts w:ascii="Times New Roman" w:eastAsia="Times New Roman" w:hAnsi="Times New Roman" w:cs="Times New Roman"/>
          <w:b/>
          <w:sz w:val="24"/>
          <w:szCs w:val="24"/>
          <w:lang w:val="sr-Cyrl-CS"/>
        </w:rPr>
        <w:t>по основу увођења обавезе управљања отпадом од грађења и рушења и по основу управљања муљем из постројења за пречишћавање комуналних отпадних вода.</w:t>
      </w:r>
    </w:p>
    <w:p w14:paraId="6664754F" w14:textId="36F534C3" w:rsidR="0062498B" w:rsidRPr="0068493E" w:rsidRDefault="0062498B" w:rsidP="00290DA3">
      <w:pPr>
        <w:spacing w:after="0"/>
        <w:jc w:val="both"/>
        <w:rPr>
          <w:rFonts w:ascii="Times New Roman" w:eastAsia="Times New Roman" w:hAnsi="Times New Roman" w:cs="Times New Roman"/>
          <w:color w:val="000000"/>
          <w:sz w:val="24"/>
          <w:szCs w:val="24"/>
          <w:lang w:val="sr-Cyrl-CS" w:eastAsia="en-GB"/>
        </w:rPr>
      </w:pPr>
    </w:p>
    <w:p w14:paraId="27FEF6EC" w14:textId="15022A6E" w:rsidR="00E96B17" w:rsidRPr="0068493E" w:rsidRDefault="00E96B17" w:rsidP="00290DA3">
      <w:pPr>
        <w:spacing w:after="0"/>
        <w:jc w:val="both"/>
        <w:rPr>
          <w:rFonts w:ascii="Times New Roman" w:hAnsi="Times New Roman" w:cs="Times New Roman"/>
          <w:sz w:val="24"/>
          <w:szCs w:val="24"/>
          <w:lang w:val="sr-Cyrl-CS"/>
        </w:rPr>
      </w:pPr>
      <w:r w:rsidRPr="0068493E">
        <w:rPr>
          <w:rFonts w:ascii="Times New Roman" w:hAnsi="Times New Roman" w:cs="Times New Roman"/>
          <w:sz w:val="24"/>
          <w:szCs w:val="24"/>
          <w:lang w:val="sr-Cyrl-CS"/>
        </w:rPr>
        <w:t>Не постоје додатни трошкови грађанима.</w:t>
      </w:r>
    </w:p>
    <w:p w14:paraId="74802703" w14:textId="77777777" w:rsidR="00290DA3" w:rsidRPr="0068493E" w:rsidRDefault="00290DA3" w:rsidP="00290DA3">
      <w:pPr>
        <w:spacing w:after="0"/>
        <w:jc w:val="both"/>
        <w:rPr>
          <w:rFonts w:ascii="Times New Roman" w:hAnsi="Times New Roman" w:cs="Times New Roman"/>
          <w:sz w:val="24"/>
          <w:szCs w:val="24"/>
          <w:lang w:val="sr-Cyrl-CS"/>
        </w:rPr>
      </w:pPr>
    </w:p>
    <w:p w14:paraId="7365A1A9" w14:textId="77777777" w:rsidR="00827110" w:rsidRPr="0068493E" w:rsidRDefault="00827110" w:rsidP="00290DA3">
      <w:pPr>
        <w:spacing w:after="0"/>
        <w:jc w:val="both"/>
        <w:rPr>
          <w:rFonts w:ascii="Times New Roman" w:hAnsi="Times New Roman" w:cs="Times New Roman"/>
          <w:b/>
          <w:sz w:val="24"/>
          <w:szCs w:val="24"/>
          <w:lang w:val="sr-Cyrl-CS"/>
        </w:rPr>
      </w:pPr>
      <w:r w:rsidRPr="0068493E">
        <w:rPr>
          <w:rFonts w:ascii="Times New Roman" w:hAnsi="Times New Roman" w:cs="Times New Roman"/>
          <w:b/>
          <w:sz w:val="24"/>
          <w:szCs w:val="24"/>
          <w:lang w:val="sr-Cyrl-CS"/>
        </w:rPr>
        <w:t xml:space="preserve">Да ли закон стимулише појаву нових привредних субјеката на тржишту и тржишну конкуренцију? </w:t>
      </w:r>
    </w:p>
    <w:p w14:paraId="1CF7CF1A" w14:textId="77777777" w:rsidR="00827110" w:rsidRPr="0068493E" w:rsidRDefault="00827110" w:rsidP="00290DA3">
      <w:pPr>
        <w:spacing w:after="0"/>
        <w:jc w:val="both"/>
        <w:rPr>
          <w:rFonts w:ascii="Times New Roman" w:hAnsi="Times New Roman" w:cs="Times New Roman"/>
          <w:sz w:val="24"/>
          <w:szCs w:val="24"/>
          <w:lang w:val="sr-Cyrl-CS"/>
        </w:rPr>
      </w:pPr>
    </w:p>
    <w:p w14:paraId="69D0D1EA" w14:textId="77777777" w:rsidR="00827110" w:rsidRPr="0068493E" w:rsidRDefault="00827110" w:rsidP="00290DA3">
      <w:pPr>
        <w:spacing w:after="0"/>
        <w:jc w:val="both"/>
        <w:rPr>
          <w:rFonts w:ascii="Times New Roman" w:hAnsi="Times New Roman" w:cs="Times New Roman"/>
          <w:sz w:val="24"/>
          <w:szCs w:val="24"/>
          <w:lang w:val="sr-Cyrl-CS"/>
        </w:rPr>
      </w:pPr>
      <w:r w:rsidRPr="0068493E">
        <w:rPr>
          <w:rFonts w:ascii="Times New Roman" w:hAnsi="Times New Roman" w:cs="Times New Roman"/>
          <w:sz w:val="24"/>
          <w:szCs w:val="24"/>
          <w:lang w:val="sr-Cyrl-CS"/>
        </w:rPr>
        <w:t xml:space="preserve">Да. Законом би се стимулисао развој предузећа за транспорт отпада и његову претходну припрему. Могућа је појава нових привредних субјеката, као и проширење капацитета постојећих привредних субјеката. Такође, може се очекивати и повећање обима активности акредитованих лабораторија за испитивање и карактеризацију отпада. </w:t>
      </w:r>
    </w:p>
    <w:p w14:paraId="0B11E410" w14:textId="0453DB3D" w:rsidR="00827110" w:rsidRPr="0068493E" w:rsidRDefault="00827110" w:rsidP="00827110">
      <w:pPr>
        <w:spacing w:after="0"/>
        <w:jc w:val="both"/>
        <w:rPr>
          <w:rFonts w:ascii="Times New Roman" w:hAnsi="Times New Roman" w:cs="Times New Roman"/>
          <w:sz w:val="24"/>
          <w:szCs w:val="24"/>
          <w:lang w:val="sr-Cyrl-CS"/>
        </w:rPr>
      </w:pPr>
      <w:r w:rsidRPr="0068493E">
        <w:rPr>
          <w:rFonts w:ascii="Times New Roman" w:hAnsi="Times New Roman" w:cs="Times New Roman"/>
          <w:sz w:val="24"/>
          <w:szCs w:val="24"/>
          <w:lang w:val="sr-Cyrl-CS"/>
        </w:rPr>
        <w:t>Имајући у виду да је један од услова за поступање са производним остацима као са нуспроизводом, постојање тржишта или потражње за таквим материјама или предметима, примена института „престанак статуса отпада” обезбедиће појаву нових привредних субјеката на тржишту који ће испуњеност услова доказивати уговором о продаји нуспроизвода између власника и даљег корисника или стручном анализом којом се доказује да је тржиште за нуспроизвод дугорочно обезбеђено. Поштовање ових критеријума подразумева: постојање купопродајног односа између власника (продавца) и даљег корисника; веродостојну тржишну цену плаћања материјала; постојање спецификација или стандарда трговине. Одредбе које се тичу класификације оператера утицаће на подстицање улагања у сист</w:t>
      </w:r>
      <w:r w:rsidR="000617AC">
        <w:rPr>
          <w:rFonts w:ascii="Times New Roman" w:hAnsi="Times New Roman" w:cs="Times New Roman"/>
          <w:sz w:val="24"/>
          <w:szCs w:val="24"/>
          <w:lang w:val="sr-Cyrl-CS"/>
        </w:rPr>
        <w:t>ем управљања отпадом као обезбеђ</w:t>
      </w:r>
      <w:r w:rsidRPr="0068493E">
        <w:rPr>
          <w:rFonts w:ascii="Times New Roman" w:hAnsi="Times New Roman" w:cs="Times New Roman"/>
          <w:sz w:val="24"/>
          <w:szCs w:val="24"/>
          <w:lang w:val="sr-Cyrl-CS"/>
        </w:rPr>
        <w:t>ивање лојалне конкуренције.</w:t>
      </w:r>
    </w:p>
    <w:p w14:paraId="4866FC6C" w14:textId="77777777" w:rsidR="00827110" w:rsidRPr="0068493E" w:rsidRDefault="00827110" w:rsidP="00827110">
      <w:pPr>
        <w:spacing w:after="0"/>
        <w:jc w:val="both"/>
        <w:rPr>
          <w:rFonts w:ascii="Times New Roman" w:hAnsi="Times New Roman" w:cs="Times New Roman"/>
          <w:sz w:val="24"/>
          <w:szCs w:val="24"/>
          <w:lang w:val="sr-Cyrl-CS"/>
        </w:rPr>
      </w:pPr>
      <w:r w:rsidRPr="0068493E">
        <w:rPr>
          <w:rFonts w:ascii="Times New Roman" w:hAnsi="Times New Roman" w:cs="Times New Roman"/>
          <w:sz w:val="24"/>
          <w:szCs w:val="24"/>
          <w:lang w:val="sr-Cyrl-CS"/>
        </w:rPr>
        <w:t xml:space="preserve">Предложена законодавна решења немају негативно дејство на привредне субјекте јер се односе на попуњавање правних празнина, прецизирање одредаба, обезбеђивање континуитета у раду постројења. Такође, предложена законска решења истовремено обезбеђују континуитет у функционисању система финансирања заштите животне средине, укључујући и управљање посебним токовима отпада. </w:t>
      </w:r>
    </w:p>
    <w:p w14:paraId="31EEA76F" w14:textId="77777777" w:rsidR="00827110" w:rsidRPr="0068493E" w:rsidRDefault="00827110" w:rsidP="00827110">
      <w:pPr>
        <w:spacing w:after="0"/>
        <w:jc w:val="both"/>
        <w:rPr>
          <w:rFonts w:ascii="Times New Roman" w:hAnsi="Times New Roman" w:cs="Times New Roman"/>
          <w:sz w:val="24"/>
          <w:szCs w:val="24"/>
          <w:lang w:val="sr-Cyrl-CS"/>
        </w:rPr>
      </w:pPr>
      <w:r w:rsidRPr="0068493E">
        <w:rPr>
          <w:rFonts w:ascii="Times New Roman" w:hAnsi="Times New Roman" w:cs="Times New Roman"/>
          <w:sz w:val="24"/>
          <w:szCs w:val="24"/>
          <w:lang w:val="sr-Cyrl-CS"/>
        </w:rPr>
        <w:t xml:space="preserve">Такође, измене и допуне Закона у области финансирања обезбедиће могућност појаве нових привредних субјеката на тржишту и јачање тржишне конкуренције као и </w:t>
      </w:r>
      <w:r w:rsidRPr="0068493E">
        <w:rPr>
          <w:rFonts w:ascii="Times New Roman" w:hAnsi="Times New Roman" w:cs="Times New Roman"/>
          <w:sz w:val="24"/>
          <w:szCs w:val="24"/>
          <w:lang w:val="sr-Cyrl-CS"/>
        </w:rPr>
        <w:lastRenderedPageBreak/>
        <w:t>досадашња примена важећег закона а истовремено пружиће и правну сигурности у погледу примене ЕУ и националних прописа у овој области.</w:t>
      </w:r>
    </w:p>
    <w:p w14:paraId="2B9A0BE4" w14:textId="77777777" w:rsidR="00827110" w:rsidRPr="0068493E" w:rsidRDefault="00827110" w:rsidP="00827110">
      <w:pPr>
        <w:spacing w:after="0"/>
        <w:jc w:val="both"/>
        <w:rPr>
          <w:rFonts w:ascii="Times New Roman" w:hAnsi="Times New Roman" w:cs="Times New Roman"/>
          <w:sz w:val="24"/>
          <w:szCs w:val="24"/>
          <w:lang w:val="sr-Cyrl-CS"/>
        </w:rPr>
      </w:pPr>
    </w:p>
    <w:p w14:paraId="4FC6F701" w14:textId="77777777" w:rsidR="00827110" w:rsidRPr="0068493E" w:rsidRDefault="00827110" w:rsidP="00827110">
      <w:pPr>
        <w:spacing w:after="0"/>
        <w:jc w:val="both"/>
        <w:rPr>
          <w:rFonts w:ascii="Times New Roman" w:hAnsi="Times New Roman" w:cs="Times New Roman"/>
          <w:b/>
          <w:sz w:val="24"/>
          <w:szCs w:val="24"/>
          <w:lang w:val="sr-Cyrl-CS"/>
        </w:rPr>
      </w:pPr>
      <w:r w:rsidRPr="0068493E">
        <w:rPr>
          <w:rFonts w:ascii="Times New Roman" w:hAnsi="Times New Roman" w:cs="Times New Roman"/>
          <w:b/>
          <w:sz w:val="24"/>
          <w:szCs w:val="24"/>
          <w:lang w:val="sr-Cyrl-CS"/>
        </w:rPr>
        <w:t xml:space="preserve">Да ли су све заинтересоване стране имале прилику да изнесу своје ставове о закону? </w:t>
      </w:r>
    </w:p>
    <w:p w14:paraId="1EFEBEA7" w14:textId="77777777" w:rsidR="00827110" w:rsidRPr="0068493E" w:rsidRDefault="00827110" w:rsidP="00827110">
      <w:pPr>
        <w:spacing w:after="0"/>
        <w:jc w:val="both"/>
        <w:rPr>
          <w:rFonts w:ascii="Times New Roman" w:hAnsi="Times New Roman" w:cs="Times New Roman"/>
          <w:sz w:val="24"/>
          <w:szCs w:val="24"/>
          <w:lang w:val="sr-Cyrl-CS"/>
        </w:rPr>
      </w:pPr>
    </w:p>
    <w:p w14:paraId="5E0E77B7" w14:textId="6CFDA2E3" w:rsidR="00114D94" w:rsidRPr="0068493E" w:rsidRDefault="00114D94" w:rsidP="00827110">
      <w:pPr>
        <w:spacing w:after="0"/>
        <w:jc w:val="both"/>
        <w:rPr>
          <w:rFonts w:ascii="Times New Roman" w:hAnsi="Times New Roman" w:cs="Times New Roman"/>
          <w:sz w:val="24"/>
          <w:szCs w:val="24"/>
          <w:lang w:val="sr-Cyrl-CS"/>
        </w:rPr>
      </w:pPr>
      <w:r w:rsidRPr="0068493E">
        <w:rPr>
          <w:rFonts w:ascii="Times New Roman" w:hAnsi="Times New Roman" w:cs="Times New Roman"/>
          <w:sz w:val="24"/>
          <w:szCs w:val="24"/>
          <w:lang w:val="sr-Cyrl-CS"/>
        </w:rPr>
        <w:t xml:space="preserve">Имајући у виду одређена питања која су се појавила у току спровођења важећег закона оцењено је потребним да се иста прецизирају у тексту закона. Нацрт </w:t>
      </w:r>
      <w:r w:rsidR="0075492D" w:rsidRPr="0068493E">
        <w:rPr>
          <w:rFonts w:ascii="Times New Roman" w:hAnsi="Times New Roman" w:cs="Times New Roman"/>
          <w:sz w:val="24"/>
          <w:szCs w:val="24"/>
          <w:lang w:val="sr-Cyrl-CS"/>
        </w:rPr>
        <w:t xml:space="preserve">закона </w:t>
      </w:r>
      <w:r w:rsidRPr="0068493E">
        <w:rPr>
          <w:rFonts w:ascii="Times New Roman" w:hAnsi="Times New Roman" w:cs="Times New Roman"/>
          <w:sz w:val="24"/>
          <w:szCs w:val="24"/>
          <w:lang w:val="sr-Cyrl-CS"/>
        </w:rPr>
        <w:t xml:space="preserve">је израђен након предлога и сугестија заинтересованих страна, након више консултативних састанака са оператерима постројења (као и удружењима рециклера), представницима Аутономне покрајине, односно јединица локалне самоуправе, представницима Привредне коморе, грађевинске индустрије; за прецизирањем одредаба важећег закона. </w:t>
      </w:r>
    </w:p>
    <w:p w14:paraId="2DE4C59D" w14:textId="021AED4E" w:rsidR="00827110" w:rsidRPr="0068493E" w:rsidRDefault="00827110" w:rsidP="00827110">
      <w:pPr>
        <w:spacing w:after="0"/>
        <w:jc w:val="both"/>
        <w:rPr>
          <w:rFonts w:ascii="Times New Roman" w:hAnsi="Times New Roman" w:cs="Times New Roman"/>
          <w:sz w:val="24"/>
          <w:szCs w:val="24"/>
          <w:lang w:val="sr-Cyrl-CS"/>
        </w:rPr>
      </w:pPr>
      <w:r w:rsidRPr="0068493E">
        <w:rPr>
          <w:rFonts w:ascii="Times New Roman" w:hAnsi="Times New Roman" w:cs="Times New Roman"/>
          <w:sz w:val="24"/>
          <w:szCs w:val="24"/>
          <w:lang w:val="sr-Cyrl-CS"/>
        </w:rPr>
        <w:t>Имајући у виду обим измена, основана је Радна група за припрему Нацрта измена закона, која је одржала више састанак свих заинтересованих страна. Чланови су били представници министарства, АП Војводина, Министарства финансија, удружења рециклера, представника факултета и заинтересоване јавности.</w:t>
      </w:r>
    </w:p>
    <w:p w14:paraId="3C7DF3AC" w14:textId="63A88E0E" w:rsidR="00827110" w:rsidRPr="0068493E" w:rsidRDefault="00827110" w:rsidP="00827110">
      <w:pPr>
        <w:spacing w:after="0"/>
        <w:jc w:val="both"/>
        <w:rPr>
          <w:rFonts w:ascii="Times New Roman" w:hAnsi="Times New Roman" w:cs="Times New Roman"/>
          <w:sz w:val="24"/>
          <w:szCs w:val="24"/>
          <w:lang w:val="sr-Cyrl-CS"/>
        </w:rPr>
      </w:pPr>
      <w:r w:rsidRPr="0068493E">
        <w:rPr>
          <w:rFonts w:ascii="Times New Roman" w:hAnsi="Times New Roman" w:cs="Times New Roman"/>
          <w:sz w:val="24"/>
          <w:szCs w:val="24"/>
          <w:lang w:val="sr-Cyrl-CS"/>
        </w:rPr>
        <w:t>Измен</w:t>
      </w:r>
      <w:r w:rsidR="00111149" w:rsidRPr="0068493E">
        <w:rPr>
          <w:rFonts w:ascii="Times New Roman" w:hAnsi="Times New Roman" w:cs="Times New Roman"/>
          <w:sz w:val="24"/>
          <w:szCs w:val="24"/>
          <w:lang w:val="sr-Cyrl-CS"/>
        </w:rPr>
        <w:t>а</w:t>
      </w:r>
      <w:r w:rsidRPr="0068493E">
        <w:rPr>
          <w:rFonts w:ascii="Times New Roman" w:hAnsi="Times New Roman" w:cs="Times New Roman"/>
          <w:sz w:val="24"/>
          <w:szCs w:val="24"/>
          <w:lang w:val="sr-Cyrl-CS"/>
        </w:rPr>
        <w:t xml:space="preserve"> закона </w:t>
      </w:r>
      <w:r w:rsidR="00111149" w:rsidRPr="0068493E">
        <w:rPr>
          <w:rFonts w:ascii="Times New Roman" w:hAnsi="Times New Roman" w:cs="Times New Roman"/>
          <w:sz w:val="24"/>
          <w:szCs w:val="24"/>
          <w:lang w:val="sr-Cyrl-CS"/>
        </w:rPr>
        <w:t>је прошла</w:t>
      </w:r>
      <w:r w:rsidRPr="0068493E">
        <w:rPr>
          <w:rFonts w:ascii="Times New Roman" w:hAnsi="Times New Roman" w:cs="Times New Roman"/>
          <w:sz w:val="24"/>
          <w:szCs w:val="24"/>
          <w:lang w:val="sr-Cyrl-CS"/>
        </w:rPr>
        <w:t xml:space="preserve"> поступак јавне расправе</w:t>
      </w:r>
      <w:r w:rsidR="00111149" w:rsidRPr="0068493E">
        <w:rPr>
          <w:rFonts w:ascii="Times New Roman" w:hAnsi="Times New Roman" w:cs="Times New Roman"/>
          <w:sz w:val="24"/>
          <w:szCs w:val="24"/>
          <w:lang w:val="sr-Cyrl-CS"/>
        </w:rPr>
        <w:t>, која је одржана електронским путем. Предложене измене и допуне Закона су презентоване свој заинтересованој јавности, која је након јавне расправе слала своја мишљења и предлоге.</w:t>
      </w:r>
    </w:p>
    <w:p w14:paraId="46F9ECF1" w14:textId="77777777" w:rsidR="007F4782" w:rsidRPr="0068493E" w:rsidRDefault="007F4782" w:rsidP="00827110">
      <w:pPr>
        <w:spacing w:after="0"/>
        <w:jc w:val="both"/>
        <w:rPr>
          <w:rFonts w:ascii="Times New Roman" w:hAnsi="Times New Roman" w:cs="Times New Roman"/>
          <w:sz w:val="24"/>
          <w:szCs w:val="24"/>
          <w:lang w:val="sr-Cyrl-CS"/>
        </w:rPr>
      </w:pPr>
    </w:p>
    <w:p w14:paraId="7D03C31F" w14:textId="77777777" w:rsidR="007F4782" w:rsidRPr="0068493E" w:rsidRDefault="007F4782" w:rsidP="00827110">
      <w:pPr>
        <w:spacing w:after="0"/>
        <w:jc w:val="both"/>
        <w:rPr>
          <w:rFonts w:ascii="Times New Roman" w:hAnsi="Times New Roman" w:cs="Times New Roman"/>
          <w:b/>
          <w:sz w:val="24"/>
          <w:szCs w:val="24"/>
          <w:lang w:val="sr-Cyrl-CS"/>
        </w:rPr>
      </w:pPr>
      <w:r w:rsidRPr="0068493E">
        <w:rPr>
          <w:rFonts w:ascii="Times New Roman" w:hAnsi="Times New Roman" w:cs="Times New Roman"/>
          <w:b/>
          <w:sz w:val="24"/>
          <w:szCs w:val="24"/>
          <w:lang w:val="sr-Cyrl-CS"/>
        </w:rPr>
        <w:t xml:space="preserve">Које ће мере током примене закона бити предузете да би се остварили разлози доношења закона? </w:t>
      </w:r>
    </w:p>
    <w:p w14:paraId="146179D8" w14:textId="77777777" w:rsidR="007F4782" w:rsidRPr="0068493E" w:rsidRDefault="007F4782" w:rsidP="00827110">
      <w:pPr>
        <w:spacing w:after="0"/>
        <w:jc w:val="both"/>
        <w:rPr>
          <w:rFonts w:ascii="Times New Roman" w:hAnsi="Times New Roman" w:cs="Times New Roman"/>
          <w:sz w:val="24"/>
          <w:szCs w:val="24"/>
          <w:lang w:val="sr-Cyrl-CS"/>
        </w:rPr>
      </w:pPr>
    </w:p>
    <w:p w14:paraId="7A8C176D" w14:textId="77777777" w:rsidR="007F4782" w:rsidRPr="0068493E" w:rsidRDefault="007F4782" w:rsidP="00827110">
      <w:pPr>
        <w:spacing w:after="0"/>
        <w:jc w:val="both"/>
        <w:rPr>
          <w:rFonts w:ascii="Times New Roman" w:hAnsi="Times New Roman" w:cs="Times New Roman"/>
          <w:sz w:val="24"/>
          <w:szCs w:val="24"/>
          <w:lang w:val="sr-Cyrl-CS"/>
        </w:rPr>
      </w:pPr>
      <w:r w:rsidRPr="0068493E">
        <w:rPr>
          <w:rFonts w:ascii="Times New Roman" w:hAnsi="Times New Roman" w:cs="Times New Roman"/>
          <w:sz w:val="24"/>
          <w:szCs w:val="24"/>
          <w:lang w:val="sr-Cyrl-CS"/>
        </w:rPr>
        <w:t xml:space="preserve">Током примене закона предузеће се постојеће законодавне, управне и управно надзорне, институционално-организационе, техничке-оперативне и економске мере. У конкретном случају реч је о прецизирању одредаба важећег Закона о управљању отпадом у циљу ефикасније имплементације тих одредби. </w:t>
      </w:r>
    </w:p>
    <w:p w14:paraId="6B6BA722" w14:textId="25327AFF" w:rsidR="007F4782" w:rsidRPr="0068493E" w:rsidRDefault="007F4782" w:rsidP="00827110">
      <w:pPr>
        <w:spacing w:after="0"/>
        <w:jc w:val="both"/>
        <w:rPr>
          <w:rFonts w:ascii="Times New Roman" w:hAnsi="Times New Roman" w:cs="Times New Roman"/>
          <w:sz w:val="24"/>
          <w:szCs w:val="24"/>
          <w:lang w:val="sr-Cyrl-CS"/>
        </w:rPr>
      </w:pPr>
      <w:r w:rsidRPr="0068493E">
        <w:rPr>
          <w:rFonts w:ascii="Times New Roman" w:hAnsi="Times New Roman" w:cs="Times New Roman"/>
          <w:sz w:val="24"/>
          <w:szCs w:val="24"/>
          <w:lang w:val="sr-Cyrl-CS"/>
        </w:rPr>
        <w:t xml:space="preserve">Само изменом закона могуће је њихово прецизирање и постизање ефикасније имплементације. </w:t>
      </w:r>
    </w:p>
    <w:p w14:paraId="1CA54781" w14:textId="0BB4E28E" w:rsidR="00ED328B" w:rsidRPr="0068493E" w:rsidRDefault="00ED328B" w:rsidP="00827110">
      <w:pPr>
        <w:spacing w:after="0"/>
        <w:jc w:val="both"/>
        <w:rPr>
          <w:rFonts w:ascii="Times New Roman" w:hAnsi="Times New Roman" w:cs="Times New Roman"/>
          <w:sz w:val="24"/>
          <w:szCs w:val="24"/>
          <w:lang w:val="sr-Cyrl-CS"/>
        </w:rPr>
      </w:pPr>
    </w:p>
    <w:p w14:paraId="35640806" w14:textId="52E9A1E6" w:rsidR="00ED328B" w:rsidRPr="0068493E" w:rsidRDefault="00ED328B" w:rsidP="00827110">
      <w:pPr>
        <w:spacing w:after="0"/>
        <w:jc w:val="both"/>
        <w:rPr>
          <w:rFonts w:ascii="Times New Roman" w:eastAsia="Times New Roman" w:hAnsi="Times New Roman" w:cs="Times New Roman"/>
          <w:b/>
          <w:sz w:val="24"/>
          <w:szCs w:val="24"/>
          <w:lang w:val="sr-Cyrl-CS"/>
        </w:rPr>
      </w:pPr>
      <w:r w:rsidRPr="0068493E">
        <w:rPr>
          <w:rFonts w:ascii="Times New Roman" w:eastAsia="Times New Roman" w:hAnsi="Times New Roman" w:cs="Times New Roman"/>
          <w:b/>
          <w:sz w:val="24"/>
          <w:szCs w:val="24"/>
          <w:lang w:val="sr-Cyrl-CS"/>
        </w:rPr>
        <w:t>Анализа управљачких ефеката</w:t>
      </w:r>
    </w:p>
    <w:p w14:paraId="1769FA24" w14:textId="57ADE23C" w:rsidR="00ED328B" w:rsidRPr="0068493E" w:rsidRDefault="00ED328B" w:rsidP="00827110">
      <w:pPr>
        <w:spacing w:after="0"/>
        <w:jc w:val="both"/>
        <w:rPr>
          <w:rFonts w:ascii="Times New Roman" w:eastAsia="Times New Roman" w:hAnsi="Times New Roman" w:cs="Times New Roman"/>
          <w:bCs/>
          <w:i/>
          <w:sz w:val="24"/>
          <w:szCs w:val="24"/>
          <w:lang w:val="sr-Cyrl-CS"/>
        </w:rPr>
      </w:pPr>
    </w:p>
    <w:p w14:paraId="44CD099D" w14:textId="1116C94B" w:rsidR="00ED328B" w:rsidRPr="0068493E" w:rsidRDefault="00ED328B" w:rsidP="00827110">
      <w:pPr>
        <w:spacing w:after="0"/>
        <w:jc w:val="both"/>
        <w:rPr>
          <w:rFonts w:ascii="Times New Roman" w:eastAsia="Times New Roman" w:hAnsi="Times New Roman" w:cs="Times New Roman"/>
          <w:sz w:val="24"/>
          <w:szCs w:val="24"/>
          <w:lang w:val="sr-Cyrl-CS"/>
        </w:rPr>
      </w:pPr>
      <w:r w:rsidRPr="0068493E">
        <w:rPr>
          <w:rFonts w:ascii="Times New Roman" w:hAnsi="Times New Roman" w:cs="Times New Roman"/>
          <w:sz w:val="24"/>
          <w:szCs w:val="24"/>
          <w:lang w:val="sr-Cyrl-CS"/>
        </w:rPr>
        <w:t xml:space="preserve">У поступку примене Закона није потребно мењати </w:t>
      </w:r>
      <w:r w:rsidRPr="0068493E">
        <w:rPr>
          <w:rFonts w:ascii="Times New Roman" w:eastAsia="Times New Roman" w:hAnsi="Times New Roman" w:cs="Times New Roman"/>
          <w:sz w:val="24"/>
          <w:szCs w:val="24"/>
          <w:lang w:val="sr-Cyrl-CS"/>
        </w:rPr>
        <w:t>организациону структуру постојећих органа на државном и локалном нивоу, није потребно мењати број запослених у њима, нити проширивати техничке капацитете.</w:t>
      </w:r>
    </w:p>
    <w:p w14:paraId="3234F772" w14:textId="3505A8E8" w:rsidR="00ED328B" w:rsidRPr="0068493E" w:rsidRDefault="00ED328B" w:rsidP="00827110">
      <w:pPr>
        <w:spacing w:after="0"/>
        <w:jc w:val="both"/>
        <w:rPr>
          <w:rFonts w:ascii="Times New Roman" w:eastAsia="Times New Roman" w:hAnsi="Times New Roman" w:cs="Times New Roman"/>
          <w:sz w:val="24"/>
          <w:szCs w:val="24"/>
          <w:lang w:val="sr-Cyrl-CS"/>
        </w:rPr>
      </w:pPr>
    </w:p>
    <w:p w14:paraId="352D939D" w14:textId="13EFF70A" w:rsidR="00ED328B" w:rsidRPr="0068493E" w:rsidRDefault="00ED328B" w:rsidP="00827110">
      <w:pPr>
        <w:spacing w:after="0"/>
        <w:jc w:val="both"/>
        <w:rPr>
          <w:rFonts w:ascii="Times New Roman" w:eastAsia="Times New Roman" w:hAnsi="Times New Roman" w:cs="Times New Roman"/>
          <w:sz w:val="24"/>
          <w:szCs w:val="24"/>
          <w:lang w:val="sr-Cyrl-CS"/>
        </w:rPr>
      </w:pPr>
      <w:r w:rsidRPr="0068493E">
        <w:rPr>
          <w:rFonts w:ascii="Times New Roman" w:eastAsia="Times New Roman" w:hAnsi="Times New Roman" w:cs="Times New Roman"/>
          <w:sz w:val="24"/>
          <w:szCs w:val="24"/>
          <w:lang w:val="sr-Cyrl-CS"/>
        </w:rPr>
        <w:t>Након усвајања Закона, потребно је ажурирати постојећа подзаконска акта, те донети следећа подзаконска акта:</w:t>
      </w:r>
    </w:p>
    <w:p w14:paraId="77E4F9F2" w14:textId="78388043" w:rsidR="00ED328B" w:rsidRPr="0068493E" w:rsidRDefault="00ED328B" w:rsidP="00827110">
      <w:pPr>
        <w:spacing w:after="0"/>
        <w:jc w:val="both"/>
        <w:rPr>
          <w:rFonts w:ascii="Times New Roman" w:hAnsi="Times New Roman" w:cs="Times New Roman"/>
          <w:sz w:val="24"/>
          <w:szCs w:val="24"/>
          <w:lang w:val="sr-Cyrl-CS"/>
        </w:rPr>
      </w:pPr>
      <w:r w:rsidRPr="0068493E">
        <w:rPr>
          <w:rFonts w:ascii="Times New Roman" w:hAnsi="Times New Roman" w:cs="Times New Roman"/>
          <w:sz w:val="24"/>
          <w:szCs w:val="24"/>
          <w:lang w:val="sr-Cyrl-CS"/>
        </w:rPr>
        <w:t>-Уредбу о управљању отпадом живом, живиним једињењима и отпадом који садржи живу, њиховом привременом складишту, третману и одлагању;</w:t>
      </w:r>
    </w:p>
    <w:p w14:paraId="2A9D7CC2" w14:textId="42323752" w:rsidR="00ED328B" w:rsidRPr="0068493E" w:rsidRDefault="00ED328B" w:rsidP="00827110">
      <w:pPr>
        <w:spacing w:after="0"/>
        <w:jc w:val="both"/>
        <w:rPr>
          <w:rFonts w:ascii="Times New Roman" w:hAnsi="Times New Roman" w:cs="Times New Roman"/>
          <w:sz w:val="24"/>
          <w:szCs w:val="24"/>
          <w:lang w:val="sr-Cyrl-CS"/>
        </w:rPr>
      </w:pPr>
      <w:r w:rsidRPr="0068493E">
        <w:rPr>
          <w:rFonts w:ascii="Times New Roman" w:hAnsi="Times New Roman" w:cs="Times New Roman"/>
          <w:sz w:val="24"/>
          <w:szCs w:val="24"/>
          <w:lang w:val="sr-Cyrl-CS"/>
        </w:rPr>
        <w:t>-Уредбу о начину и поступку управљања отпадом од грађења и рушења;</w:t>
      </w:r>
    </w:p>
    <w:p w14:paraId="1B810993" w14:textId="1E33DA83" w:rsidR="00ED328B" w:rsidRPr="0068493E" w:rsidRDefault="00ED328B" w:rsidP="00827110">
      <w:pPr>
        <w:spacing w:after="0"/>
        <w:jc w:val="both"/>
        <w:rPr>
          <w:rFonts w:ascii="Times New Roman" w:hAnsi="Times New Roman" w:cs="Times New Roman"/>
          <w:sz w:val="24"/>
          <w:szCs w:val="24"/>
          <w:lang w:val="sr-Cyrl-CS"/>
        </w:rPr>
      </w:pPr>
      <w:r w:rsidRPr="0068493E">
        <w:rPr>
          <w:rFonts w:ascii="Times New Roman" w:hAnsi="Times New Roman" w:cs="Times New Roman"/>
          <w:sz w:val="24"/>
          <w:szCs w:val="24"/>
          <w:lang w:val="sr-Cyrl-CS"/>
        </w:rPr>
        <w:t>-Уредбу о начину и поступку управљања муљем из постројења за пречишћавање комуналних отпадних вода;</w:t>
      </w:r>
    </w:p>
    <w:p w14:paraId="46528771" w14:textId="27078B6E" w:rsidR="00ED328B" w:rsidRPr="0068493E" w:rsidRDefault="00ED328B" w:rsidP="00827110">
      <w:pPr>
        <w:spacing w:after="0"/>
        <w:jc w:val="both"/>
        <w:rPr>
          <w:rFonts w:ascii="Times New Roman" w:hAnsi="Times New Roman" w:cs="Times New Roman"/>
          <w:sz w:val="24"/>
          <w:szCs w:val="24"/>
          <w:lang w:val="sr-Cyrl-CS"/>
        </w:rPr>
      </w:pPr>
      <w:r w:rsidRPr="0068493E">
        <w:rPr>
          <w:rFonts w:ascii="Times New Roman" w:hAnsi="Times New Roman" w:cs="Times New Roman"/>
          <w:sz w:val="24"/>
          <w:szCs w:val="24"/>
          <w:lang w:val="sr-Cyrl-CS"/>
        </w:rPr>
        <w:t>-Уредбу о врстама финансијских гаранција и еквивалентног осигурања којим се обезбеђује обављање делатности управљања отпадом.</w:t>
      </w:r>
    </w:p>
    <w:p w14:paraId="5D949D84" w14:textId="77777777" w:rsidR="00ED328B" w:rsidRPr="0068493E" w:rsidRDefault="00ED328B" w:rsidP="00827110">
      <w:pPr>
        <w:spacing w:after="0"/>
        <w:jc w:val="both"/>
        <w:rPr>
          <w:rFonts w:ascii="Times New Roman" w:hAnsi="Times New Roman" w:cs="Times New Roman"/>
          <w:sz w:val="24"/>
          <w:szCs w:val="24"/>
          <w:lang w:val="sr-Cyrl-CS"/>
        </w:rPr>
      </w:pPr>
    </w:p>
    <w:sectPr w:rsidR="00ED328B" w:rsidRPr="0068493E" w:rsidSect="00A7319C">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Ivan Selić" w:date="2022-12-27T13:49:00Z" w:initials="IS">
    <w:p w14:paraId="088AD370" w14:textId="1C8A1AE7" w:rsidR="00C12591" w:rsidRPr="00C12591" w:rsidRDefault="00C12591">
      <w:pPr>
        <w:pStyle w:val="CommentText"/>
        <w:rPr>
          <w:lang w:val="sr-Cyrl-RS"/>
        </w:rPr>
      </w:pPr>
      <w:r>
        <w:rPr>
          <w:rStyle w:val="CommentReference"/>
        </w:rPr>
        <w:annotationRef/>
      </w:r>
      <w:r>
        <w:rPr>
          <w:lang w:val="sr-Cyrl-RS"/>
        </w:rPr>
        <w:t>Овде унети коментаре на економске ефекте</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88AD37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88AD370" w16cid:durableId="27598E6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928A8B" w14:textId="77777777" w:rsidR="008D0CAA" w:rsidRDefault="008D0CAA" w:rsidP="00A7319C">
      <w:pPr>
        <w:spacing w:after="0" w:line="240" w:lineRule="auto"/>
      </w:pPr>
      <w:r>
        <w:separator/>
      </w:r>
    </w:p>
  </w:endnote>
  <w:endnote w:type="continuationSeparator" w:id="0">
    <w:p w14:paraId="607F3768" w14:textId="77777777" w:rsidR="008D0CAA" w:rsidRDefault="008D0CAA" w:rsidP="00A731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BE322" w14:textId="77777777" w:rsidR="00A7319C" w:rsidRDefault="00A731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3424397"/>
      <w:docPartObj>
        <w:docPartGallery w:val="Page Numbers (Bottom of Page)"/>
        <w:docPartUnique/>
      </w:docPartObj>
    </w:sdtPr>
    <w:sdtEndPr>
      <w:rPr>
        <w:rFonts w:ascii="Times New Roman" w:hAnsi="Times New Roman" w:cs="Times New Roman"/>
        <w:noProof/>
        <w:sz w:val="24"/>
        <w:szCs w:val="24"/>
      </w:rPr>
    </w:sdtEndPr>
    <w:sdtContent>
      <w:p w14:paraId="75F7B7C4" w14:textId="169FECF1" w:rsidR="00A7319C" w:rsidRPr="00A7319C" w:rsidRDefault="00A7319C">
        <w:pPr>
          <w:pStyle w:val="Footer"/>
          <w:jc w:val="right"/>
          <w:rPr>
            <w:rFonts w:ascii="Times New Roman" w:hAnsi="Times New Roman" w:cs="Times New Roman"/>
            <w:sz w:val="24"/>
            <w:szCs w:val="24"/>
          </w:rPr>
        </w:pPr>
        <w:r w:rsidRPr="00A7319C">
          <w:rPr>
            <w:rFonts w:ascii="Times New Roman" w:hAnsi="Times New Roman" w:cs="Times New Roman"/>
            <w:sz w:val="24"/>
            <w:szCs w:val="24"/>
          </w:rPr>
          <w:fldChar w:fldCharType="begin"/>
        </w:r>
        <w:r w:rsidRPr="00A7319C">
          <w:rPr>
            <w:rFonts w:ascii="Times New Roman" w:hAnsi="Times New Roman" w:cs="Times New Roman"/>
            <w:sz w:val="24"/>
            <w:szCs w:val="24"/>
          </w:rPr>
          <w:instrText xml:space="preserve"> PAGE   \* MERGEFORMAT </w:instrText>
        </w:r>
        <w:r w:rsidRPr="00A7319C">
          <w:rPr>
            <w:rFonts w:ascii="Times New Roman" w:hAnsi="Times New Roman" w:cs="Times New Roman"/>
            <w:sz w:val="24"/>
            <w:szCs w:val="24"/>
          </w:rPr>
          <w:fldChar w:fldCharType="separate"/>
        </w:r>
        <w:r w:rsidR="00A91923">
          <w:rPr>
            <w:rFonts w:ascii="Times New Roman" w:hAnsi="Times New Roman" w:cs="Times New Roman"/>
            <w:noProof/>
            <w:sz w:val="24"/>
            <w:szCs w:val="24"/>
          </w:rPr>
          <w:t>13</w:t>
        </w:r>
        <w:r w:rsidRPr="00A7319C">
          <w:rPr>
            <w:rFonts w:ascii="Times New Roman" w:hAnsi="Times New Roman" w:cs="Times New Roman"/>
            <w:noProof/>
            <w:sz w:val="24"/>
            <w:szCs w:val="24"/>
          </w:rPr>
          <w:fldChar w:fldCharType="end"/>
        </w:r>
      </w:p>
    </w:sdtContent>
  </w:sdt>
  <w:p w14:paraId="7FB857FD" w14:textId="77777777" w:rsidR="00A7319C" w:rsidRDefault="00A7319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878D4" w14:textId="77777777" w:rsidR="00A7319C" w:rsidRDefault="00A731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254C55" w14:textId="77777777" w:rsidR="008D0CAA" w:rsidRDefault="008D0CAA" w:rsidP="00A7319C">
      <w:pPr>
        <w:spacing w:after="0" w:line="240" w:lineRule="auto"/>
      </w:pPr>
      <w:r>
        <w:separator/>
      </w:r>
    </w:p>
  </w:footnote>
  <w:footnote w:type="continuationSeparator" w:id="0">
    <w:p w14:paraId="6E853A6E" w14:textId="77777777" w:rsidR="008D0CAA" w:rsidRDefault="008D0CAA" w:rsidP="00A731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DDD56" w14:textId="77777777" w:rsidR="00A7319C" w:rsidRDefault="00A7319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4F79C" w14:textId="77777777" w:rsidR="00A7319C" w:rsidRDefault="00A7319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418C4" w14:textId="77777777" w:rsidR="00A7319C" w:rsidRDefault="00A731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34682F"/>
    <w:multiLevelType w:val="hybridMultilevel"/>
    <w:tmpl w:val="98F224FA"/>
    <w:lvl w:ilvl="0" w:tplc="2BE6720C">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102335754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van Selić">
    <w15:presenceInfo w15:providerId="AD" w15:userId="S-1-5-21-1487641033-1019195653-2548230883-53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26BF"/>
    <w:rsid w:val="00002265"/>
    <w:rsid w:val="000420F1"/>
    <w:rsid w:val="000617AC"/>
    <w:rsid w:val="00087B3B"/>
    <w:rsid w:val="000A4F7F"/>
    <w:rsid w:val="000B581F"/>
    <w:rsid w:val="000C4E98"/>
    <w:rsid w:val="000D0F1C"/>
    <w:rsid w:val="000E4533"/>
    <w:rsid w:val="000F295F"/>
    <w:rsid w:val="00100EDC"/>
    <w:rsid w:val="00111149"/>
    <w:rsid w:val="00114D94"/>
    <w:rsid w:val="001C58B0"/>
    <w:rsid w:val="001F0447"/>
    <w:rsid w:val="002001C9"/>
    <w:rsid w:val="00210E49"/>
    <w:rsid w:val="002317AE"/>
    <w:rsid w:val="002510F4"/>
    <w:rsid w:val="00274096"/>
    <w:rsid w:val="00290DA3"/>
    <w:rsid w:val="0031315C"/>
    <w:rsid w:val="00334901"/>
    <w:rsid w:val="00356713"/>
    <w:rsid w:val="00365A84"/>
    <w:rsid w:val="00467082"/>
    <w:rsid w:val="004A7693"/>
    <w:rsid w:val="004E26BF"/>
    <w:rsid w:val="00554AAF"/>
    <w:rsid w:val="00585F45"/>
    <w:rsid w:val="0062498B"/>
    <w:rsid w:val="0068493E"/>
    <w:rsid w:val="00697F8C"/>
    <w:rsid w:val="006B510F"/>
    <w:rsid w:val="006C524C"/>
    <w:rsid w:val="006C571E"/>
    <w:rsid w:val="0073364D"/>
    <w:rsid w:val="0075492D"/>
    <w:rsid w:val="00766FD3"/>
    <w:rsid w:val="007A5CD0"/>
    <w:rsid w:val="007F4782"/>
    <w:rsid w:val="00814EF1"/>
    <w:rsid w:val="00820245"/>
    <w:rsid w:val="00826FDC"/>
    <w:rsid w:val="00827110"/>
    <w:rsid w:val="00886C7E"/>
    <w:rsid w:val="008D0CAA"/>
    <w:rsid w:val="00986C70"/>
    <w:rsid w:val="009878CA"/>
    <w:rsid w:val="009A2952"/>
    <w:rsid w:val="00A01A6B"/>
    <w:rsid w:val="00A334FF"/>
    <w:rsid w:val="00A51907"/>
    <w:rsid w:val="00A7319C"/>
    <w:rsid w:val="00A75E28"/>
    <w:rsid w:val="00A91923"/>
    <w:rsid w:val="00AD08A6"/>
    <w:rsid w:val="00AD6DA8"/>
    <w:rsid w:val="00AE08F7"/>
    <w:rsid w:val="00AF607D"/>
    <w:rsid w:val="00B278F5"/>
    <w:rsid w:val="00B60EC4"/>
    <w:rsid w:val="00B84504"/>
    <w:rsid w:val="00B86B54"/>
    <w:rsid w:val="00BA12F1"/>
    <w:rsid w:val="00BA21FC"/>
    <w:rsid w:val="00BC3CC9"/>
    <w:rsid w:val="00BF3DA3"/>
    <w:rsid w:val="00C0422D"/>
    <w:rsid w:val="00C12591"/>
    <w:rsid w:val="00C75E88"/>
    <w:rsid w:val="00CD3F96"/>
    <w:rsid w:val="00D26DE1"/>
    <w:rsid w:val="00D82D2E"/>
    <w:rsid w:val="00DA66A9"/>
    <w:rsid w:val="00E00DAE"/>
    <w:rsid w:val="00E714BA"/>
    <w:rsid w:val="00E9017E"/>
    <w:rsid w:val="00E96B17"/>
    <w:rsid w:val="00ED328B"/>
    <w:rsid w:val="00ED3709"/>
    <w:rsid w:val="00F64D19"/>
    <w:rsid w:val="00F974C7"/>
    <w:rsid w:val="00FF7A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671AC1"/>
  <w15:chartTrackingRefBased/>
  <w15:docId w15:val="{D2AE81B7-E204-4ABE-A0B8-8BCEC5145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334F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34FF"/>
    <w:rPr>
      <w:rFonts w:ascii="Segoe UI" w:hAnsi="Segoe UI" w:cs="Segoe UI"/>
      <w:sz w:val="18"/>
      <w:szCs w:val="18"/>
    </w:rPr>
  </w:style>
  <w:style w:type="paragraph" w:customStyle="1" w:styleId="basic-paragraph">
    <w:name w:val="basic-paragraph"/>
    <w:basedOn w:val="Normal"/>
    <w:rsid w:val="00986C70"/>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BC3CC9"/>
    <w:rPr>
      <w:b/>
      <w:bCs/>
    </w:rPr>
  </w:style>
  <w:style w:type="character" w:styleId="Emphasis">
    <w:name w:val="Emphasis"/>
    <w:basedOn w:val="DefaultParagraphFont"/>
    <w:uiPriority w:val="20"/>
    <w:qFormat/>
    <w:rsid w:val="00D82D2E"/>
    <w:rPr>
      <w:i/>
      <w:iCs/>
    </w:rPr>
  </w:style>
  <w:style w:type="character" w:styleId="CommentReference">
    <w:name w:val="annotation reference"/>
    <w:basedOn w:val="DefaultParagraphFont"/>
    <w:uiPriority w:val="99"/>
    <w:semiHidden/>
    <w:unhideWhenUsed/>
    <w:rsid w:val="00C12591"/>
    <w:rPr>
      <w:sz w:val="16"/>
      <w:szCs w:val="16"/>
    </w:rPr>
  </w:style>
  <w:style w:type="paragraph" w:styleId="CommentText">
    <w:name w:val="annotation text"/>
    <w:basedOn w:val="Normal"/>
    <w:link w:val="CommentTextChar"/>
    <w:uiPriority w:val="99"/>
    <w:semiHidden/>
    <w:unhideWhenUsed/>
    <w:rsid w:val="00C12591"/>
    <w:pPr>
      <w:spacing w:line="240" w:lineRule="auto"/>
    </w:pPr>
    <w:rPr>
      <w:sz w:val="20"/>
      <w:szCs w:val="20"/>
    </w:rPr>
  </w:style>
  <w:style w:type="character" w:customStyle="1" w:styleId="CommentTextChar">
    <w:name w:val="Comment Text Char"/>
    <w:basedOn w:val="DefaultParagraphFont"/>
    <w:link w:val="CommentText"/>
    <w:uiPriority w:val="99"/>
    <w:semiHidden/>
    <w:rsid w:val="00C12591"/>
    <w:rPr>
      <w:sz w:val="20"/>
      <w:szCs w:val="20"/>
    </w:rPr>
  </w:style>
  <w:style w:type="paragraph" w:styleId="CommentSubject">
    <w:name w:val="annotation subject"/>
    <w:basedOn w:val="CommentText"/>
    <w:next w:val="CommentText"/>
    <w:link w:val="CommentSubjectChar"/>
    <w:uiPriority w:val="99"/>
    <w:semiHidden/>
    <w:unhideWhenUsed/>
    <w:rsid w:val="00C12591"/>
    <w:rPr>
      <w:b/>
      <w:bCs/>
    </w:rPr>
  </w:style>
  <w:style w:type="character" w:customStyle="1" w:styleId="CommentSubjectChar">
    <w:name w:val="Comment Subject Char"/>
    <w:basedOn w:val="CommentTextChar"/>
    <w:link w:val="CommentSubject"/>
    <w:uiPriority w:val="99"/>
    <w:semiHidden/>
    <w:rsid w:val="00C12591"/>
    <w:rPr>
      <w:b/>
      <w:bCs/>
      <w:sz w:val="20"/>
      <w:szCs w:val="20"/>
    </w:rPr>
  </w:style>
  <w:style w:type="paragraph" w:styleId="ListParagraph">
    <w:name w:val="List Paragraph"/>
    <w:basedOn w:val="Normal"/>
    <w:link w:val="ListParagraphChar"/>
    <w:uiPriority w:val="34"/>
    <w:qFormat/>
    <w:rsid w:val="00B86B54"/>
    <w:pPr>
      <w:ind w:left="720"/>
      <w:contextualSpacing/>
    </w:pPr>
    <w:rPr>
      <w:lang w:val="sr-Latn-RS"/>
    </w:rPr>
  </w:style>
  <w:style w:type="character" w:customStyle="1" w:styleId="ListParagraphChar">
    <w:name w:val="List Paragraph Char"/>
    <w:link w:val="ListParagraph"/>
    <w:uiPriority w:val="34"/>
    <w:locked/>
    <w:rsid w:val="00B86B54"/>
    <w:rPr>
      <w:lang w:val="sr-Latn-RS"/>
    </w:rPr>
  </w:style>
  <w:style w:type="table" w:styleId="TableGrid">
    <w:name w:val="Table Grid"/>
    <w:basedOn w:val="TableNormal"/>
    <w:uiPriority w:val="39"/>
    <w:rsid w:val="00B86B54"/>
    <w:pPr>
      <w:spacing w:after="0" w:line="240" w:lineRule="auto"/>
    </w:pPr>
    <w:rPr>
      <w:lang w:val="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1">
    <w:name w:val="Grid Table 1 Light1"/>
    <w:basedOn w:val="TableNormal"/>
    <w:next w:val="GridTable1Light"/>
    <w:uiPriority w:val="46"/>
    <w:rsid w:val="00B86B54"/>
    <w:pPr>
      <w:spacing w:after="0" w:line="240" w:lineRule="auto"/>
    </w:pPr>
    <w:rPr>
      <w:rFonts w:ascii="Times New Roman" w:eastAsia="Times New Roman" w:hAnsi="Times New Roman" w:cs="Times New Roman"/>
      <w:sz w:val="20"/>
      <w:szCs w:val="20"/>
      <w:lang w:val="en-US"/>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styleId="GridTable1Light">
    <w:name w:val="Grid Table 1 Light"/>
    <w:basedOn w:val="TableNormal"/>
    <w:uiPriority w:val="46"/>
    <w:rsid w:val="00B86B5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Header">
    <w:name w:val="header"/>
    <w:basedOn w:val="Normal"/>
    <w:link w:val="HeaderChar"/>
    <w:uiPriority w:val="99"/>
    <w:unhideWhenUsed/>
    <w:rsid w:val="00A7319C"/>
    <w:pPr>
      <w:tabs>
        <w:tab w:val="center" w:pos="4513"/>
        <w:tab w:val="right" w:pos="9026"/>
      </w:tabs>
      <w:spacing w:after="0" w:line="240" w:lineRule="auto"/>
    </w:pPr>
  </w:style>
  <w:style w:type="character" w:customStyle="1" w:styleId="HeaderChar">
    <w:name w:val="Header Char"/>
    <w:basedOn w:val="DefaultParagraphFont"/>
    <w:link w:val="Header"/>
    <w:uiPriority w:val="99"/>
    <w:rsid w:val="00A7319C"/>
  </w:style>
  <w:style w:type="paragraph" w:styleId="Footer">
    <w:name w:val="footer"/>
    <w:basedOn w:val="Normal"/>
    <w:link w:val="FooterChar"/>
    <w:uiPriority w:val="99"/>
    <w:unhideWhenUsed/>
    <w:rsid w:val="00A7319C"/>
    <w:pPr>
      <w:tabs>
        <w:tab w:val="center" w:pos="4513"/>
        <w:tab w:val="right" w:pos="9026"/>
      </w:tabs>
      <w:spacing w:after="0" w:line="240" w:lineRule="auto"/>
    </w:pPr>
  </w:style>
  <w:style w:type="character" w:customStyle="1" w:styleId="FooterChar">
    <w:name w:val="Footer Char"/>
    <w:basedOn w:val="DefaultParagraphFont"/>
    <w:link w:val="Footer"/>
    <w:uiPriority w:val="99"/>
    <w:rsid w:val="00A731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1894751">
      <w:bodyDiv w:val="1"/>
      <w:marLeft w:val="0"/>
      <w:marRight w:val="0"/>
      <w:marTop w:val="0"/>
      <w:marBottom w:val="0"/>
      <w:divBdr>
        <w:top w:val="none" w:sz="0" w:space="0" w:color="auto"/>
        <w:left w:val="none" w:sz="0" w:space="0" w:color="auto"/>
        <w:bottom w:val="none" w:sz="0" w:space="0" w:color="auto"/>
        <w:right w:val="none" w:sz="0" w:space="0" w:color="auto"/>
      </w:divBdr>
    </w:div>
    <w:div w:id="364796924">
      <w:bodyDiv w:val="1"/>
      <w:marLeft w:val="0"/>
      <w:marRight w:val="0"/>
      <w:marTop w:val="0"/>
      <w:marBottom w:val="0"/>
      <w:divBdr>
        <w:top w:val="none" w:sz="0" w:space="0" w:color="auto"/>
        <w:left w:val="none" w:sz="0" w:space="0" w:color="auto"/>
        <w:bottom w:val="none" w:sz="0" w:space="0" w:color="auto"/>
        <w:right w:val="none" w:sz="0" w:space="0" w:color="auto"/>
      </w:divBdr>
    </w:div>
    <w:div w:id="583418217">
      <w:bodyDiv w:val="1"/>
      <w:marLeft w:val="0"/>
      <w:marRight w:val="0"/>
      <w:marTop w:val="0"/>
      <w:marBottom w:val="0"/>
      <w:divBdr>
        <w:top w:val="none" w:sz="0" w:space="0" w:color="auto"/>
        <w:left w:val="none" w:sz="0" w:space="0" w:color="auto"/>
        <w:bottom w:val="none" w:sz="0" w:space="0" w:color="auto"/>
        <w:right w:val="none" w:sz="0" w:space="0" w:color="auto"/>
      </w:divBdr>
    </w:div>
    <w:div w:id="1028599157">
      <w:bodyDiv w:val="1"/>
      <w:marLeft w:val="0"/>
      <w:marRight w:val="0"/>
      <w:marTop w:val="0"/>
      <w:marBottom w:val="0"/>
      <w:divBdr>
        <w:top w:val="none" w:sz="0" w:space="0" w:color="auto"/>
        <w:left w:val="none" w:sz="0" w:space="0" w:color="auto"/>
        <w:bottom w:val="none" w:sz="0" w:space="0" w:color="auto"/>
        <w:right w:val="none" w:sz="0" w:space="0" w:color="auto"/>
      </w:divBdr>
    </w:div>
    <w:div w:id="1821657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microsoft.com/office/2016/09/relationships/commentsIds" Target="commentsIds.xml"/><Relationship Id="rId19"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9E4DD6-5461-4993-9761-74524591D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5748</Words>
  <Characters>32769</Characters>
  <Application>Microsoft Office Word</Application>
  <DocSecurity>0</DocSecurity>
  <Lines>273</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Mirjana Todorovic</dc:creator>
  <cp:keywords/>
  <dc:description/>
  <cp:lastModifiedBy>Ivana Vojinović</cp:lastModifiedBy>
  <cp:revision>2</cp:revision>
  <cp:lastPrinted>2022-12-30T10:44:00Z</cp:lastPrinted>
  <dcterms:created xsi:type="dcterms:W3CDTF">2022-12-30T15:21:00Z</dcterms:created>
  <dcterms:modified xsi:type="dcterms:W3CDTF">2022-12-30T15:21:00Z</dcterms:modified>
</cp:coreProperties>
</file>