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DE4D" w14:textId="77777777" w:rsidR="00802AE3" w:rsidRPr="00381DC5" w:rsidRDefault="00802AE3" w:rsidP="00802AE3">
      <w:pPr>
        <w:spacing w:after="200" w:line="276" w:lineRule="exact"/>
        <w:jc w:val="center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>О Б Р А З Л О Ж Е Њ Е</w:t>
      </w:r>
    </w:p>
    <w:p w14:paraId="1BEDF476" w14:textId="77777777" w:rsidR="002659F1" w:rsidRPr="00381DC5" w:rsidRDefault="002659F1" w:rsidP="00802AE3">
      <w:pPr>
        <w:spacing w:after="200" w:line="276" w:lineRule="exact"/>
        <w:jc w:val="center"/>
        <w:rPr>
          <w:rFonts w:ascii="Times New Roman" w:eastAsia="Arial" w:hAnsi="Times New Roman" w:cs="Times New Roman"/>
          <w:sz w:val="24"/>
          <w:lang w:val="sr-Cyrl-CS"/>
        </w:rPr>
      </w:pPr>
    </w:p>
    <w:p w14:paraId="12C80718" w14:textId="77777777" w:rsidR="00802AE3" w:rsidRPr="00381DC5" w:rsidRDefault="00802AE3" w:rsidP="00802AE3">
      <w:pPr>
        <w:spacing w:after="200" w:line="276" w:lineRule="exact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ab/>
        <w:t>I. УСТАВНИ ОСНОВ ЗА ДОНОШЕЊЕ ЗАКОНА</w:t>
      </w:r>
    </w:p>
    <w:p w14:paraId="1EC4EE5A" w14:textId="77777777" w:rsidR="00802AE3" w:rsidRPr="00381DC5" w:rsidRDefault="00802AE3" w:rsidP="00802AE3">
      <w:pPr>
        <w:spacing w:after="200" w:line="276" w:lineRule="exact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ab/>
        <w:t>Уставни основ за доношење овог закона садржан је у одредби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 Члан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>ом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 3. и 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>чланом 7. ст.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 1. и 2. Закона о јавном дугу („Службени гласник РС”, бр. 61/05, 107/09, 78/11, 68/15,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 xml:space="preserve">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95/18, 91/19 и 149/20), прописује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 xml:space="preserve"> се да се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 Република Србија може задуживати у земљи и иностранству, као и да се задуживање може користити за финансирање буџетског дефицита и за рефинансирање обавеза по основу јавног дуга. Такође, чланом 4. став 14. Закона о Народној банци Србије („Службени гласник РС”, бр. 72/03, 55/04, 85/05-др. закон, 44/10, 76/1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>2, 106/12, 14/15, 40/15-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УС и 44/18)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>,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 прописује се да Народна банка Србије обавља законом, односно уговором утврђене послове за Републику Србију.</w:t>
      </w:r>
    </w:p>
    <w:p w14:paraId="03F8A2E1" w14:textId="77777777" w:rsidR="00802AE3" w:rsidRPr="00381DC5" w:rsidRDefault="00802AE3" w:rsidP="00802AE3">
      <w:pPr>
        <w:spacing w:after="200" w:line="276" w:lineRule="exact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 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ab/>
        <w:t xml:space="preserve">II. РАЗЛОЗИ ЗА ДОНОШЕЊЕ ЗАКОНА </w:t>
      </w:r>
    </w:p>
    <w:p w14:paraId="748D3D58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Одбор извршних директора Међународног монетарног фонда (ММФ) одобрио је Републици Србији 18. јуна 2021. макроекономски програм и програм структурних реформи, подржан саветодавним Инструментом за координацију политика </w:t>
      </w:r>
      <w:r w:rsidRPr="00381DC5">
        <w:rPr>
          <w:rFonts w:ascii="Times New Roman" w:eastAsia="Arial" w:hAnsi="Times New Roman" w:cs="Times New Roman"/>
          <w:bCs/>
          <w:iCs/>
          <w:sz w:val="24"/>
          <w:lang w:val="sr-Cyrl-CS"/>
        </w:rPr>
        <w:t>(</w:t>
      </w:r>
      <w:r w:rsidRPr="00381DC5">
        <w:rPr>
          <w:rFonts w:ascii="Times New Roman" w:eastAsia="Arial" w:hAnsi="Times New Roman" w:cs="Times New Roman"/>
          <w:bCs/>
          <w:i/>
          <w:sz w:val="24"/>
          <w:lang w:val="sr-Cyrl-CS"/>
        </w:rPr>
        <w:t>Policy Coordination Instrument</w:t>
      </w:r>
      <w:r w:rsidRPr="00381DC5">
        <w:rPr>
          <w:rFonts w:ascii="Times New Roman" w:eastAsia="Arial" w:hAnsi="Times New Roman" w:cs="Times New Roman"/>
          <w:bCs/>
          <w:iCs/>
          <w:sz w:val="24"/>
          <w:lang w:val="sr-Cyrl-CS"/>
        </w:rPr>
        <w:t>)</w:t>
      </w:r>
      <w:r w:rsidRPr="00381DC5">
        <w:rPr>
          <w:rFonts w:ascii="Times New Roman" w:eastAsia="Arial" w:hAnsi="Times New Roman" w:cs="Times New Roman"/>
          <w:bCs/>
          <w:i/>
          <w:sz w:val="24"/>
          <w:lang w:val="sr-Cyrl-CS"/>
        </w:rPr>
        <w:t xml:space="preserve">, 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за период од јуна 2021. до децембра 2023</w:t>
      </w:r>
      <w:r w:rsidRPr="00381DC5">
        <w:rPr>
          <w:rFonts w:ascii="Times New Roman" w:eastAsia="Arial" w:hAnsi="Times New Roman" w:cs="Times New Roman"/>
          <w:bCs/>
          <w:i/>
          <w:sz w:val="24"/>
          <w:lang w:val="sr-Cyrl-CS"/>
        </w:rPr>
        <w:t xml:space="preserve">. 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Сврха програма је очување макроекономске и финансијске стабилности и спровођење амбициозног плана структурних реформи ради постизања бржег и одрживијег повећања дохотка. До сада су успешно окончана два разматрања спровођења економског програма (у децембру 2021. и јуну 2022. године). </w:t>
      </w:r>
    </w:p>
    <w:p w14:paraId="69774E3B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Разговори представника Републике Србије и мисије ММФ-а у оквиру редовног трећег разматрања Инструмента за координацију политика обављени су од 20. октобра до 2. новембра 2022. године. Истовремено, разматрано је и закључивање новог стендбај аранжмана (</w:t>
      </w:r>
      <w:r w:rsidRPr="00381DC5">
        <w:rPr>
          <w:rFonts w:ascii="Times New Roman" w:eastAsia="Arial" w:hAnsi="Times New Roman" w:cs="Times New Roman"/>
          <w:bCs/>
          <w:i/>
          <w:iCs/>
          <w:sz w:val="24"/>
          <w:lang w:val="sr-Cyrl-CS"/>
        </w:rPr>
        <w:t>Stand-by Arrangement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) као додатне подршке финансирању у екстремно неизвесном међународном окружењу и условима вишедимензионалне кризе. Новим аранжманом са ММФ-ом био би замењен постојећи инструмент и надовезао би се на постигнуте резултате и реформску агенду уз одговарајућа прилагођавања макроекономске политике имајући у виду изазове на глобалном нивоу, а такође он би подржао даље спровођење структурних реформи, с фокусом на сектор енергетике. </w:t>
      </w:r>
    </w:p>
    <w:p w14:paraId="2101119D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Током разговора са мисијом ММФ-а, постигнут је начелни споразум о економском програму, који би био подржан стeндбај аранжманом у трајању од 24 месеци и приступом финансијским средствима у износу од 1.898,92 милиона </w:t>
      </w:r>
      <w:r w:rsidRPr="00381DC5" w:rsidDel="00F212F4">
        <w:rPr>
          <w:rFonts w:ascii="Times New Roman" w:eastAsia="Arial" w:hAnsi="Times New Roman" w:cs="Times New Roman"/>
          <w:bCs/>
          <w:sz w:val="24"/>
          <w:lang w:val="sr-Cyrl-CS"/>
        </w:rPr>
        <w:t xml:space="preserve"> 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специјалних права вучења (290% квоте Републике Србије у ММФ-у). Од наведеног износа, планирано је повлачење 785,76 милиона СПВ (120% квоте) по одобрењу аранжмана (децембар 2022), док би се средства од  163,7 милиона СПВ (25% квоте) и 316,53 милиона СПВ (48,34% квоте) повлачила у 2023. години. Остатак стендбај аранжмана био би третиран као аранжман из предострожности. Средства аранжмана мог</w:t>
      </w:r>
      <w:r w:rsidR="002659F1"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ла би се користити за директно 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финансирање буџета имајући у виду веће трошкове увоза енергената у предстојећем периоду и неповољније услове на светском финансијском тржишту, што ће повећати платнобилансне потребе наше земље, као и потребе за фискалним финансирањем.</w:t>
      </w:r>
    </w:p>
    <w:p w14:paraId="410D8841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</w:p>
    <w:p w14:paraId="3F3105BF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На основу постигнутог договора представника Републике Србије и мисије ММФ-а о циљевима и мерама економског програма за период 2023-2024, које су садржане у Писму о намерама, са Меморандумом о економској и финансијској политици и Техничким меморандумом о разумевању, на седници Одбора извршних директора ММФ-а одржаној 19. децембра 2022</w:t>
      </w:r>
      <w:r w:rsidR="002659F1" w:rsidRPr="00381DC5">
        <w:rPr>
          <w:rFonts w:ascii="Times New Roman" w:eastAsia="Arial" w:hAnsi="Times New Roman" w:cs="Times New Roman"/>
          <w:bCs/>
          <w:sz w:val="24"/>
          <w:lang w:val="sr-Cyrl-CS"/>
        </w:rPr>
        <w:t>. године</w:t>
      </w: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, одобрен је захтев Републике Србије за окончање трећег разматрања актуелног Инструмента за координацију политика и закључење стендбај аранжмана, који би заменио постојећи Инструмент за координацију политика</w:t>
      </w:r>
      <w:r w:rsidRPr="00381DC5">
        <w:rPr>
          <w:rFonts w:ascii="Times New Roman" w:eastAsia="Arial" w:hAnsi="Times New Roman" w:cs="Times New Roman"/>
          <w:b/>
          <w:bCs/>
          <w:sz w:val="24"/>
          <w:lang w:val="sr-Cyrl-CS"/>
        </w:rPr>
        <w:t xml:space="preserve">. </w:t>
      </w:r>
    </w:p>
    <w:p w14:paraId="56B64BF3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 xml:space="preserve">Република Србија ће ова средства у случају потребе користити за директно  финансирање буџета, ради рефинансирања обавеза Републике Србије и/или за финансирање текућих буџетских потреба након ступања на снагу овог закона. Трансакције у вези са измиривањем обавеза Републике Србије према Фонду обављаће се преко Народне банке Србије, као фискалног агента Републике Србије. </w:t>
      </w:r>
    </w:p>
    <w:p w14:paraId="2A8C81C5" w14:textId="77777777" w:rsidR="00802AE3" w:rsidRPr="00381DC5" w:rsidRDefault="00802AE3" w:rsidP="00802AE3">
      <w:pPr>
        <w:spacing w:after="200" w:line="276" w:lineRule="exact"/>
        <w:ind w:firstLine="709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III. ОБЈАШЊЕЊЕ ОСНОВНИХ ПРАВНИХ ИНСТИТУТА И ПОЈЕДИНАЧНИХ РЕШЕЊА </w:t>
      </w:r>
    </w:p>
    <w:p w14:paraId="6B5B29E5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>Одредбом члана 1. овог закона уређују се обавезе Републике Србије према Међународном монетарном фонду по основу коришћења средстава стендабај аранжмана.</w:t>
      </w:r>
    </w:p>
    <w:p w14:paraId="23633366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Одредбом члана 2. </w:t>
      </w:r>
      <w:r w:rsidR="00381DC5" w:rsidRPr="00381DC5">
        <w:rPr>
          <w:rFonts w:ascii="Times New Roman" w:eastAsia="Arial" w:hAnsi="Times New Roman" w:cs="Times New Roman"/>
          <w:sz w:val="24"/>
          <w:lang w:val="sr-Cyrl-CS"/>
        </w:rPr>
        <w:t xml:space="preserve">овог закона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дефинисано је у које сврхе се могу користити наведена средства.</w:t>
      </w:r>
    </w:p>
    <w:p w14:paraId="2FB7979D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Одредбом члана 3. </w:t>
      </w:r>
      <w:r w:rsidR="00381DC5" w:rsidRPr="00381DC5">
        <w:rPr>
          <w:rFonts w:ascii="Times New Roman" w:eastAsia="Arial" w:hAnsi="Times New Roman" w:cs="Times New Roman"/>
          <w:sz w:val="24"/>
          <w:lang w:val="sr-Cyrl-CS"/>
        </w:rPr>
        <w:t xml:space="preserve">овог закона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дефинишу се послови Народне банке Србије.</w:t>
      </w:r>
    </w:p>
    <w:p w14:paraId="3140276C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Одредбом члана 4. </w:t>
      </w:r>
      <w:r w:rsidR="00381DC5" w:rsidRPr="00381DC5">
        <w:rPr>
          <w:rFonts w:ascii="Times New Roman" w:eastAsia="Arial" w:hAnsi="Times New Roman" w:cs="Times New Roman"/>
          <w:sz w:val="24"/>
          <w:lang w:val="sr-Cyrl-CS"/>
        </w:rPr>
        <w:t xml:space="preserve">овог закона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дефинише се да се средства за сервисирање обезбеђују у буџету за текућу годину на посебном наменском рачуну.</w:t>
      </w:r>
    </w:p>
    <w:p w14:paraId="0535155B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Одредбом члана 5. </w:t>
      </w:r>
      <w:r w:rsidR="00381DC5" w:rsidRPr="00381DC5">
        <w:rPr>
          <w:rFonts w:ascii="Times New Roman" w:eastAsia="Arial" w:hAnsi="Times New Roman" w:cs="Times New Roman"/>
          <w:sz w:val="24"/>
          <w:lang w:val="sr-Cyrl-CS"/>
        </w:rPr>
        <w:t xml:space="preserve">овог закона </w:t>
      </w:r>
      <w:r w:rsidRPr="00381DC5">
        <w:rPr>
          <w:rFonts w:ascii="Times New Roman" w:eastAsia="Arial" w:hAnsi="Times New Roman" w:cs="Times New Roman"/>
          <w:sz w:val="24"/>
          <w:lang w:val="sr-Cyrl-CS"/>
        </w:rPr>
        <w:t>дефинише се да се трансакције обављају преко Народне банке Србије.</w:t>
      </w:r>
    </w:p>
    <w:p w14:paraId="60810399" w14:textId="77777777" w:rsidR="00802AE3" w:rsidRPr="00381DC5" w:rsidRDefault="00802AE3" w:rsidP="00802AE3">
      <w:pPr>
        <w:spacing w:after="200" w:line="276" w:lineRule="exact"/>
        <w:ind w:firstLine="709"/>
        <w:jc w:val="both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 xml:space="preserve">Одредбом члана 6. уређује се ступање на снагу овог закона. </w:t>
      </w:r>
    </w:p>
    <w:p w14:paraId="5073DF9F" w14:textId="77777777" w:rsidR="00802AE3" w:rsidRPr="00381DC5" w:rsidRDefault="00802AE3" w:rsidP="00802AE3">
      <w:pPr>
        <w:spacing w:after="200" w:line="276" w:lineRule="exact"/>
        <w:ind w:firstLine="709"/>
        <w:rPr>
          <w:rFonts w:ascii="Times New Roman" w:eastAsia="Arial" w:hAnsi="Times New Roman" w:cs="Times New Roman"/>
          <w:bCs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bCs/>
          <w:sz w:val="24"/>
          <w:lang w:val="sr-Cyrl-CS"/>
        </w:rPr>
        <w:t>IV. ПРОЦЕНА ИЗНОСА ФИНАНСИЈСКИХ СРЕДСТАВА ПОТРЕБНИХ ЗА   СПРОВОЂЕЊЕ ЗАКОНА</w:t>
      </w:r>
    </w:p>
    <w:p w14:paraId="0856A4D7" w14:textId="77777777" w:rsidR="00437FAB" w:rsidRPr="00381DC5" w:rsidRDefault="00802AE3">
      <w:pPr>
        <w:spacing w:after="200" w:line="276" w:lineRule="exact"/>
        <w:rPr>
          <w:rFonts w:ascii="Times New Roman" w:eastAsia="Arial" w:hAnsi="Times New Roman" w:cs="Times New Roman"/>
          <w:sz w:val="24"/>
          <w:lang w:val="sr-Cyrl-CS"/>
        </w:rPr>
      </w:pPr>
      <w:r w:rsidRPr="00381DC5">
        <w:rPr>
          <w:rFonts w:ascii="Times New Roman" w:eastAsia="Arial" w:hAnsi="Times New Roman" w:cs="Times New Roman"/>
          <w:sz w:val="24"/>
          <w:lang w:val="sr-Cyrl-CS"/>
        </w:rPr>
        <w:tab/>
        <w:t>За спровођење овог закона обезбеђиваће се средства у буџету Републике Србије</w:t>
      </w:r>
      <w:r w:rsidR="002659F1" w:rsidRPr="00381DC5">
        <w:rPr>
          <w:rFonts w:ascii="Times New Roman" w:eastAsia="Arial" w:hAnsi="Times New Roman" w:cs="Times New Roman"/>
          <w:sz w:val="24"/>
          <w:lang w:val="sr-Cyrl-CS"/>
        </w:rPr>
        <w:t>.</w:t>
      </w:r>
    </w:p>
    <w:sectPr w:rsidR="00437FAB" w:rsidRPr="00381DC5" w:rsidSect="00381D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50" w:right="1440" w:bottom="1440" w:left="1440" w:header="737" w:footer="73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96AB" w14:textId="77777777" w:rsidR="00CB057B" w:rsidRDefault="00CB057B" w:rsidP="00381DC5">
      <w:r>
        <w:separator/>
      </w:r>
    </w:p>
  </w:endnote>
  <w:endnote w:type="continuationSeparator" w:id="0">
    <w:p w14:paraId="5F602CC5" w14:textId="77777777" w:rsidR="00CB057B" w:rsidRDefault="00CB057B" w:rsidP="0038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0725" w14:textId="77777777" w:rsidR="00381DC5" w:rsidRDefault="00381D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41BCC" w14:textId="77777777" w:rsidR="00381DC5" w:rsidRDefault="00381D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5839" w14:textId="77777777" w:rsidR="00381DC5" w:rsidRDefault="00381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997A" w14:textId="77777777" w:rsidR="00CB057B" w:rsidRDefault="00CB057B" w:rsidP="00381DC5">
      <w:r>
        <w:separator/>
      </w:r>
    </w:p>
  </w:footnote>
  <w:footnote w:type="continuationSeparator" w:id="0">
    <w:p w14:paraId="1B094938" w14:textId="77777777" w:rsidR="00CB057B" w:rsidRDefault="00CB057B" w:rsidP="00381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E1BBF" w14:textId="77777777" w:rsidR="00381DC5" w:rsidRDefault="00381D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4942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B417CA" w14:textId="77777777" w:rsidR="00381DC5" w:rsidRDefault="00381DC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F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018218" w14:textId="77777777" w:rsidR="00381DC5" w:rsidRDefault="00381D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2254" w14:textId="77777777" w:rsidR="00381DC5" w:rsidRDefault="00381D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FAB"/>
    <w:rsid w:val="002659F1"/>
    <w:rsid w:val="002E2360"/>
    <w:rsid w:val="00381DC5"/>
    <w:rsid w:val="00437FAB"/>
    <w:rsid w:val="00802AE3"/>
    <w:rsid w:val="00867FE1"/>
    <w:rsid w:val="008C06DE"/>
    <w:rsid w:val="00957427"/>
    <w:rsid w:val="00A31DCB"/>
    <w:rsid w:val="00CB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02237"/>
  <w15:docId w15:val="{60A64BE3-C814-41C3-B33E-9F1F6FD0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Lucida Sans"/>
        <w:kern w:val="2"/>
        <w:sz w:val="22"/>
        <w:szCs w:val="24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381DC5"/>
    <w:pPr>
      <w:tabs>
        <w:tab w:val="center" w:pos="4513"/>
        <w:tab w:val="right" w:pos="9026"/>
      </w:tabs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381DC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81DC5"/>
    <w:pPr>
      <w:tabs>
        <w:tab w:val="center" w:pos="4513"/>
        <w:tab w:val="right" w:pos="9026"/>
      </w:tabs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381DC5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</dc:creator>
  <dc:description/>
  <cp:lastModifiedBy>Ivana Vojinović</cp:lastModifiedBy>
  <cp:revision>2</cp:revision>
  <dcterms:created xsi:type="dcterms:W3CDTF">2022-12-23T12:25:00Z</dcterms:created>
  <dcterms:modified xsi:type="dcterms:W3CDTF">2022-12-23T12:25:00Z</dcterms:modified>
  <dc:language>sr-Latn-RS</dc:language>
</cp:coreProperties>
</file>